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caps/>
          <w:sz w:val="28"/>
          <w:szCs w:val="28"/>
          <w:lang w:eastAsia="ru-RU"/>
        </w:rPr>
      </w:pPr>
      <w:r w:rsidRPr="00985A10">
        <w:rPr>
          <w:rFonts w:eastAsia="Times New Roman" w:cs="Times New Roman"/>
          <w:caps/>
          <w:sz w:val="28"/>
          <w:szCs w:val="28"/>
          <w:lang w:eastAsia="ru-RU"/>
        </w:rPr>
        <w:t xml:space="preserve">МИНИСТЕРСТВО НАУКИ И ВЫСШЕГО образования </w:t>
      </w:r>
      <w:r w:rsidRPr="00985A10">
        <w:rPr>
          <w:rFonts w:eastAsia="Times New Roman" w:cs="Times New Roman"/>
          <w:caps/>
          <w:sz w:val="28"/>
          <w:szCs w:val="28"/>
          <w:lang w:eastAsia="ru-RU"/>
        </w:rPr>
        <w:br w:type="textWrapping" w:clear="all"/>
        <w:t>российской федерации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caps/>
          <w:sz w:val="28"/>
          <w:szCs w:val="28"/>
          <w:lang w:eastAsia="ru-RU"/>
        </w:rPr>
      </w:pPr>
      <w:r w:rsidRPr="00985A10">
        <w:rPr>
          <w:rFonts w:eastAsia="Times New Roman" w:cs="Times New Roman"/>
          <w:caps/>
          <w:sz w:val="28"/>
          <w:szCs w:val="28"/>
          <w:lang w:eastAsia="ru-RU"/>
        </w:rPr>
        <w:t>ФЕДЕРАЛЬНОЕ ГОСУДАРСТВЕННОЕ БЮДЖЕТНОЕ ОБРАЗОВАТЕЛЬНОЕ УЧРЕЖДЕНИЕ ВЫСШЕГО ОБРАЗОВАНИЯ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caps/>
          <w:sz w:val="28"/>
          <w:szCs w:val="28"/>
          <w:lang w:eastAsia="ru-RU"/>
        </w:rPr>
      </w:pPr>
      <w:r w:rsidRPr="00985A10">
        <w:rPr>
          <w:rFonts w:eastAsia="Times New Roman" w:cs="Times New Roman"/>
          <w:caps/>
          <w:sz w:val="28"/>
          <w:szCs w:val="28"/>
          <w:lang w:eastAsia="ru-RU"/>
        </w:rPr>
        <w:t>ВЛАДИВОСТОКСКИЙ ГОСУДАРСТВЕННЫЙ УНИВЕРСИТЕТ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caps/>
          <w:sz w:val="28"/>
          <w:szCs w:val="28"/>
          <w:lang w:eastAsia="ru-RU"/>
        </w:rPr>
      </w:pPr>
      <w:r w:rsidRPr="00985A10">
        <w:rPr>
          <w:rFonts w:eastAsia="Times New Roman" w:cs="Times New Roman"/>
          <w:caps/>
          <w:sz w:val="28"/>
          <w:szCs w:val="28"/>
          <w:lang w:eastAsia="ru-RU"/>
        </w:rPr>
        <w:t>КАФЕДРА ЭКОНОМИКИ И УПРАВЛЕНИЯ</w:t>
      </w: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985A10" w:rsidRPr="00985A10" w:rsidRDefault="00985A10" w:rsidP="00985A10">
      <w:pPr>
        <w:keepNext/>
        <w:keepLines/>
        <w:widowControl w:val="0"/>
        <w:suppressLineNumbers/>
        <w:suppressAutoHyphens/>
        <w:spacing w:before="240" w:after="120" w:line="240" w:lineRule="auto"/>
        <w:ind w:left="567" w:right="567" w:firstLine="709"/>
        <w:jc w:val="center"/>
        <w:rPr>
          <w:rFonts w:eastAsia="Times New Roman" w:cs="Times New Roman"/>
          <w:bCs/>
          <w:kern w:val="32"/>
          <w:sz w:val="48"/>
          <w:szCs w:val="28"/>
          <w:lang w:eastAsia="ru-RU"/>
        </w:rPr>
      </w:pPr>
      <w:r w:rsidRPr="00985A10">
        <w:rPr>
          <w:rFonts w:eastAsia="Times New Roman" w:cs="Times New Roman"/>
          <w:bCs/>
          <w:kern w:val="32"/>
          <w:sz w:val="48"/>
          <w:szCs w:val="28"/>
          <w:lang w:eastAsia="ru-RU"/>
        </w:rPr>
        <w:t>ОТЧЕТ</w:t>
      </w:r>
    </w:p>
    <w:p w:rsidR="00985A10" w:rsidRPr="00985A10" w:rsidRDefault="00985A10" w:rsidP="00985A10">
      <w:pPr>
        <w:widowControl w:val="0"/>
        <w:spacing w:after="120" w:line="240" w:lineRule="auto"/>
        <w:ind w:hanging="142"/>
        <w:jc w:val="center"/>
        <w:rPr>
          <w:rFonts w:eastAsia="Times New Roman" w:cs="Times New Roman"/>
          <w:sz w:val="44"/>
          <w:szCs w:val="44"/>
          <w:lang w:eastAsia="ru-RU"/>
        </w:rPr>
      </w:pPr>
      <w:r w:rsidRPr="00985A10">
        <w:rPr>
          <w:rFonts w:eastAsia="Times New Roman" w:cs="Times New Roman"/>
          <w:sz w:val="44"/>
          <w:szCs w:val="44"/>
          <w:lang w:eastAsia="ru-RU"/>
        </w:rPr>
        <w:t>по производственной научно-исследовательской практик</w:t>
      </w:r>
      <w:r w:rsidR="000D51C4">
        <w:rPr>
          <w:rFonts w:eastAsia="Times New Roman" w:cs="Times New Roman"/>
          <w:sz w:val="44"/>
          <w:szCs w:val="44"/>
          <w:lang w:eastAsia="ru-RU"/>
        </w:rPr>
        <w:t>е</w:t>
      </w:r>
      <w:r w:rsidRPr="00985A10">
        <w:rPr>
          <w:rFonts w:eastAsia="Times New Roman" w:cs="Times New Roman"/>
          <w:sz w:val="44"/>
          <w:szCs w:val="44"/>
          <w:lang w:eastAsia="ru-RU"/>
        </w:rPr>
        <w:t xml:space="preserve"> (НИР)</w:t>
      </w: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Студент</w:t>
      </w: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Группы ЗМГУ-23-гр1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___________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А.Н. Рубцова</w:t>
      </w: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Руководитель практики от кафедры</w:t>
      </w: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канд. эконом</w:t>
      </w:r>
      <w:proofErr w:type="gramStart"/>
      <w:r w:rsidRPr="00985A10">
        <w:rPr>
          <w:rFonts w:eastAsia="Times New Roman" w:cs="Times New Roman"/>
          <w:sz w:val="28"/>
          <w:szCs w:val="28"/>
          <w:lang w:eastAsia="ru-RU"/>
        </w:rPr>
        <w:t>.</w:t>
      </w:r>
      <w:proofErr w:type="gramEnd"/>
      <w:r w:rsidRPr="00985A10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gramStart"/>
      <w:r w:rsidRPr="00985A10">
        <w:rPr>
          <w:rFonts w:eastAsia="Times New Roman" w:cs="Times New Roman"/>
          <w:sz w:val="28"/>
          <w:szCs w:val="28"/>
          <w:lang w:eastAsia="ru-RU"/>
        </w:rPr>
        <w:t>н</w:t>
      </w:r>
      <w:proofErr w:type="gramEnd"/>
      <w:r w:rsidRPr="00985A10">
        <w:rPr>
          <w:rFonts w:eastAsia="Times New Roman" w:cs="Times New Roman"/>
          <w:sz w:val="28"/>
          <w:szCs w:val="28"/>
          <w:lang w:eastAsia="ru-RU"/>
        </w:rPr>
        <w:t>аук, доцент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___________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Н.Г. Ивельская</w:t>
      </w:r>
    </w:p>
    <w:p w:rsidR="00985A10" w:rsidRPr="00985A10" w:rsidRDefault="00985A10" w:rsidP="00985A10">
      <w:pPr>
        <w:widowControl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Руководитель практики от организации</w:t>
      </w: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канд. эконом</w:t>
      </w:r>
      <w:proofErr w:type="gramStart"/>
      <w:r w:rsidRPr="00985A10">
        <w:rPr>
          <w:rFonts w:eastAsia="Times New Roman" w:cs="Times New Roman"/>
          <w:sz w:val="28"/>
          <w:szCs w:val="28"/>
          <w:lang w:eastAsia="ru-RU"/>
        </w:rPr>
        <w:t>.</w:t>
      </w:r>
      <w:proofErr w:type="gramEnd"/>
      <w:r w:rsidRPr="00985A10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gramStart"/>
      <w:r w:rsidRPr="00985A10">
        <w:rPr>
          <w:rFonts w:eastAsia="Times New Roman" w:cs="Times New Roman"/>
          <w:sz w:val="28"/>
          <w:szCs w:val="28"/>
          <w:lang w:eastAsia="ru-RU"/>
        </w:rPr>
        <w:t>н</w:t>
      </w:r>
      <w:proofErr w:type="gramEnd"/>
      <w:r w:rsidRPr="00985A10">
        <w:rPr>
          <w:rFonts w:eastAsia="Times New Roman" w:cs="Times New Roman"/>
          <w:sz w:val="28"/>
          <w:szCs w:val="28"/>
          <w:lang w:eastAsia="ru-RU"/>
        </w:rPr>
        <w:t>аук, доцент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___________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Н.Г. Ивельская</w:t>
      </w: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Нормоконтролер</w:t>
      </w: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985A10">
        <w:rPr>
          <w:rFonts w:eastAsia="Times New Roman" w:cs="Times New Roman"/>
          <w:sz w:val="28"/>
          <w:szCs w:val="28"/>
          <w:lang w:eastAsia="ru-RU"/>
        </w:rPr>
        <w:t>канд. эконом</w:t>
      </w:r>
      <w:proofErr w:type="gramStart"/>
      <w:r w:rsidRPr="00985A10">
        <w:rPr>
          <w:rFonts w:eastAsia="Times New Roman" w:cs="Times New Roman"/>
          <w:sz w:val="28"/>
          <w:szCs w:val="28"/>
          <w:lang w:eastAsia="ru-RU"/>
        </w:rPr>
        <w:t>.</w:t>
      </w:r>
      <w:proofErr w:type="gramEnd"/>
      <w:r w:rsidRPr="00985A10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gramStart"/>
      <w:r w:rsidRPr="00985A10">
        <w:rPr>
          <w:rFonts w:eastAsia="Times New Roman" w:cs="Times New Roman"/>
          <w:sz w:val="28"/>
          <w:szCs w:val="28"/>
          <w:lang w:eastAsia="ru-RU"/>
        </w:rPr>
        <w:t>н</w:t>
      </w:r>
      <w:proofErr w:type="gramEnd"/>
      <w:r w:rsidRPr="00985A10">
        <w:rPr>
          <w:rFonts w:eastAsia="Times New Roman" w:cs="Times New Roman"/>
          <w:sz w:val="28"/>
          <w:szCs w:val="28"/>
          <w:lang w:eastAsia="ru-RU"/>
        </w:rPr>
        <w:t>аук, доцент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___________</w:t>
      </w:r>
      <w:r w:rsidRPr="00985A10">
        <w:rPr>
          <w:rFonts w:eastAsia="Times New Roman" w:cs="Times New Roman"/>
          <w:sz w:val="28"/>
          <w:szCs w:val="28"/>
          <w:lang w:eastAsia="ru-RU"/>
        </w:rPr>
        <w:tab/>
        <w:t>Н.Г. Ивельская</w:t>
      </w:r>
    </w:p>
    <w:p w:rsidR="00985A10" w:rsidRPr="00985A10" w:rsidRDefault="00985A10" w:rsidP="00985A10">
      <w:pPr>
        <w:widowControl w:val="0"/>
        <w:spacing w:after="0" w:line="36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tabs>
          <w:tab w:val="left" w:pos="6360"/>
        </w:tabs>
        <w:spacing w:after="0" w:line="36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85A10" w:rsidRPr="00985A10" w:rsidRDefault="00985A10" w:rsidP="00985A10">
      <w:pPr>
        <w:widowControl w:val="0"/>
        <w:tabs>
          <w:tab w:val="left" w:pos="6360"/>
        </w:tabs>
        <w:spacing w:before="600" w:after="0" w:line="360" w:lineRule="auto"/>
        <w:ind w:firstLine="709"/>
        <w:jc w:val="center"/>
        <w:rPr>
          <w:rFonts w:eastAsia="Times New Roman" w:cs="Times New Roman"/>
          <w:bCs/>
          <w:kern w:val="32"/>
          <w:sz w:val="28"/>
          <w:szCs w:val="28"/>
          <w:lang w:eastAsia="ru-RU"/>
        </w:rPr>
      </w:pPr>
      <w:r w:rsidRPr="00985A10">
        <w:rPr>
          <w:rFonts w:eastAsia="Times New Roman" w:cs="Times New Roman"/>
          <w:bCs/>
          <w:kern w:val="32"/>
          <w:sz w:val="28"/>
          <w:szCs w:val="28"/>
          <w:lang w:eastAsia="ru-RU"/>
        </w:rPr>
        <w:t>Владивосток 2025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caps/>
          <w:szCs w:val="24"/>
          <w:lang w:eastAsia="ru-RU"/>
        </w:rPr>
      </w:pPr>
      <w:r w:rsidRPr="00985A10">
        <w:rPr>
          <w:rFonts w:eastAsia="Times New Roman" w:cs="Times New Roman"/>
          <w:caps/>
          <w:szCs w:val="24"/>
          <w:lang w:eastAsia="ru-RU"/>
        </w:rPr>
        <w:lastRenderedPageBreak/>
        <w:t xml:space="preserve">МИНИСТЕРСТВО НАУКИ И ВЫСШЕГО образования 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caps/>
          <w:szCs w:val="24"/>
          <w:lang w:eastAsia="ru-RU"/>
        </w:rPr>
      </w:pPr>
      <w:r w:rsidRPr="00985A10">
        <w:rPr>
          <w:rFonts w:eastAsia="Times New Roman" w:cs="Times New Roman"/>
          <w:caps/>
          <w:szCs w:val="24"/>
          <w:lang w:eastAsia="ru-RU"/>
        </w:rPr>
        <w:t>российской федерации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ФЕДЕРАЛЬНОЕ ГОСУДАРСТВЕННОЕ БЮДЖЕТНОЕ ОБРАЗОВАТЕЛЬНОЕ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УЧРЕЖДЕНИЕ ВЫСШЕГО ОБРАЗОВАНИЯ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«ВЛАДИВОСТОКСКИЙ ГОСУДАРСТВЕННЫЙ УНИВЕРСИТЕТ»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КАФЕДРА ЭКОНОМИКИ И УПРАВЛЕНИЯ</w:t>
      </w:r>
    </w:p>
    <w:p w:rsidR="00985A10" w:rsidRPr="00985A10" w:rsidRDefault="00985A10" w:rsidP="00985A10">
      <w:pPr>
        <w:widowControl w:val="0"/>
        <w:spacing w:after="0" w:line="360" w:lineRule="auto"/>
        <w:ind w:left="720" w:firstLine="567"/>
        <w:contextualSpacing/>
        <w:jc w:val="center"/>
        <w:rPr>
          <w:rFonts w:eastAsia="Calibri" w:cs="Times New Roman"/>
          <w:szCs w:val="24"/>
          <w:lang w:eastAsia="ru-RU"/>
        </w:rPr>
      </w:pPr>
    </w:p>
    <w:p w:rsidR="00985A10" w:rsidRPr="00985A10" w:rsidRDefault="00985A10" w:rsidP="00985A10">
      <w:pPr>
        <w:widowControl w:val="0"/>
        <w:spacing w:after="0" w:line="360" w:lineRule="auto"/>
        <w:contextualSpacing/>
        <w:jc w:val="center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ИНДИВИДУАЛЬНОЕ ЗАДАНИЕ</w:t>
      </w:r>
    </w:p>
    <w:p w:rsidR="00985A10" w:rsidRPr="00985A10" w:rsidRDefault="00985A10" w:rsidP="00985A10">
      <w:pPr>
        <w:widowControl w:val="0"/>
        <w:spacing w:after="0" w:line="360" w:lineRule="auto"/>
        <w:jc w:val="center"/>
        <w:rPr>
          <w:rFonts w:eastAsia="Times New Roman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 xml:space="preserve">на </w:t>
      </w:r>
      <w:r w:rsidRPr="00985A10">
        <w:rPr>
          <w:rFonts w:eastAsia="Times New Roman" w:cs="Times New Roman"/>
          <w:szCs w:val="24"/>
          <w:lang w:eastAsia="ru-RU"/>
        </w:rPr>
        <w:t>производственную научно-исследовательскую практику (НИР)</w:t>
      </w:r>
    </w:p>
    <w:p w:rsidR="00985A10" w:rsidRPr="00985A10" w:rsidRDefault="00985A10" w:rsidP="00985A10">
      <w:pPr>
        <w:widowControl w:val="0"/>
        <w:spacing w:after="0" w:line="360" w:lineRule="auto"/>
        <w:contextualSpacing/>
        <w:jc w:val="center"/>
        <w:rPr>
          <w:rFonts w:eastAsia="Calibri" w:cs="Times New Roman"/>
          <w:szCs w:val="24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567"/>
        <w:contextualSpacing/>
        <w:jc w:val="both"/>
        <w:rPr>
          <w:rFonts w:eastAsia="Calibri" w:cs="Times New Roman"/>
          <w:szCs w:val="24"/>
          <w:lang w:eastAsia="zh-CN"/>
        </w:rPr>
      </w:pPr>
      <w:r w:rsidRPr="00985A10">
        <w:rPr>
          <w:rFonts w:eastAsia="Calibri" w:cs="Times New Roman"/>
          <w:szCs w:val="24"/>
          <w:lang w:eastAsia="zh-CN"/>
        </w:rPr>
        <w:t>Студент: Рубцова Алёна Николаевна</w:t>
      </w:r>
    </w:p>
    <w:p w:rsidR="00985A10" w:rsidRPr="00985A10" w:rsidRDefault="00985A10" w:rsidP="00985A10">
      <w:pPr>
        <w:widowControl w:val="0"/>
        <w:spacing w:after="0" w:line="240" w:lineRule="auto"/>
        <w:ind w:firstLine="567"/>
        <w:contextualSpacing/>
        <w:jc w:val="both"/>
        <w:rPr>
          <w:rFonts w:eastAsia="Calibri" w:cs="Times New Roman"/>
          <w:szCs w:val="24"/>
          <w:lang w:eastAsia="zh-CN"/>
        </w:rPr>
      </w:pPr>
      <w:r w:rsidRPr="00985A10">
        <w:rPr>
          <w:rFonts w:eastAsia="Calibri" w:cs="Times New Roman"/>
          <w:szCs w:val="24"/>
          <w:lang w:eastAsia="zh-CN"/>
        </w:rPr>
        <w:t>Группа: ЗМГУ 23-ГР1</w:t>
      </w:r>
    </w:p>
    <w:p w:rsidR="00985A10" w:rsidRPr="00985A10" w:rsidRDefault="00985A10" w:rsidP="00985A10">
      <w:pPr>
        <w:widowControl w:val="0"/>
        <w:spacing w:after="120" w:line="240" w:lineRule="auto"/>
        <w:ind w:firstLine="567"/>
        <w:jc w:val="both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zh-CN"/>
        </w:rPr>
        <w:t>Тема исследования: «Государственное регулирование энергетической политики на территории</w:t>
      </w:r>
      <w:r w:rsidRPr="00985A10">
        <w:rPr>
          <w:rFonts w:eastAsia="Calibri" w:cs="Times New Roman"/>
          <w:szCs w:val="24"/>
          <w:lang w:eastAsia="ru-RU"/>
        </w:rPr>
        <w:t xml:space="preserve"> ДФО»</w:t>
      </w:r>
    </w:p>
    <w:p w:rsidR="00985A10" w:rsidRPr="00985A10" w:rsidRDefault="00985A10" w:rsidP="00985A10">
      <w:pPr>
        <w:widowControl w:val="0"/>
        <w:spacing w:after="120" w:line="240" w:lineRule="auto"/>
        <w:ind w:firstLine="567"/>
        <w:jc w:val="both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Место прохождения практики: ФГБОУ ВО "ВВГУ", ИМБЭУ, кафедра экономики и управления, г. Владивосток</w:t>
      </w:r>
    </w:p>
    <w:p w:rsidR="00985A10" w:rsidRPr="00985A10" w:rsidRDefault="00985A10" w:rsidP="00985A10">
      <w:pPr>
        <w:widowControl w:val="0"/>
        <w:spacing w:after="0" w:line="240" w:lineRule="auto"/>
        <w:ind w:firstLine="567"/>
        <w:contextualSpacing/>
        <w:jc w:val="both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Срок сдачи 28.06.2025 г.</w:t>
      </w:r>
    </w:p>
    <w:p w:rsidR="00985A10" w:rsidRPr="00985A10" w:rsidRDefault="00985A10" w:rsidP="00985A10">
      <w:pPr>
        <w:widowControl w:val="0"/>
        <w:spacing w:after="120" w:line="240" w:lineRule="auto"/>
        <w:ind w:firstLine="567"/>
        <w:jc w:val="both"/>
        <w:rPr>
          <w:rFonts w:eastAsia="Calibri" w:cs="Times New Roman"/>
          <w:szCs w:val="24"/>
          <w:lang w:eastAsia="ru-RU"/>
        </w:rPr>
      </w:pPr>
      <w:r w:rsidRPr="00985A10">
        <w:rPr>
          <w:rFonts w:eastAsia="Calibri" w:cs="Times New Roman"/>
          <w:szCs w:val="24"/>
          <w:lang w:eastAsia="ru-RU"/>
        </w:rPr>
        <w:t>Содержание отчета по практике:</w:t>
      </w:r>
    </w:p>
    <w:p w:rsidR="00985A10" w:rsidRPr="00985A10" w:rsidRDefault="00985A10" w:rsidP="00985A10">
      <w:pPr>
        <w:widowControl w:val="0"/>
        <w:spacing w:after="0" w:line="240" w:lineRule="auto"/>
        <w:ind w:left="1134" w:hanging="1134"/>
        <w:contextualSpacing/>
        <w:jc w:val="both"/>
        <w:rPr>
          <w:rFonts w:eastAsia="Calibri" w:cs="Times New Roman"/>
          <w:b/>
          <w:szCs w:val="24"/>
          <w:lang w:eastAsia="ru-RU"/>
        </w:rPr>
      </w:pPr>
      <w:r w:rsidRPr="00985A10">
        <w:rPr>
          <w:rFonts w:eastAsia="Calibri" w:cs="Times New Roman"/>
          <w:b/>
          <w:color w:val="000000"/>
          <w:lang w:eastAsia="ru-RU"/>
        </w:rPr>
        <w:t>Введение:</w:t>
      </w:r>
      <w:r w:rsidRPr="00985A10">
        <w:rPr>
          <w:rFonts w:eastAsia="Calibri" w:cs="Times New Roman"/>
          <w:b/>
          <w:szCs w:val="24"/>
          <w:lang w:eastAsia="ru-RU"/>
        </w:rPr>
        <w:t xml:space="preserve"> </w:t>
      </w:r>
      <w:r w:rsidRPr="00985A10">
        <w:rPr>
          <w:rFonts w:eastAsia="Calibri" w:cs="Times New Roman"/>
          <w:bCs/>
          <w:szCs w:val="24"/>
          <w:lang w:eastAsia="ru-RU"/>
        </w:rPr>
        <w:t>определить цель и задачи практики, основные методы, необходимые для их достижения (ПК-11)</w:t>
      </w:r>
    </w:p>
    <w:p w:rsidR="00985A10" w:rsidRPr="00985A10" w:rsidRDefault="00985A10" w:rsidP="00985A10">
      <w:pPr>
        <w:widowControl w:val="0"/>
        <w:spacing w:after="0" w:line="240" w:lineRule="auto"/>
        <w:ind w:left="1134" w:hanging="1134"/>
        <w:jc w:val="both"/>
        <w:rPr>
          <w:rFonts w:eastAsia="Calibri" w:cs="Times New Roman"/>
          <w:bCs/>
          <w:szCs w:val="24"/>
          <w:lang w:eastAsia="ru-RU"/>
        </w:rPr>
      </w:pPr>
      <w:r w:rsidRPr="00985A10">
        <w:rPr>
          <w:rFonts w:eastAsia="Calibri" w:cs="Times New Roman"/>
          <w:b/>
          <w:bCs/>
          <w:szCs w:val="24"/>
          <w:lang w:eastAsia="ru-RU"/>
        </w:rPr>
        <w:t xml:space="preserve">Задание 1. </w:t>
      </w:r>
      <w:r w:rsidRPr="00985A10">
        <w:rPr>
          <w:rFonts w:eastAsia="Calibri" w:cs="Times New Roman"/>
          <w:szCs w:val="24"/>
          <w:lang w:eastAsia="ru-RU"/>
        </w:rPr>
        <w:t>Исследовать</w:t>
      </w:r>
      <w:r w:rsidRPr="00985A10">
        <w:rPr>
          <w:rFonts w:eastAsia="Calibri" w:cs="Times New Roman"/>
          <w:b/>
          <w:bCs/>
          <w:szCs w:val="24"/>
          <w:lang w:eastAsia="ru-RU"/>
        </w:rPr>
        <w:t xml:space="preserve"> </w:t>
      </w:r>
      <w:r w:rsidRPr="00985A10">
        <w:rPr>
          <w:rFonts w:eastAsia="Calibri" w:cs="Times New Roman"/>
          <w:bCs/>
          <w:szCs w:val="24"/>
          <w:lang w:eastAsia="ru-RU"/>
        </w:rPr>
        <w:t xml:space="preserve">методы </w:t>
      </w:r>
      <w:r w:rsidRPr="00985A10">
        <w:rPr>
          <w:rFonts w:eastAsia="Calibri" w:cs="Times New Roman"/>
          <w:szCs w:val="24"/>
          <w:lang w:eastAsia="ru-RU"/>
        </w:rPr>
        <w:t xml:space="preserve">оценки достоверности информационных источников в сфере государственного и муниципального управления; исследовать методы структурирования отчетов, аналитических записок, документов программного и стратегического планирования; </w:t>
      </w:r>
      <w:r w:rsidRPr="00985A10">
        <w:rPr>
          <w:rFonts w:eastAsia="Calibri" w:cs="Times New Roman"/>
          <w:iCs/>
          <w:szCs w:val="24"/>
          <w:lang w:eastAsia="ru-RU"/>
        </w:rPr>
        <w:t xml:space="preserve">методы систематизации и обобщения информационных источников </w:t>
      </w:r>
      <w:r w:rsidRPr="00985A10">
        <w:rPr>
          <w:rFonts w:eastAsia="Calibri" w:cs="Times New Roman"/>
          <w:szCs w:val="24"/>
          <w:lang w:eastAsia="ru-RU"/>
        </w:rPr>
        <w:t xml:space="preserve">в сфере государственного и муниципального управления. </w:t>
      </w:r>
      <w:r w:rsidRPr="00985A10">
        <w:rPr>
          <w:rFonts w:eastAsia="Calibri" w:cs="Times New Roman"/>
          <w:bCs/>
          <w:szCs w:val="24"/>
          <w:lang w:eastAsia="ru-RU"/>
        </w:rPr>
        <w:t xml:space="preserve">Представить результаты исследования в виде функциональных схем и диаграмм с использованием информационно-коммуникационных технологий с кратким изложением выводов </w:t>
      </w:r>
      <w:r w:rsidRPr="00985A10">
        <w:rPr>
          <w:rFonts w:eastAsia="Calibri" w:cs="Times New Roman"/>
          <w:szCs w:val="24"/>
          <w:lang w:eastAsia="ru-RU"/>
        </w:rPr>
        <w:t>(ПК-11, ПК-14)</w:t>
      </w:r>
      <w:r w:rsidRPr="00985A10">
        <w:rPr>
          <w:rFonts w:eastAsia="Calibri" w:cs="Times New Roman"/>
          <w:bCs/>
          <w:szCs w:val="24"/>
          <w:lang w:eastAsia="ru-RU"/>
        </w:rPr>
        <w:t>.</w:t>
      </w:r>
    </w:p>
    <w:p w:rsidR="00985A10" w:rsidRPr="00985A10" w:rsidRDefault="00985A10" w:rsidP="00985A10">
      <w:pPr>
        <w:widowControl w:val="0"/>
        <w:spacing w:after="0" w:line="240" w:lineRule="auto"/>
        <w:ind w:left="1276" w:hanging="1276"/>
        <w:contextualSpacing/>
        <w:jc w:val="both"/>
        <w:rPr>
          <w:rFonts w:eastAsia="Calibri" w:cs="Times New Roman"/>
          <w:bCs/>
          <w:szCs w:val="24"/>
          <w:lang w:eastAsia="ru-RU"/>
        </w:rPr>
      </w:pPr>
      <w:r w:rsidRPr="00985A10">
        <w:rPr>
          <w:rFonts w:eastAsia="Calibri" w:cs="Times New Roman"/>
          <w:b/>
          <w:bCs/>
          <w:szCs w:val="24"/>
          <w:lang w:eastAsia="ru-RU"/>
        </w:rPr>
        <w:t xml:space="preserve">Задание 2. </w:t>
      </w:r>
      <w:r w:rsidRPr="00985A10">
        <w:rPr>
          <w:rFonts w:eastAsia="Calibri" w:cs="Times New Roman"/>
          <w:bCs/>
          <w:szCs w:val="24"/>
          <w:lang w:eastAsia="ru-RU"/>
        </w:rPr>
        <w:t>Индивидуальное задание в соответствии с выбранной темой исследования:</w:t>
      </w:r>
    </w:p>
    <w:p w:rsidR="00985A10" w:rsidRPr="00985A10" w:rsidRDefault="00985A10" w:rsidP="00985A10">
      <w:pPr>
        <w:widowControl w:val="0"/>
        <w:spacing w:after="0" w:line="240" w:lineRule="auto"/>
        <w:ind w:left="1134"/>
        <w:contextualSpacing/>
        <w:jc w:val="both"/>
        <w:rPr>
          <w:rFonts w:eastAsia="Calibri" w:cs="Times New Roman"/>
          <w:bCs/>
          <w:szCs w:val="24"/>
          <w:lang w:eastAsia="ru-RU"/>
        </w:rPr>
      </w:pPr>
      <w:r w:rsidRPr="00985A10">
        <w:rPr>
          <w:rFonts w:eastAsia="Calibri" w:cs="Times New Roman"/>
          <w:bCs/>
          <w:szCs w:val="24"/>
          <w:lang w:eastAsia="ru-RU"/>
        </w:rPr>
        <w:t xml:space="preserve">Разработать структуру и содержание аналитической части (главы) магистерской диссертации с использованием </w:t>
      </w:r>
      <w:r w:rsidRPr="00985A10">
        <w:rPr>
          <w:rFonts w:eastAsia="Calibri" w:cs="Times New Roman"/>
          <w:szCs w:val="24"/>
          <w:lang w:eastAsia="ru-RU"/>
        </w:rPr>
        <w:t xml:space="preserve">методов </w:t>
      </w:r>
      <w:r w:rsidRPr="00985A10">
        <w:rPr>
          <w:rFonts w:eastAsia="Calibri" w:cs="Times New Roman"/>
          <w:iCs/>
          <w:szCs w:val="24"/>
          <w:lang w:eastAsia="ru-RU"/>
        </w:rPr>
        <w:t xml:space="preserve">систематизации и обобщения информационных источников </w:t>
      </w:r>
      <w:r w:rsidRPr="00985A10">
        <w:rPr>
          <w:rFonts w:eastAsia="Calibri" w:cs="Times New Roman"/>
          <w:bCs/>
          <w:szCs w:val="24"/>
          <w:lang w:eastAsia="ru-RU"/>
        </w:rPr>
        <w:t xml:space="preserve">с учетом особенностей объекта исследования.  Представить содержание аналитической части магистерской диссертации в текстовом изложении с элементами </w:t>
      </w:r>
      <w:proofErr w:type="spellStart"/>
      <w:r w:rsidRPr="00985A10">
        <w:rPr>
          <w:rFonts w:eastAsia="Calibri" w:cs="Times New Roman"/>
          <w:bCs/>
          <w:szCs w:val="24"/>
          <w:lang w:eastAsia="ru-RU"/>
        </w:rPr>
        <w:t>инфографики</w:t>
      </w:r>
      <w:proofErr w:type="spellEnd"/>
      <w:r w:rsidRPr="00985A10">
        <w:rPr>
          <w:rFonts w:eastAsia="Calibri" w:cs="Times New Roman"/>
          <w:bCs/>
          <w:szCs w:val="24"/>
          <w:lang w:eastAsia="ru-RU"/>
        </w:rPr>
        <w:t xml:space="preserve"> демонстрирующими результаты анализа объекта исследования (ПК-13, ПК-17).</w:t>
      </w:r>
    </w:p>
    <w:p w:rsidR="00985A10" w:rsidRPr="00985A10" w:rsidRDefault="00985A10" w:rsidP="00985A10">
      <w:pPr>
        <w:widowControl w:val="0"/>
        <w:spacing w:after="0" w:line="240" w:lineRule="auto"/>
        <w:ind w:left="1134"/>
        <w:contextualSpacing/>
        <w:jc w:val="both"/>
        <w:rPr>
          <w:rFonts w:eastAsia="Calibri" w:cs="Times New Roman"/>
          <w:bCs/>
          <w:szCs w:val="24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jc w:val="both"/>
        <w:rPr>
          <w:rFonts w:eastAsia="Calibri" w:cs="Times New Roman"/>
          <w:b/>
          <w:color w:val="000000"/>
          <w:szCs w:val="24"/>
          <w:lang w:eastAsia="ru-RU"/>
        </w:rPr>
      </w:pPr>
      <w:r w:rsidRPr="00985A10">
        <w:rPr>
          <w:rFonts w:eastAsia="Calibri" w:cs="Times New Roman"/>
          <w:b/>
          <w:color w:val="000000"/>
          <w:szCs w:val="24"/>
          <w:lang w:eastAsia="ru-RU"/>
        </w:rPr>
        <w:t xml:space="preserve">Заключение: </w:t>
      </w:r>
      <w:r w:rsidRPr="00985A10">
        <w:rPr>
          <w:rFonts w:eastAsia="Calibri" w:cs="Times New Roman"/>
          <w:color w:val="000000"/>
          <w:szCs w:val="24"/>
          <w:lang w:eastAsia="ru-RU"/>
        </w:rPr>
        <w:t>выводы по решению поставленных во введении задач (ПК-11)</w:t>
      </w:r>
    </w:p>
    <w:p w:rsidR="00985A10" w:rsidRPr="00985A10" w:rsidRDefault="00985A10" w:rsidP="00985A10">
      <w:pPr>
        <w:widowControl w:val="0"/>
        <w:spacing w:after="0" w:line="240" w:lineRule="auto"/>
        <w:ind w:left="1134" w:hanging="1134"/>
        <w:jc w:val="both"/>
        <w:rPr>
          <w:rFonts w:eastAsia="Calibri" w:cs="Times New Roman"/>
          <w:b/>
          <w:color w:val="000000"/>
          <w:szCs w:val="24"/>
          <w:lang w:eastAsia="ru-RU"/>
        </w:rPr>
      </w:pPr>
      <w:r w:rsidRPr="00985A10">
        <w:rPr>
          <w:rFonts w:eastAsia="Calibri" w:cs="Times New Roman"/>
          <w:b/>
          <w:color w:val="000000"/>
          <w:szCs w:val="24"/>
          <w:lang w:eastAsia="ru-RU"/>
        </w:rPr>
        <w:t xml:space="preserve">Список использованных источников (не менее 15 позиций не старше 2019 года): </w:t>
      </w:r>
      <w:r w:rsidRPr="00985A10">
        <w:rPr>
          <w:rFonts w:eastAsia="Times New Roman" w:cs="Times New Roman"/>
          <w:bCs/>
          <w:szCs w:val="24"/>
          <w:lang w:eastAsia="ru-RU"/>
        </w:rPr>
        <w:t>Составить список литературы с использованием профессиональных баз данных и профессиональных Интернет-ресурсов.</w:t>
      </w:r>
    </w:p>
    <w:p w:rsidR="00985A10" w:rsidRPr="00985A10" w:rsidRDefault="00985A10" w:rsidP="00985A10">
      <w:pPr>
        <w:widowControl w:val="0"/>
        <w:spacing w:after="0" w:line="240" w:lineRule="auto"/>
        <w:ind w:firstLine="400"/>
        <w:jc w:val="both"/>
        <w:rPr>
          <w:rFonts w:eastAsia="Times New Roman" w:cs="Times New Roman"/>
          <w:szCs w:val="24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400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>Руководитель</w:t>
      </w:r>
      <w:r w:rsidRPr="00985A10">
        <w:rPr>
          <w:rFonts w:eastAsia="Times New Roman" w:cs="Times New Roman"/>
          <w:sz w:val="28"/>
          <w:lang w:eastAsia="ru-RU"/>
        </w:rPr>
        <w:t xml:space="preserve"> </w:t>
      </w:r>
    </w:p>
    <w:p w:rsidR="00985A10" w:rsidRPr="00985A10" w:rsidRDefault="00985A10" w:rsidP="00985A10">
      <w:pPr>
        <w:widowControl w:val="0"/>
        <w:spacing w:after="0" w:line="240" w:lineRule="auto"/>
        <w:ind w:firstLine="403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 xml:space="preserve">канд. </w:t>
      </w:r>
      <w:proofErr w:type="spellStart"/>
      <w:r w:rsidRPr="00985A10">
        <w:rPr>
          <w:rFonts w:eastAsia="Times New Roman" w:cs="Times New Roman"/>
          <w:szCs w:val="24"/>
          <w:lang w:eastAsia="ru-RU"/>
        </w:rPr>
        <w:t>экон</w:t>
      </w:r>
      <w:proofErr w:type="spellEnd"/>
      <w:r w:rsidRPr="00985A10">
        <w:rPr>
          <w:rFonts w:eastAsia="Times New Roman" w:cs="Times New Roman"/>
          <w:szCs w:val="24"/>
          <w:lang w:eastAsia="ru-RU"/>
        </w:rPr>
        <w:t>. наук, доцент кафедры ЭУ</w:t>
      </w:r>
      <w:r w:rsidRPr="00985A10">
        <w:rPr>
          <w:rFonts w:eastAsia="Times New Roman" w:cs="Times New Roman"/>
          <w:szCs w:val="24"/>
          <w:lang w:eastAsia="ru-RU"/>
        </w:rPr>
        <w:tab/>
      </w:r>
      <w:r w:rsidRPr="00985A10">
        <w:rPr>
          <w:rFonts w:eastAsia="Times New Roman" w:cs="Times New Roman"/>
          <w:szCs w:val="24"/>
          <w:lang w:eastAsia="ru-RU"/>
        </w:rPr>
        <w:tab/>
        <w:t>_______________</w:t>
      </w:r>
      <w:r w:rsidRPr="00985A10">
        <w:rPr>
          <w:rFonts w:eastAsia="Times New Roman" w:cs="Times New Roman"/>
          <w:szCs w:val="24"/>
          <w:lang w:eastAsia="ru-RU"/>
        </w:rPr>
        <w:tab/>
        <w:t>Н.Г. Ивельская</w:t>
      </w:r>
    </w:p>
    <w:p w:rsidR="00985A10" w:rsidRPr="00985A10" w:rsidRDefault="00985A10" w:rsidP="00985A10">
      <w:pPr>
        <w:widowControl w:val="0"/>
        <w:spacing w:after="0" w:line="360" w:lineRule="auto"/>
        <w:ind w:firstLine="403"/>
        <w:jc w:val="both"/>
        <w:rPr>
          <w:rFonts w:eastAsia="Times New Roman" w:cs="Times New Roman"/>
          <w:szCs w:val="24"/>
          <w:lang w:eastAsia="ru-RU"/>
        </w:rPr>
      </w:pPr>
    </w:p>
    <w:p w:rsidR="00985A10" w:rsidRPr="00985A10" w:rsidRDefault="00985A10" w:rsidP="00985A10">
      <w:pPr>
        <w:widowControl w:val="0"/>
        <w:spacing w:after="0" w:line="360" w:lineRule="auto"/>
        <w:ind w:firstLine="403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>Задание получил: «21» апреля 2025 г.</w:t>
      </w:r>
      <w:r w:rsidRPr="00985A10">
        <w:rPr>
          <w:rFonts w:eastAsia="Times New Roman" w:cs="Times New Roman"/>
          <w:szCs w:val="24"/>
          <w:lang w:eastAsia="ru-RU"/>
        </w:rPr>
        <w:tab/>
        <w:t>_______________</w:t>
      </w:r>
      <w:r w:rsidRPr="00985A10">
        <w:rPr>
          <w:rFonts w:eastAsia="Times New Roman" w:cs="Times New Roman"/>
          <w:szCs w:val="24"/>
          <w:lang w:eastAsia="ru-RU"/>
        </w:rPr>
        <w:tab/>
        <w:t>А.Н. Рубцова</w:t>
      </w:r>
    </w:p>
    <w:p w:rsidR="00985A10" w:rsidRPr="00985A10" w:rsidRDefault="00985A10" w:rsidP="00985A10">
      <w:pPr>
        <w:widowControl w:val="0"/>
        <w:spacing w:after="0" w:line="360" w:lineRule="auto"/>
        <w:ind w:firstLine="709"/>
        <w:jc w:val="center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lastRenderedPageBreak/>
        <w:t>РАБОЧИЙ ГРАФИК (ПЛАН)</w:t>
      </w: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 xml:space="preserve">Студент: </w:t>
      </w:r>
      <w:r w:rsidRPr="00985A10">
        <w:rPr>
          <w:rFonts w:eastAsia="Times New Roman" w:cs="Times New Roman"/>
          <w:szCs w:val="24"/>
          <w:u w:val="single"/>
          <w:lang w:eastAsia="ru-RU"/>
        </w:rPr>
        <w:t>Рубцова Алёна Николаевна</w:t>
      </w: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 w:val="20"/>
          <w:szCs w:val="20"/>
          <w:lang w:eastAsia="ru-RU"/>
        </w:rPr>
        <w:t xml:space="preserve">                        Фамилия Имя Отчество</w:t>
      </w: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 xml:space="preserve">Кафедра экономики и управления </w:t>
      </w:r>
      <w:r w:rsidRPr="00985A10">
        <w:rPr>
          <w:rFonts w:eastAsia="Times New Roman" w:cs="Times New Roman"/>
          <w:szCs w:val="24"/>
          <w:u w:val="single"/>
          <w:lang w:eastAsia="ru-RU"/>
        </w:rPr>
        <w:t>Группа: ЗМГУ-23- ГР</w:t>
      </w:r>
      <w:proofErr w:type="gramStart"/>
      <w:r w:rsidRPr="00985A10">
        <w:rPr>
          <w:rFonts w:eastAsia="Times New Roman" w:cs="Times New Roman"/>
          <w:szCs w:val="24"/>
          <w:u w:val="single"/>
          <w:lang w:eastAsia="ru-RU"/>
        </w:rPr>
        <w:t>1</w:t>
      </w:r>
      <w:proofErr w:type="gramEnd"/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 xml:space="preserve">Руководитель практики: </w:t>
      </w:r>
      <w:r w:rsidRPr="00985A10">
        <w:rPr>
          <w:rFonts w:eastAsia="Times New Roman" w:cs="Times New Roman"/>
          <w:szCs w:val="24"/>
          <w:u w:val="single"/>
          <w:lang w:eastAsia="ru-RU"/>
        </w:rPr>
        <w:t>Ивельская Нина Григорьевна</w:t>
      </w:r>
      <w:r w:rsidRPr="00985A10">
        <w:rPr>
          <w:rFonts w:eastAsia="Times New Roman" w:cs="Times New Roman"/>
          <w:szCs w:val="24"/>
          <w:lang w:eastAsia="ru-RU"/>
        </w:rPr>
        <w:t xml:space="preserve"> </w:t>
      </w:r>
    </w:p>
    <w:p w:rsidR="00985A10" w:rsidRPr="00985A10" w:rsidRDefault="00985A10" w:rsidP="00985A10">
      <w:pPr>
        <w:widowControl w:val="0"/>
        <w:spacing w:after="0" w:line="360" w:lineRule="auto"/>
        <w:ind w:left="2268" w:firstLine="567"/>
        <w:jc w:val="both"/>
        <w:rPr>
          <w:rFonts w:eastAsia="Times New Roman" w:cs="Times New Roman"/>
          <w:sz w:val="20"/>
          <w:szCs w:val="20"/>
          <w:lang w:eastAsia="ru-RU"/>
        </w:rPr>
      </w:pPr>
      <w:r w:rsidRPr="00985A10">
        <w:rPr>
          <w:rFonts w:eastAsia="Times New Roman" w:cs="Times New Roman"/>
          <w:sz w:val="20"/>
          <w:szCs w:val="20"/>
          <w:lang w:eastAsia="ru-RU"/>
        </w:rPr>
        <w:t>Фамилия Имя Отчество</w:t>
      </w:r>
    </w:p>
    <w:p w:rsidR="00985A10" w:rsidRPr="00985A10" w:rsidRDefault="00985A10" w:rsidP="00985A10">
      <w:pPr>
        <w:widowControl w:val="0"/>
        <w:spacing w:after="0" w:line="360" w:lineRule="auto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  __________________________  Н.Г. Ивельская</w:t>
      </w:r>
    </w:p>
    <w:p w:rsidR="00985A10" w:rsidRPr="00985A10" w:rsidRDefault="00985A10" w:rsidP="00985A10">
      <w:pPr>
        <w:widowControl w:val="0"/>
        <w:spacing w:after="240" w:line="360" w:lineRule="auto"/>
        <w:ind w:firstLine="709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985A10">
        <w:rPr>
          <w:rFonts w:eastAsia="Times New Roman" w:cs="Times New Roman"/>
          <w:sz w:val="20"/>
          <w:szCs w:val="20"/>
          <w:lang w:eastAsia="ru-RU"/>
        </w:rPr>
        <w:t xml:space="preserve">              (подпись уполномоченного лица, МП)</w:t>
      </w:r>
    </w:p>
    <w:p w:rsidR="00985A10" w:rsidRPr="00985A10" w:rsidRDefault="00985A10" w:rsidP="00985A10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 xml:space="preserve">С правилами трудового распорядка </w:t>
      </w:r>
      <w:proofErr w:type="gramStart"/>
      <w:r w:rsidRPr="00985A10">
        <w:rPr>
          <w:rFonts w:eastAsia="Times New Roman" w:cs="Times New Roman"/>
          <w:szCs w:val="24"/>
          <w:lang w:eastAsia="ru-RU"/>
        </w:rPr>
        <w:t>ознакомлен</w:t>
      </w:r>
      <w:proofErr w:type="gramEnd"/>
      <w:r w:rsidRPr="00985A10">
        <w:rPr>
          <w:rFonts w:eastAsia="Times New Roman" w:cs="Times New Roman"/>
          <w:szCs w:val="24"/>
          <w:lang w:eastAsia="ru-RU"/>
        </w:rPr>
        <w:t xml:space="preserve">  __________________  А.Н. Рубцова</w:t>
      </w:r>
    </w:p>
    <w:p w:rsidR="00985A10" w:rsidRPr="00985A10" w:rsidRDefault="00985A10" w:rsidP="00985A10">
      <w:pPr>
        <w:widowControl w:val="0"/>
        <w:spacing w:after="240" w:line="360" w:lineRule="auto"/>
        <w:ind w:left="4389" w:firstLine="567"/>
        <w:jc w:val="both"/>
        <w:rPr>
          <w:rFonts w:eastAsia="Times New Roman" w:cs="Times New Roman"/>
          <w:sz w:val="20"/>
          <w:szCs w:val="20"/>
          <w:lang w:eastAsia="ru-RU"/>
        </w:rPr>
      </w:pPr>
      <w:r w:rsidRPr="00985A10">
        <w:rPr>
          <w:rFonts w:eastAsia="Times New Roman" w:cs="Times New Roman"/>
          <w:sz w:val="20"/>
          <w:szCs w:val="20"/>
          <w:lang w:eastAsia="ru-RU"/>
        </w:rPr>
        <w:t xml:space="preserve">  (подпись </w:t>
      </w:r>
      <w:proofErr w:type="gramStart"/>
      <w:r w:rsidRPr="00985A10">
        <w:rPr>
          <w:rFonts w:eastAsia="Times New Roman" w:cs="Times New Roman"/>
          <w:sz w:val="20"/>
          <w:szCs w:val="20"/>
          <w:lang w:eastAsia="ru-RU"/>
        </w:rPr>
        <w:t>обучающегося</w:t>
      </w:r>
      <w:proofErr w:type="gramEnd"/>
      <w:r w:rsidRPr="00985A10">
        <w:rPr>
          <w:rFonts w:eastAsia="Times New Roman" w:cs="Times New Roman"/>
          <w:sz w:val="20"/>
          <w:szCs w:val="20"/>
          <w:lang w:eastAsia="ru-RU"/>
        </w:rPr>
        <w:t>)</w:t>
      </w: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2"/>
        <w:gridCol w:w="3033"/>
        <w:gridCol w:w="1691"/>
        <w:gridCol w:w="2206"/>
      </w:tblGrid>
      <w:tr w:rsidR="00985A10" w:rsidRPr="00985A10" w:rsidTr="00985A10">
        <w:tc>
          <w:tcPr>
            <w:tcW w:w="2422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Этапы практики</w:t>
            </w:r>
          </w:p>
        </w:tc>
        <w:tc>
          <w:tcPr>
            <w:tcW w:w="3073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Виды работы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Срок выполнения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985A10" w:rsidRPr="00985A10" w:rsidTr="00985A10">
        <w:tc>
          <w:tcPr>
            <w:tcW w:w="2422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numPr>
                <w:ilvl w:val="0"/>
                <w:numId w:val="8"/>
              </w:numPr>
              <w:spacing w:before="120" w:after="120" w:line="240" w:lineRule="auto"/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85A10">
              <w:rPr>
                <w:rFonts w:eastAsia="Calibri" w:cs="Times New Roman"/>
                <w:szCs w:val="24"/>
              </w:rPr>
              <w:t>Подготовительный</w:t>
            </w:r>
          </w:p>
        </w:tc>
        <w:tc>
          <w:tcPr>
            <w:tcW w:w="307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 xml:space="preserve">Организационное собрание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21.04.2025</w:t>
            </w:r>
          </w:p>
        </w:tc>
        <w:tc>
          <w:tcPr>
            <w:tcW w:w="223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985A10" w:rsidRPr="00985A10" w:rsidTr="00985A10">
        <w:tc>
          <w:tcPr>
            <w:tcW w:w="2422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Инструктаж по технике безопасности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21.04.2025</w:t>
            </w:r>
          </w:p>
        </w:tc>
        <w:tc>
          <w:tcPr>
            <w:tcW w:w="223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985A10" w:rsidRPr="00985A10" w:rsidTr="00985A10">
        <w:tc>
          <w:tcPr>
            <w:tcW w:w="2422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numPr>
                <w:ilvl w:val="0"/>
                <w:numId w:val="8"/>
              </w:numPr>
              <w:spacing w:before="120" w:after="120" w:line="240" w:lineRule="auto"/>
              <w:contextualSpacing/>
              <w:jc w:val="both"/>
              <w:rPr>
                <w:rFonts w:eastAsia="Calibri" w:cs="Times New Roman"/>
                <w:sz w:val="20"/>
                <w:szCs w:val="20"/>
              </w:rPr>
            </w:pPr>
            <w:r w:rsidRPr="00985A10">
              <w:rPr>
                <w:rFonts w:eastAsia="Calibri" w:cs="Times New Roman"/>
                <w:szCs w:val="24"/>
              </w:rPr>
              <w:t>Аналитический</w:t>
            </w:r>
          </w:p>
        </w:tc>
        <w:tc>
          <w:tcPr>
            <w:tcW w:w="307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Описать методы анализа, планирования и оценки рисков профессиональной деятельности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22.04.2025 –</w:t>
            </w:r>
          </w:p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20.05.2025</w:t>
            </w:r>
          </w:p>
        </w:tc>
        <w:tc>
          <w:tcPr>
            <w:tcW w:w="223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985A10" w:rsidRPr="00985A10" w:rsidTr="00985A10">
        <w:tc>
          <w:tcPr>
            <w:tcW w:w="2422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Провести структуризацию информации научных работ, систематизировать основные подходы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21.05.2025 –</w:t>
            </w:r>
          </w:p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11.06.2025</w:t>
            </w:r>
          </w:p>
        </w:tc>
        <w:tc>
          <w:tcPr>
            <w:tcW w:w="223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985A10" w:rsidRPr="00985A10" w:rsidTr="00985A10">
        <w:tc>
          <w:tcPr>
            <w:tcW w:w="2422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Предложить направления развития актуальных нерешенных вопросов в выбранной сфере деятельности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12.06.2025 –</w:t>
            </w:r>
          </w:p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27.06.2025</w:t>
            </w:r>
          </w:p>
        </w:tc>
        <w:tc>
          <w:tcPr>
            <w:tcW w:w="223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985A10" w:rsidRPr="00985A10" w:rsidTr="00985A10">
        <w:tc>
          <w:tcPr>
            <w:tcW w:w="2422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numPr>
                <w:ilvl w:val="0"/>
                <w:numId w:val="8"/>
              </w:numPr>
              <w:spacing w:before="120" w:after="120" w:line="240" w:lineRule="auto"/>
              <w:contextualSpacing/>
              <w:jc w:val="both"/>
              <w:rPr>
                <w:rFonts w:eastAsia="Calibri" w:cs="Times New Roman"/>
                <w:sz w:val="20"/>
                <w:szCs w:val="20"/>
              </w:rPr>
            </w:pPr>
            <w:r w:rsidRPr="00985A10">
              <w:rPr>
                <w:rFonts w:eastAsia="Calibri" w:cs="Times New Roman"/>
                <w:szCs w:val="24"/>
              </w:rPr>
              <w:t>Заключительный</w:t>
            </w:r>
          </w:p>
        </w:tc>
        <w:tc>
          <w:tcPr>
            <w:tcW w:w="307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Подготовка и сдача отчета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985A10">
              <w:rPr>
                <w:rFonts w:eastAsia="Times New Roman" w:cs="Times New Roman"/>
                <w:szCs w:val="24"/>
                <w:lang w:eastAsia="ru-RU"/>
              </w:rPr>
              <w:t>28.06.2025</w:t>
            </w:r>
          </w:p>
        </w:tc>
        <w:tc>
          <w:tcPr>
            <w:tcW w:w="2233" w:type="dxa"/>
            <w:shd w:val="clear" w:color="auto" w:fill="auto"/>
          </w:tcPr>
          <w:p w:rsidR="00985A10" w:rsidRPr="00985A10" w:rsidRDefault="00985A10" w:rsidP="00985A10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985A10" w:rsidRPr="00985A10" w:rsidRDefault="00985A10" w:rsidP="00985A10">
      <w:pPr>
        <w:widowControl w:val="0"/>
        <w:spacing w:after="0" w:line="360" w:lineRule="auto"/>
        <w:jc w:val="both"/>
        <w:rPr>
          <w:rFonts w:eastAsia="Times New Roman" w:cs="Times New Roman"/>
          <w:szCs w:val="24"/>
          <w:lang w:eastAsia="ru-RU"/>
        </w:rPr>
      </w:pPr>
    </w:p>
    <w:p w:rsidR="00985A10" w:rsidRPr="00985A10" w:rsidRDefault="00985A10" w:rsidP="00985A10">
      <w:pPr>
        <w:widowControl w:val="0"/>
        <w:spacing w:after="0" w:line="240" w:lineRule="auto"/>
        <w:ind w:firstLine="400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>Руководитель</w:t>
      </w:r>
      <w:r w:rsidRPr="00985A10">
        <w:rPr>
          <w:rFonts w:eastAsia="Times New Roman" w:cs="Times New Roman"/>
          <w:sz w:val="28"/>
          <w:lang w:eastAsia="ru-RU"/>
        </w:rPr>
        <w:t xml:space="preserve"> </w:t>
      </w:r>
    </w:p>
    <w:p w:rsidR="00985A10" w:rsidRPr="00985A10" w:rsidRDefault="00985A10" w:rsidP="00985A10">
      <w:pPr>
        <w:widowControl w:val="0"/>
        <w:spacing w:after="0" w:line="240" w:lineRule="auto"/>
        <w:ind w:firstLine="400"/>
        <w:jc w:val="both"/>
        <w:rPr>
          <w:rFonts w:eastAsia="Times New Roman" w:cs="Times New Roman"/>
          <w:szCs w:val="24"/>
          <w:lang w:eastAsia="ru-RU"/>
        </w:rPr>
      </w:pPr>
      <w:r w:rsidRPr="00985A10">
        <w:rPr>
          <w:rFonts w:eastAsia="Times New Roman" w:cs="Times New Roman"/>
          <w:szCs w:val="24"/>
          <w:lang w:eastAsia="ru-RU"/>
        </w:rPr>
        <w:t xml:space="preserve">канд. </w:t>
      </w:r>
      <w:proofErr w:type="spellStart"/>
      <w:r w:rsidRPr="00985A10">
        <w:rPr>
          <w:rFonts w:eastAsia="Times New Roman" w:cs="Times New Roman"/>
          <w:szCs w:val="24"/>
          <w:lang w:eastAsia="ru-RU"/>
        </w:rPr>
        <w:t>экон</w:t>
      </w:r>
      <w:proofErr w:type="spellEnd"/>
      <w:r w:rsidRPr="00985A10">
        <w:rPr>
          <w:rFonts w:eastAsia="Times New Roman" w:cs="Times New Roman"/>
          <w:szCs w:val="24"/>
          <w:lang w:eastAsia="ru-RU"/>
        </w:rPr>
        <w:t>. наук, доцент кафедры ЭУ</w:t>
      </w:r>
      <w:r w:rsidRPr="00985A10">
        <w:rPr>
          <w:rFonts w:eastAsia="Times New Roman" w:cs="Times New Roman"/>
          <w:szCs w:val="24"/>
          <w:lang w:eastAsia="ru-RU"/>
        </w:rPr>
        <w:tab/>
      </w:r>
      <w:r w:rsidRPr="00985A10">
        <w:rPr>
          <w:rFonts w:eastAsia="Times New Roman" w:cs="Times New Roman"/>
          <w:szCs w:val="24"/>
          <w:lang w:eastAsia="ru-RU"/>
        </w:rPr>
        <w:tab/>
        <w:t>_______________</w:t>
      </w:r>
      <w:r w:rsidRPr="00985A10">
        <w:rPr>
          <w:rFonts w:eastAsia="Times New Roman" w:cs="Times New Roman"/>
          <w:szCs w:val="24"/>
          <w:lang w:eastAsia="ru-RU"/>
        </w:rPr>
        <w:tab/>
        <w:t xml:space="preserve">Н.Г. Ивельская </w:t>
      </w:r>
    </w:p>
    <w:p w:rsidR="00491593" w:rsidRPr="00491593" w:rsidRDefault="00491593" w:rsidP="00491593">
      <w:pPr>
        <w:widowControl w:val="0"/>
        <w:spacing w:after="240" w:line="240" w:lineRule="auto"/>
        <w:jc w:val="center"/>
        <w:rPr>
          <w:rFonts w:ascii="Arial" w:eastAsia="Times New Roman" w:hAnsi="Arial" w:cs="Arial"/>
          <w:sz w:val="30"/>
          <w:szCs w:val="32"/>
        </w:rPr>
      </w:pPr>
      <w:bookmarkStart w:id="1" w:name="_Toc201525390"/>
      <w:r w:rsidRPr="00491593">
        <w:rPr>
          <w:rFonts w:ascii="Arial" w:eastAsia="Times New Roman" w:hAnsi="Arial" w:cs="Arial"/>
          <w:sz w:val="30"/>
          <w:szCs w:val="32"/>
        </w:rPr>
        <w:lastRenderedPageBreak/>
        <w:t>Содержание</w:t>
      </w:r>
    </w:p>
    <w:p w:rsidR="00491593" w:rsidRPr="00491593" w:rsidRDefault="00491593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fldChar w:fldCharType="begin"/>
      </w:r>
      <w:r w:rsidRPr="00491593">
        <w:rPr>
          <w:rFonts w:eastAsia="Times New Roman" w:cs="Times New Roman"/>
          <w:sz w:val="28"/>
          <w:lang w:eastAsia="ru-RU"/>
        </w:rPr>
        <w:instrText xml:space="preserve"> TOC \o "1-3" \h \z \u </w:instrText>
      </w:r>
      <w:r w:rsidRPr="00491593">
        <w:rPr>
          <w:rFonts w:eastAsia="Times New Roman" w:cs="Times New Roman"/>
          <w:sz w:val="28"/>
          <w:lang w:eastAsia="ru-RU"/>
        </w:rPr>
        <w:fldChar w:fldCharType="separate"/>
      </w:r>
      <w:hyperlink w:anchor="_Toc201589513" w:history="1">
        <w:r w:rsidRPr="00491593">
          <w:rPr>
            <w:rFonts w:eastAsia="Times New Roman" w:cs="Times New Roman"/>
            <w:noProof/>
            <w:sz w:val="28"/>
            <w:lang w:eastAsia="ru-RU"/>
          </w:rPr>
          <w:t>Введение</w:t>
        </w:r>
        <w:r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_Toc201589513 \h </w:instrText>
        </w:r>
        <w:r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5</w:t>
        </w:r>
        <w:r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14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 xml:space="preserve">1 </w:t>
        </w:r>
        <w:r w:rsidR="00491593" w:rsidRPr="00491593">
          <w:rPr>
            <w:rFonts w:eastAsia="Calibri" w:cs="Times New Roman"/>
            <w:noProof/>
            <w:kern w:val="2"/>
            <w:sz w:val="28"/>
            <w:lang w:eastAsia="ru-RU"/>
          </w:rPr>
          <w:t>Методы оценки достоверности информационных источников в сфере государственного и муниципального управления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_Toc201589514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6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1134" w:hanging="425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15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1.1 Организационно-правовые основы государственного регулирования энергетической политики в Российской Федерации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_Toc201589515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6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1134" w:hanging="425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16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1.2 Барьеры для развития энергетического рынка ДФО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_Toc201589516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14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1134" w:hanging="425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17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1.3 Потенциал развития энергетического рынка ДФО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_Toc201589517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22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18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2 Индивидуальное задание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_Toc201589518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26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19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Заключение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_Toc201589519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30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20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Список использованных источников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_Toc201589520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31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21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Приложение А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_Toc201589521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33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FD4A88" w:rsidP="00491593">
      <w:pPr>
        <w:widowControl w:val="0"/>
        <w:tabs>
          <w:tab w:val="right" w:pos="9628"/>
        </w:tabs>
        <w:spacing w:after="0" w:line="360" w:lineRule="auto"/>
        <w:ind w:left="851" w:hanging="284"/>
        <w:jc w:val="both"/>
        <w:rPr>
          <w:rFonts w:ascii="Calibri" w:eastAsia="Times New Roman" w:hAnsi="Calibri" w:cs="Times New Roman"/>
          <w:noProof/>
          <w:sz w:val="22"/>
          <w:lang w:eastAsia="ru-RU"/>
        </w:rPr>
      </w:pPr>
      <w:hyperlink w:anchor="_Toc201589522" w:history="1">
        <w:r w:rsidR="00491593" w:rsidRPr="00491593">
          <w:rPr>
            <w:rFonts w:eastAsia="Times New Roman" w:cs="Times New Roman"/>
            <w:noProof/>
            <w:sz w:val="28"/>
            <w:lang w:eastAsia="ru-RU"/>
          </w:rPr>
          <w:t>Приложение Б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tab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begin"/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instrText xml:space="preserve"> PAGEREF _Toc201589522 \h </w:instrTex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separate"/>
        </w:r>
        <w:r w:rsidR="00504847">
          <w:rPr>
            <w:rFonts w:eastAsia="Times New Roman" w:cs="Times New Roman"/>
            <w:noProof/>
            <w:webHidden/>
            <w:sz w:val="28"/>
            <w:lang w:eastAsia="ru-RU"/>
          </w:rPr>
          <w:t>34</w:t>
        </w:r>
        <w:r w:rsidR="00491593" w:rsidRPr="00491593">
          <w:rPr>
            <w:rFonts w:eastAsia="Times New Roman" w:cs="Times New Roman"/>
            <w:noProof/>
            <w:webHidden/>
            <w:sz w:val="28"/>
            <w:lang w:eastAsia="ru-RU"/>
          </w:rPr>
          <w:fldChar w:fldCharType="end"/>
        </w:r>
      </w:hyperlink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  <w:r w:rsidRPr="00491593">
        <w:rPr>
          <w:rFonts w:eastAsia="Times New Roman" w:cs="Times New Roman"/>
          <w:b/>
          <w:bCs/>
          <w:sz w:val="28"/>
          <w:lang w:eastAsia="ru-RU"/>
        </w:rPr>
        <w:fldChar w:fldCharType="end"/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b/>
          <w:bCs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jc w:val="center"/>
        <w:outlineLvl w:val="0"/>
        <w:rPr>
          <w:rFonts w:ascii="Arial" w:eastAsia="Times New Roman" w:hAnsi="Arial" w:cs="Arial"/>
          <w:kern w:val="32"/>
          <w:sz w:val="30"/>
          <w:szCs w:val="28"/>
        </w:rPr>
      </w:pPr>
      <w:bookmarkStart w:id="2" w:name="_Toc201589489"/>
      <w:bookmarkStart w:id="3" w:name="_Toc201589513"/>
      <w:r w:rsidRPr="00491593">
        <w:rPr>
          <w:rFonts w:ascii="Arial" w:eastAsia="Times New Roman" w:hAnsi="Arial" w:cs="Times New Roman"/>
          <w:bCs/>
          <w:sz w:val="30"/>
          <w:szCs w:val="30"/>
        </w:rPr>
        <w:lastRenderedPageBreak/>
        <w:t>Введение</w:t>
      </w:r>
      <w:bookmarkEnd w:id="2"/>
      <w:bookmarkEnd w:id="3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Энергетическая государственная политика обеспечивает стимулы и устойчивость национальной экономики и социальной сферы, является базовой инфраструктуры отраслевого развития. Особенностью сферы является ее наукоемкость, зависимость от государственного программно-целевого управления регионами и использования механизмов регулирования.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Тема исследования: «Государственное регулирование энергетической политики на территории ДФО» является актуальной в связи с установленными приоритетами трансформации национальной экономики и экономики ДФО в частности.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Целью научно-исследовательской практики является сбор и анализ информационных источников для написания магистерской диссертации.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Задачи научно-исследовательской практики: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провести анализ теоретических подходов к определению направлений и механизмов государственного регулирования энергетической политики РФ;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провести анализ нормативно-правового регулирования энергетической отрасли РФ;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провести анализ проблем и барьеров развития энергетической отрасли в ДФО;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составить план по теме магистерской диссертации.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Объект исследования – государственная политика регулирования национального рынка энергетики Российской Федерации.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Предмет исследования – механизмы государственного регулирования политики развития электроэнергетики в ДФО.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Прохождение научно-исследовательской практики позволит провести сбор, анализ, систематизацию актуальных исследований по теме магистерской диссертации.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bookmarkStart w:id="4" w:name="_Toc201525391"/>
      <w:bookmarkStart w:id="5" w:name="_Toc201589490"/>
      <w:bookmarkStart w:id="6" w:name="_Toc201589514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outlineLvl w:val="0"/>
        <w:rPr>
          <w:rFonts w:ascii="Arial" w:eastAsia="Calibri" w:hAnsi="Arial" w:cs="Times New Roman"/>
          <w:kern w:val="2"/>
          <w:sz w:val="30"/>
          <w:szCs w:val="30"/>
        </w:rPr>
      </w:pPr>
      <w:r w:rsidRPr="00491593">
        <w:rPr>
          <w:rFonts w:ascii="Arial" w:eastAsia="Times New Roman" w:hAnsi="Arial" w:cs="Times New Roman"/>
          <w:bCs/>
          <w:sz w:val="30"/>
          <w:szCs w:val="30"/>
        </w:rPr>
        <w:lastRenderedPageBreak/>
        <w:t xml:space="preserve">1 </w:t>
      </w:r>
      <w:r w:rsidRPr="00491593">
        <w:rPr>
          <w:rFonts w:ascii="Arial" w:eastAsia="Calibri" w:hAnsi="Arial" w:cs="Times New Roman"/>
          <w:kern w:val="2"/>
          <w:sz w:val="30"/>
          <w:szCs w:val="30"/>
        </w:rPr>
        <w:t>Методы оценки достоверности информационных источников в сфере государственного и муниципального управления</w:t>
      </w:r>
      <w:bookmarkStart w:id="7" w:name="_Toc201525392"/>
      <w:bookmarkEnd w:id="4"/>
      <w:bookmarkEnd w:id="5"/>
      <w:bookmarkEnd w:id="6"/>
    </w:p>
    <w:p w:rsidR="00491593" w:rsidRPr="00491593" w:rsidRDefault="00491593" w:rsidP="00491593">
      <w:pPr>
        <w:widowControl w:val="0"/>
        <w:suppressAutoHyphens/>
        <w:spacing w:after="120" w:line="240" w:lineRule="auto"/>
        <w:ind w:left="993" w:hanging="284"/>
        <w:outlineLvl w:val="1"/>
        <w:rPr>
          <w:rFonts w:ascii="Arial" w:eastAsia="Calibri" w:hAnsi="Arial" w:cs="Times New Roman"/>
          <w:bCs/>
          <w:kern w:val="2"/>
          <w:sz w:val="28"/>
          <w:szCs w:val="26"/>
        </w:rPr>
      </w:pPr>
      <w:bookmarkStart w:id="8" w:name="_Toc201589491"/>
      <w:bookmarkStart w:id="9" w:name="_Toc201589515"/>
      <w:r w:rsidRPr="00491593">
        <w:rPr>
          <w:rFonts w:ascii="Arial" w:eastAsia="Times New Roman" w:hAnsi="Arial" w:cs="Times New Roman"/>
          <w:bCs/>
          <w:sz w:val="28"/>
          <w:szCs w:val="26"/>
        </w:rPr>
        <w:t>1.1 Организационно-правовые основы государственного регулирования энергетической политики в Российской Федерации</w:t>
      </w:r>
      <w:bookmarkEnd w:id="7"/>
      <w:bookmarkEnd w:id="8"/>
      <w:bookmarkEnd w:id="9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Энергетика – современная высокотехнологичная, наукоемкая отрасль, тесно связанная с формируемой Правительством РФ энергетической политикой.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Топливно-энергетический комплекс, включающий нефтяную, газовую, нефтегазохимическую, угольную отрасли, электроэнергетику и теплоснабжение, занимает существенное место в экономике, являясь основой формирования доходов бюджетной системы Российской Федерации и крупнейшим заказчиком для смежных отраслей [1].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Топливно-энергетический комплекс – это крупнейший сектор, обеспечивающий предсказуемый и долгосрочный заказ для промышленности и остальных секторов народного хозяйства в силу длинного и прозрачного инвестиционного цикла [1].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Как одно из направлений топливно-энергетического комплекса – услуги по передаче электрической энергии и по оперативно-диспетчерскому правлению в электроэнергетики относятся к естественным монополиям.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ст. 3 Закона об электроэнергетике определены категории: ценовые зоны оптового рынка, неценовые зоны оптового рынка и технологически изолированные территориальные электроэнергетические системы. Норма закона была реализована таким образом, что субъекты Российской Федерации по определённым критериям были отнесены к разным ценовым зонам [2].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Одной из ключевых особенностей ценовой зоны по смыслу ст. 6 Закона «Об электроэнергетике» является запрет на совмещение деятельности по передаче электрической энергии и (или) оперативно-диспетчерскому управлению в электроэнергетике с деятельностью по производству и (или) купле-продаже электрической энергии.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lastRenderedPageBreak/>
        <w:t>Особенность для неценовых зон оптового рынка заключается в том, что Правительство РФ устанавливает перечень территорий, в рамках границ которых оптовая торговля электрической энергией и мощностью производится по регулируемым тарифам. В технологически изолированных территориях также отсутствует возможность реализации электрической энергии и мощности с использованием рыночных механизмов в связи с технологическими особенностями, которые обусловлены отсутствием технической возможности интеграции их энергосети с Единой энергетической системой России [3].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Государственное управление топливно-энергетическим комплексом четко выверено и опирается на системообразующие элементы: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долгосрочная государственная энергетическая политика, включающая цели и задачи;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законодательные и нормативные акты;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параметры топливно-энергетического баланса;</w:t>
      </w:r>
    </w:p>
    <w:p w:rsidR="00491593" w:rsidRPr="00491593" w:rsidRDefault="00491593" w:rsidP="00491593">
      <w:pPr>
        <w:widowControl w:val="0"/>
        <w:numPr>
          <w:ilvl w:val="0"/>
          <w:numId w:val="2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государственные институты и ведомства [4].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Энергетический комплекс Российской Федерации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Государственная политика – это сфера деятельности, связанная с отношениями между социальными группами для определения форм, задач, содержания деятельности государства. Политика – деятельность государственных структур и социальных групп, ядром которой является использование государственной власти для решения общественных проблем, достижения и реализации общезначимых целей развития общества и его отдельных сфер.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Государственная политика разделена на два уровня: федеральный и региональный. Целью государственной политики является осуществление централизованного перераспределения ресурсов, а также обеспечения устойчивого развития объекта – субъекта федерации.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Энергетическая политика направлена на долгосрочную стабилизацию внутреннего энергетического рынка и обеспечение эффективности </w:t>
      </w:r>
      <w:r w:rsidRPr="00491593">
        <w:rPr>
          <w:rFonts w:eastAsia="Times New Roman" w:cs="Times New Roman"/>
          <w:sz w:val="28"/>
        </w:rPr>
        <w:lastRenderedPageBreak/>
        <w:t>функционирования национальной экономики в условиях  сильной нестабильности мировых цен на природные не возобновляемые энергоносители. Под объектом энергетической политики следует понимать энергетическую систему как совокупность целевых групп топливно-энергетического комплекса: органов государственной власти, регулирующих развитие смежных с энергетикой отраслей, предпринимательских структур топливно-энергетического комплекса и смежных отраслей, общественных организаций, населения.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Целью энергетической политики следует указать как обеспечение устойчивого развития объекта энергетической политики. Предметом энергетической политики следует назвать комплекс мер и инструментов по управлению устойчивым развитием, систему взаимоотношений между субъектом и объектами энергетической политики.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Энергетическая система государства находится под воздействием экономических институтов: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сдерживающие развитие и снижающие эффективность организаций комплекса: установление предельных цен на электроэнергию, ужесточение экологических требований, ограничения на экспорт, лицензирование энергосбытовой деятельности и др.;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развития: организационно-экономические структуры, деятельность которых направлена на решение специфических проблем экономического роста в конкретных условиях (финансовые институты, бизнес, образовательные и научно-исследовательские учреждения, инвестиционные фонды, ассоциации, партнерства и др.) [5].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Спецификой энергетической сферы России является ее зависимость от импорта продукции энергетического машиностроения [6].  В России насчитывается порядка 50 энергомашиностроительных предприятий, которые производят отдельные комплектующие, но ни одна не осуществляет производство готовой продукции. Перенастройка оборудования требует дополнительных инвестиций, а сама энергетическая система страны для </w:t>
      </w:r>
      <w:r w:rsidRPr="00491593">
        <w:rPr>
          <w:rFonts w:eastAsia="Times New Roman" w:cs="Times New Roman"/>
          <w:sz w:val="28"/>
        </w:rPr>
        <w:lastRenderedPageBreak/>
        <w:t>модернизации оборудования зависит от спроса и распределение электроэнергии. Таким образом, проблема производственного энергопроизводственного комплекса отражается на развитии всей системы, требует вмешательства государства.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К инструментам государственного энергетического регулирования относятся 3 основные группы (таблица 1) [7].</w:t>
      </w:r>
    </w:p>
    <w:p w:rsidR="00491593" w:rsidRPr="00491593" w:rsidRDefault="00491593" w:rsidP="00491593">
      <w:pPr>
        <w:widowControl w:val="0"/>
        <w:suppressAutoHyphens/>
        <w:spacing w:before="240" w:after="120" w:line="240" w:lineRule="auto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Таблица 1 – Инструменты государственного энергетического регулирования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804"/>
      </w:tblGrid>
      <w:tr w:rsidR="00491593" w:rsidRPr="00491593" w:rsidTr="00491593">
        <w:trPr>
          <w:trHeight w:val="454"/>
        </w:trPr>
        <w:tc>
          <w:tcPr>
            <w:tcW w:w="2943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Инструменты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Содержание</w:t>
            </w:r>
          </w:p>
        </w:tc>
      </w:tr>
      <w:tr w:rsidR="00491593" w:rsidRPr="00491593" w:rsidTr="00491593">
        <w:trPr>
          <w:trHeight w:val="454"/>
        </w:trPr>
        <w:tc>
          <w:tcPr>
            <w:tcW w:w="2943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Нормативно-правовые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Федеральные законы: «Об электроэнергетике», «Об энергосбережении и повышении энергетической эффективности»; Налоговый кодекс, др.;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Нормативы и стандарты – требования к зданиям и сооружениям, регулирование деятельности аспектов предприятий системы энергораспределения и генерации;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Лицензирование – контроль и надзор за деятельностью энергетических компаний, транспортировку и сбыт.</w:t>
            </w:r>
          </w:p>
        </w:tc>
      </w:tr>
      <w:tr w:rsidR="00491593" w:rsidRPr="00491593" w:rsidTr="00491593">
        <w:trPr>
          <w:trHeight w:val="454"/>
        </w:trPr>
        <w:tc>
          <w:tcPr>
            <w:tcW w:w="2943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Экономические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Налоги и тарифы: стимулирование энергосбережения;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Субсидирование тарифов; субсидии, гранты, механизмы ГЧП для модернизации и нового строительства;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Торговля квотами на выбросы – механизм регулирования выбросов, влияния на окружающую среду.</w:t>
            </w:r>
          </w:p>
        </w:tc>
      </w:tr>
      <w:tr w:rsidR="00491593" w:rsidRPr="00491593" w:rsidTr="00491593">
        <w:trPr>
          <w:trHeight w:val="454"/>
        </w:trPr>
        <w:tc>
          <w:tcPr>
            <w:tcW w:w="2943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Административные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Государственные программы: поддержка энергосбережения, развития модернизации энергетической инфраструктуры;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Контроль и надзор: мониторинг деятельности энергетических компаний на соответствие требований;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both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– Информационная поддержка</w:t>
            </w:r>
          </w:p>
        </w:tc>
      </w:tr>
    </w:tbl>
    <w:p w:rsidR="00491593" w:rsidRPr="00491593" w:rsidRDefault="00491593" w:rsidP="00491593">
      <w:pPr>
        <w:widowControl w:val="0"/>
        <w:spacing w:before="12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Доктрине об энергетической безопасности отмечены внутренние вызовы энергетической безопасности: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переход Российской Федерации к новой модели социально-экономического развития, предполагающей структурную трансформацию </w:t>
      </w:r>
      <w:r w:rsidRPr="00491593">
        <w:rPr>
          <w:rFonts w:eastAsia="Calibri" w:cs="Times New Roman"/>
          <w:sz w:val="28"/>
        </w:rPr>
        <w:lastRenderedPageBreak/>
        <w:t>экономики, сбалансированное пространственное и региональное развитие, модернизацию основных производственных фондов организаций, существенное повышение производительности труда и эффективности экономической деятельности;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демографическая ситуация – медленный рост численности населения, увеличение доли граждан старшего поколения, сокращение численности трудоспособного населения [8].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proofErr w:type="gramStart"/>
      <w:r w:rsidRPr="00491593">
        <w:rPr>
          <w:rFonts w:eastAsia="Times New Roman" w:cs="Times New Roman"/>
          <w:sz w:val="28"/>
        </w:rPr>
        <w:t>К внутренним угрозам энергетической безопасности отнесены:</w:t>
      </w:r>
      <w:proofErr w:type="gramEnd"/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несоответствие распределения топливно-энергетических возможностей и потребностей в энергетических мощностях территорий РФ;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снижение качества минерально-сырьевой базы;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дефицит трудовых ресурсов для отрасли наряду с ростом количества нарушений в сфере трудовых отношений, охраны труда;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рост количества преступлений и правонарушений в сфере энергетики (хищение, коррупция, неплатежи и др.).</w:t>
      </w:r>
    </w:p>
    <w:p w:rsidR="00491593" w:rsidRPr="00491593" w:rsidRDefault="00491593" w:rsidP="00491593">
      <w:pPr>
        <w:widowControl w:val="0"/>
        <w:spacing w:after="0" w:line="372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Рисками в области энергетической безопасности, связанными с внутренними вызовами и угрозами энергетической безопасности, являются: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несогласованное развитие отраслей топливно-энергетического комплекса и видов деятельности в сфере энергетики, включая экспорт продукции и услуг организаций топливно-энергетического комплекса, в условиях ограниченного государственного контроля и регулирования;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отсутствие четко определенного спроса и потребностей в регионах РФ на продукцию ТЭО;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низкий уровень финансовой устойчивости объектов ТЭО в условиях неопределенности;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необоснованная монополизация в отраслях топливно-энергетического комплекса и неравные условия конкуренции в конкурентных видах деятельности в сфере энергетики;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высокий уровень износа основных производственных фондов </w:t>
      </w:r>
      <w:r w:rsidRPr="00491593">
        <w:rPr>
          <w:rFonts w:eastAsia="Calibri" w:cs="Times New Roman"/>
          <w:sz w:val="28"/>
        </w:rPr>
        <w:lastRenderedPageBreak/>
        <w:t>организаций топливно-энергетического комплекса, низкая эффективность использования и недостаточные темпы обновления этих фондов;</w:t>
      </w:r>
    </w:p>
    <w:p w:rsidR="00491593" w:rsidRPr="00491593" w:rsidRDefault="00491593" w:rsidP="00491593">
      <w:pPr>
        <w:widowControl w:val="0"/>
        <w:numPr>
          <w:ilvl w:val="0"/>
          <w:numId w:val="5"/>
        </w:numPr>
        <w:spacing w:after="0" w:line="372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нерациональное потребление энергоресурсов, монополизация в энергоотрасли, избыточность требований в сфере экологической безопасности [8].</w:t>
      </w:r>
    </w:p>
    <w:p w:rsidR="00491593" w:rsidRPr="00491593" w:rsidRDefault="00491593" w:rsidP="00491593">
      <w:pPr>
        <w:widowControl w:val="0"/>
        <w:spacing w:after="0" w:line="372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Государственное регулирование государственной энергетической политики включает аспекты безопасности, которые включают совершенствование территориально-производственной структуры топливно-энергетического комплекса с учетом необходимости укрепления единства экономического пространства.</w:t>
      </w:r>
    </w:p>
    <w:p w:rsidR="00491593" w:rsidRPr="00491593" w:rsidRDefault="00491593" w:rsidP="00491593">
      <w:pPr>
        <w:widowControl w:val="0"/>
        <w:spacing w:after="0" w:line="372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Регулируемые виды деятельности – виды деятельности, осуществляемые субъектами естественных монополий, организациями коммунального комплекса, организациями, осуществляющими горячее водоснабжение, холодное водоснабжение и (или) водоотведение, в отношении которых в соответствии с законодательством Российской Федерации осуществляется регулирование цен (тарифов) [9].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Энергетической стратегии Российской Федерации на период до 2050 года расширен горизонт планирования и учтены актуальные вызовы, что позволит нефтяному, газовому, угольному секторам, электроэнергетике, энергетическому машиностроению, связанному с ними транспорту точнее соответствовать изменениям, происходящим в мире.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Период реализации Стратегии состоит из трех этапов:</w:t>
      </w:r>
    </w:p>
    <w:p w:rsidR="00491593" w:rsidRPr="00491593" w:rsidRDefault="00491593" w:rsidP="00491593">
      <w:pPr>
        <w:widowControl w:val="0"/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до </w:t>
      </w:r>
      <w:smartTag w:uri="urn:schemas-microsoft-com:office:smarttags" w:element="metricconverter">
        <w:smartTagPr>
          <w:attr w:name="ProductID" w:val="2030 г"/>
        </w:smartTagPr>
        <w:r w:rsidRPr="00491593">
          <w:rPr>
            <w:rFonts w:eastAsia="Calibri" w:cs="Times New Roman"/>
            <w:sz w:val="28"/>
          </w:rPr>
          <w:t>2030 г</w:t>
        </w:r>
      </w:smartTag>
      <w:r w:rsidRPr="00491593">
        <w:rPr>
          <w:rFonts w:eastAsia="Calibri" w:cs="Times New Roman"/>
          <w:sz w:val="28"/>
        </w:rPr>
        <w:t xml:space="preserve">. – адаптация к внешним и внутренним вызовам и обеспечение достижения национальных целей, определенных Указом Президента РФ от 07.05.2024 г. №309 «О национальных целях развития Российской Федерации на период до </w:t>
      </w:r>
      <w:smartTag w:uri="urn:schemas-microsoft-com:office:smarttags" w:element="metricconverter">
        <w:smartTagPr>
          <w:attr w:name="ProductID" w:val="2030 г"/>
        </w:smartTagPr>
        <w:r w:rsidRPr="00491593">
          <w:rPr>
            <w:rFonts w:eastAsia="Calibri" w:cs="Times New Roman"/>
            <w:sz w:val="28"/>
          </w:rPr>
          <w:t>2030 г</w:t>
        </w:r>
      </w:smartTag>
      <w:r w:rsidRPr="00491593">
        <w:rPr>
          <w:rFonts w:eastAsia="Calibri" w:cs="Times New Roman"/>
          <w:sz w:val="28"/>
        </w:rPr>
        <w:t>. и на перспективу до 2036 года»;</w:t>
      </w:r>
    </w:p>
    <w:p w:rsidR="00491593" w:rsidRPr="00491593" w:rsidRDefault="00491593" w:rsidP="00491593">
      <w:pPr>
        <w:widowControl w:val="0"/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2031-2035 гг. – формирование экономики предложения в отраслях топливно-энергетического комплекса для удовлетворения потребностей внутреннего рынка, создание условий для перехода на новый технологический </w:t>
      </w:r>
      <w:r w:rsidRPr="00491593">
        <w:rPr>
          <w:rFonts w:eastAsia="Calibri" w:cs="Times New Roman"/>
          <w:sz w:val="28"/>
        </w:rPr>
        <w:lastRenderedPageBreak/>
        <w:t>уклад;</w:t>
      </w:r>
    </w:p>
    <w:p w:rsidR="00491593" w:rsidRPr="00491593" w:rsidRDefault="00491593" w:rsidP="00491593">
      <w:pPr>
        <w:widowControl w:val="0"/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2036-2050 гг. – опережающее развитие экономики и сохранение роли одного из ведущих поставщиков на мировом энергетическом рынке [1].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Указе Президента РФ «О национальных целях развития РФ на период до </w:t>
      </w:r>
      <w:smartTag w:uri="urn:schemas-microsoft-com:office:smarttags" w:element="metricconverter">
        <w:smartTagPr>
          <w:attr w:name="ProductID" w:val="2030 г"/>
        </w:smartTagPr>
        <w:r w:rsidRPr="00491593">
          <w:rPr>
            <w:rFonts w:eastAsia="Times New Roman" w:cs="Times New Roman"/>
            <w:sz w:val="28"/>
          </w:rPr>
          <w:t>2030 г</w:t>
        </w:r>
      </w:smartTag>
      <w:r w:rsidRPr="00491593">
        <w:rPr>
          <w:rFonts w:eastAsia="Times New Roman" w:cs="Times New Roman"/>
          <w:sz w:val="28"/>
        </w:rPr>
        <w:t>. и на перспективу до 2036 года» содержатся следующие положения:</w:t>
      </w:r>
    </w:p>
    <w:p w:rsidR="00491593" w:rsidRPr="00491593" w:rsidRDefault="00491593" w:rsidP="00491593">
      <w:pPr>
        <w:widowControl w:val="0"/>
        <w:numPr>
          <w:ilvl w:val="0"/>
          <w:numId w:val="4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обеспечение значимого роста энергетической и ресурсной эффективности в жилищно-коммунальном хозяйстве, промышленном и инфраструктурном строительстве;</w:t>
      </w:r>
    </w:p>
    <w:p w:rsidR="00491593" w:rsidRPr="00491593" w:rsidRDefault="00491593" w:rsidP="00491593">
      <w:pPr>
        <w:widowControl w:val="0"/>
        <w:numPr>
          <w:ilvl w:val="0"/>
          <w:numId w:val="4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обеспечение технологической безопасности, включая формирование новых рынков в области энергетических технологий (в том числе атомных);</w:t>
      </w:r>
    </w:p>
    <w:p w:rsidR="00491593" w:rsidRPr="00491593" w:rsidRDefault="00491593" w:rsidP="00491593">
      <w:pPr>
        <w:widowControl w:val="0"/>
        <w:numPr>
          <w:ilvl w:val="0"/>
          <w:numId w:val="4"/>
        </w:numPr>
        <w:spacing w:after="0" w:line="360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до 01.07.2025 г. должен быть разработан комплексный план развития энергетической инфраструктуры на период до </w:t>
      </w:r>
      <w:smartTag w:uri="urn:schemas-microsoft-com:office:smarttags" w:element="metricconverter">
        <w:smartTagPr>
          <w:attr w:name="ProductID" w:val="2036 г"/>
        </w:smartTagPr>
        <w:r w:rsidRPr="00491593">
          <w:rPr>
            <w:rFonts w:eastAsia="Calibri" w:cs="Times New Roman"/>
            <w:sz w:val="28"/>
          </w:rPr>
          <w:t>2036 г</w:t>
        </w:r>
      </w:smartTag>
      <w:r w:rsidRPr="00491593">
        <w:rPr>
          <w:rFonts w:eastAsia="Calibri" w:cs="Times New Roman"/>
          <w:sz w:val="28"/>
        </w:rPr>
        <w:t>. [10].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proofErr w:type="gramStart"/>
      <w:r w:rsidRPr="00491593">
        <w:rPr>
          <w:rFonts w:eastAsia="Times New Roman" w:cs="Times New Roman"/>
          <w:sz w:val="28"/>
        </w:rPr>
        <w:t>Часть мероприятий направлены на ускоренную реализацию инфраструктурных проектов и создание условий, необходимых для перенаправления поставок нефти, газа и продуктов их переработки на новые рынки дружественных стран, наращивание мощностей по перевалке нефти в арктических и дальневосточных портах, активное использование потенциала Северного морского пути, ускоренное соединение систем транспортировки газа «Сила Сибири» и «Сахалин – Хабаровск – Владивосток» с единой системой газоснабжения для приоритетного обеспечения</w:t>
      </w:r>
      <w:proofErr w:type="gramEnd"/>
      <w:r w:rsidRPr="00491593">
        <w:rPr>
          <w:rFonts w:eastAsia="Times New Roman" w:cs="Times New Roman"/>
          <w:sz w:val="28"/>
        </w:rPr>
        <w:t xml:space="preserve"> потребностей внутреннего рынка.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Энергетическая инфраструктура Российской Федерации, основу которой составляют Единая энергетическая система России, Единая система газоснабжения, региональные системы газоснабжения, система магистральных трубопроводов для транспортировки нефти и нефтепродуктов, магистральные и распределительные тепловые сети, является одной из самых протяженных в мире и функционирует в различных природно-климатических условиях – </w:t>
      </w:r>
      <w:proofErr w:type="gramStart"/>
      <w:r w:rsidRPr="00491593">
        <w:rPr>
          <w:rFonts w:eastAsia="Times New Roman" w:cs="Times New Roman"/>
          <w:sz w:val="28"/>
        </w:rPr>
        <w:t>от</w:t>
      </w:r>
      <w:proofErr w:type="gramEnd"/>
      <w:r w:rsidRPr="00491593">
        <w:rPr>
          <w:rFonts w:eastAsia="Times New Roman" w:cs="Times New Roman"/>
          <w:sz w:val="28"/>
        </w:rPr>
        <w:t xml:space="preserve"> арктической до субтропической зоны [1].</w:t>
      </w:r>
    </w:p>
    <w:p w:rsid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таблице 2 приведены производственные показатели производства электроэнергии [1].</w:t>
      </w:r>
    </w:p>
    <w:p w:rsidR="00491593" w:rsidRPr="00491593" w:rsidRDefault="00491593" w:rsidP="00863030">
      <w:pPr>
        <w:widowControl w:val="0"/>
        <w:suppressAutoHyphens/>
        <w:spacing w:after="120" w:line="240" w:lineRule="auto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lastRenderedPageBreak/>
        <w:t>Таблица 2 – Производственные показатели производства электроэнергии</w:t>
      </w:r>
    </w:p>
    <w:p w:rsidR="00491593" w:rsidRPr="00491593" w:rsidRDefault="00491593" w:rsidP="00491593">
      <w:pPr>
        <w:widowControl w:val="0"/>
        <w:spacing w:after="0" w:line="360" w:lineRule="auto"/>
        <w:jc w:val="right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</w:t>
      </w:r>
      <w:r w:rsidRPr="00491593">
        <w:rPr>
          <w:rFonts w:eastAsia="Times New Roman" w:cs="Times New Roman"/>
          <w:color w:val="000000"/>
          <w:szCs w:val="24"/>
          <w:lang w:eastAsia="ru-RU"/>
        </w:rPr>
        <w:t xml:space="preserve">млрд. кВт/ </w:t>
      </w:r>
      <w:proofErr w:type="gramStart"/>
      <w:r w:rsidRPr="00491593">
        <w:rPr>
          <w:rFonts w:eastAsia="Times New Roman" w:cs="Times New Roman"/>
          <w:color w:val="000000"/>
          <w:szCs w:val="24"/>
          <w:lang w:eastAsia="ru-RU"/>
        </w:rPr>
        <w:t>ч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926"/>
        <w:gridCol w:w="981"/>
        <w:gridCol w:w="981"/>
        <w:gridCol w:w="981"/>
        <w:gridCol w:w="981"/>
        <w:gridCol w:w="981"/>
        <w:gridCol w:w="977"/>
      </w:tblGrid>
      <w:tr w:rsidR="00491593" w:rsidRPr="00491593" w:rsidTr="00491593">
        <w:tc>
          <w:tcPr>
            <w:tcW w:w="2002" w:type="pct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Электроэнергия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12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2012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2015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2020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1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2021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2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2022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3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2023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</w:tr>
      <w:tr w:rsidR="00491593" w:rsidRPr="00491593" w:rsidTr="007920CB">
        <w:trPr>
          <w:trHeight w:val="564"/>
        </w:trPr>
        <w:tc>
          <w:tcPr>
            <w:tcW w:w="200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Производство, млрд. кВт/ </w:t>
            </w:r>
            <w:proofErr w:type="gramStart"/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ч</w:t>
            </w:r>
            <w:proofErr w:type="gramEnd"/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1 054,0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1 049,9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1 063,7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1 131,3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1 138,7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1 151,7</w:t>
            </w:r>
          </w:p>
        </w:tc>
      </w:tr>
      <w:tr w:rsidR="00491593" w:rsidRPr="00491593" w:rsidTr="007920CB">
        <w:trPr>
          <w:trHeight w:val="430"/>
        </w:trPr>
        <w:tc>
          <w:tcPr>
            <w:tcW w:w="200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Внутренний рынок, млрд. кВт/ </w:t>
            </w:r>
            <w:proofErr w:type="gramStart"/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ч</w:t>
            </w:r>
            <w:proofErr w:type="gramEnd"/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1 037,5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1 036,4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1 050,4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1 107,2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1 123,5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1 139,3</w:t>
            </w:r>
          </w:p>
        </w:tc>
      </w:tr>
      <w:tr w:rsidR="00491593" w:rsidRPr="00491593" w:rsidTr="007920CB">
        <w:trPr>
          <w:trHeight w:val="265"/>
        </w:trPr>
        <w:tc>
          <w:tcPr>
            <w:tcW w:w="200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Сальдо </w:t>
            </w:r>
            <w:proofErr w:type="spellStart"/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перетоков</w:t>
            </w:r>
            <w:proofErr w:type="spellEnd"/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, млрд. кВт/ ч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16,2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13,5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13,3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24,1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15,2</w:t>
            </w:r>
          </w:p>
        </w:tc>
        <w:tc>
          <w:tcPr>
            <w:tcW w:w="49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12,4</w:t>
            </w:r>
          </w:p>
        </w:tc>
      </w:tr>
    </w:tbl>
    <w:p w:rsidR="00491593" w:rsidRPr="00491593" w:rsidRDefault="00491593" w:rsidP="00491593">
      <w:pPr>
        <w:widowControl w:val="0"/>
        <w:suppressAutoHyphens/>
        <w:spacing w:before="24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 В таблице 3 приведены расчеты роста производственных показателей производства электроэнергии [1].</w:t>
      </w:r>
    </w:p>
    <w:p w:rsidR="00491593" w:rsidRPr="00491593" w:rsidRDefault="00491593" w:rsidP="00863030">
      <w:pPr>
        <w:widowControl w:val="0"/>
        <w:suppressAutoHyphens/>
        <w:spacing w:after="120" w:line="360" w:lineRule="auto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Таблица 3 – Рост производственных показателей производства электроэнергии</w:t>
      </w:r>
    </w:p>
    <w:p w:rsidR="00491593" w:rsidRPr="00491593" w:rsidRDefault="00491593" w:rsidP="00491593">
      <w:pPr>
        <w:widowControl w:val="0"/>
        <w:spacing w:after="0" w:line="360" w:lineRule="auto"/>
        <w:jc w:val="right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%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887"/>
        <w:gridCol w:w="975"/>
        <w:gridCol w:w="975"/>
        <w:gridCol w:w="975"/>
        <w:gridCol w:w="975"/>
        <w:gridCol w:w="975"/>
        <w:gridCol w:w="2046"/>
      </w:tblGrid>
      <w:tr w:rsidR="00491593" w:rsidRPr="00491593" w:rsidTr="00491593">
        <w:tc>
          <w:tcPr>
            <w:tcW w:w="1471" w:type="pct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Показатель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2015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2020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1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2021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2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2022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23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2023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10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2023/2012 гг.</w:t>
            </w:r>
          </w:p>
        </w:tc>
      </w:tr>
      <w:tr w:rsidR="00491593" w:rsidRPr="00491593" w:rsidTr="007920CB">
        <w:trPr>
          <w:trHeight w:val="457"/>
        </w:trPr>
        <w:tc>
          <w:tcPr>
            <w:tcW w:w="1471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Производство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99,6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101,3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106,4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100,7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101,1</w:t>
            </w:r>
          </w:p>
        </w:tc>
        <w:tc>
          <w:tcPr>
            <w:tcW w:w="10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109,3</w:t>
            </w:r>
          </w:p>
        </w:tc>
      </w:tr>
      <w:tr w:rsidR="00491593" w:rsidRPr="00491593" w:rsidTr="007920CB">
        <w:trPr>
          <w:trHeight w:val="407"/>
        </w:trPr>
        <w:tc>
          <w:tcPr>
            <w:tcW w:w="1471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Внутренний рынок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99,9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101,4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105,4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101,5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101,4</w:t>
            </w:r>
          </w:p>
        </w:tc>
        <w:tc>
          <w:tcPr>
            <w:tcW w:w="10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109,8</w:t>
            </w:r>
          </w:p>
        </w:tc>
      </w:tr>
      <w:tr w:rsidR="00491593" w:rsidRPr="00491593" w:rsidTr="007920CB">
        <w:trPr>
          <w:trHeight w:val="413"/>
        </w:trPr>
        <w:tc>
          <w:tcPr>
            <w:tcW w:w="1471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Сальдо </w:t>
            </w:r>
            <w:proofErr w:type="spellStart"/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перетоков</w:t>
            </w:r>
            <w:proofErr w:type="spellEnd"/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83,3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98,5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181,2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63,1</w:t>
            </w:r>
          </w:p>
        </w:tc>
        <w:tc>
          <w:tcPr>
            <w:tcW w:w="497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81,6</w:t>
            </w:r>
          </w:p>
        </w:tc>
        <w:tc>
          <w:tcPr>
            <w:tcW w:w="10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76,5</w:t>
            </w:r>
          </w:p>
        </w:tc>
      </w:tr>
    </w:tbl>
    <w:p w:rsidR="00491593" w:rsidRPr="00491593" w:rsidRDefault="00491593" w:rsidP="00491593">
      <w:pPr>
        <w:widowControl w:val="0"/>
        <w:spacing w:before="12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таблице 4 представлены плановые производственные показатели производства электроэнергии [1].</w:t>
      </w:r>
    </w:p>
    <w:p w:rsidR="00491593" w:rsidRPr="00491593" w:rsidRDefault="00491593" w:rsidP="00863030">
      <w:pPr>
        <w:widowControl w:val="0"/>
        <w:suppressAutoHyphens/>
        <w:spacing w:after="120" w:line="240" w:lineRule="auto"/>
        <w:ind w:left="1486" w:hanging="1486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Таблица 4 – Плановые производственные показатели производства электроэнергии</w:t>
      </w:r>
    </w:p>
    <w:p w:rsidR="00491593" w:rsidRPr="00491593" w:rsidRDefault="00491593" w:rsidP="00491593">
      <w:pPr>
        <w:widowControl w:val="0"/>
        <w:spacing w:after="0" w:line="360" w:lineRule="auto"/>
        <w:jc w:val="right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</w:t>
      </w:r>
      <w:r w:rsidRPr="00491593">
        <w:rPr>
          <w:rFonts w:eastAsia="Times New Roman" w:cs="Times New Roman"/>
          <w:color w:val="000000"/>
          <w:szCs w:val="24"/>
          <w:lang w:eastAsia="ru-RU"/>
        </w:rPr>
        <w:t xml:space="preserve">млрд. кВт/ </w:t>
      </w:r>
      <w:proofErr w:type="gramStart"/>
      <w:r w:rsidRPr="00491593">
        <w:rPr>
          <w:rFonts w:eastAsia="Times New Roman" w:cs="Times New Roman"/>
          <w:color w:val="000000"/>
          <w:szCs w:val="24"/>
          <w:lang w:eastAsia="ru-RU"/>
        </w:rPr>
        <w:t>ч</w:t>
      </w:r>
      <w:proofErr w:type="gramEnd"/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130"/>
        <w:gridCol w:w="1458"/>
        <w:gridCol w:w="1037"/>
        <w:gridCol w:w="1482"/>
        <w:gridCol w:w="1037"/>
        <w:gridCol w:w="1623"/>
        <w:gridCol w:w="1035"/>
      </w:tblGrid>
      <w:tr w:rsidR="00491593" w:rsidRPr="00491593" w:rsidTr="00491593">
        <w:tc>
          <w:tcPr>
            <w:tcW w:w="1086" w:type="pct"/>
            <w:vMerge w:val="restart"/>
            <w:shd w:val="clear" w:color="auto" w:fill="auto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Показатель</w:t>
            </w:r>
          </w:p>
        </w:tc>
        <w:tc>
          <w:tcPr>
            <w:tcW w:w="1272" w:type="pct"/>
            <w:gridSpan w:val="2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30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2030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1285" w:type="pct"/>
            <w:gridSpan w:val="2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36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2036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1356" w:type="pct"/>
            <w:gridSpan w:val="2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50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2050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</w:tr>
      <w:tr w:rsidR="00491593" w:rsidRPr="00491593" w:rsidTr="00491593">
        <w:tc>
          <w:tcPr>
            <w:tcW w:w="1086" w:type="pct"/>
            <w:vMerge/>
            <w:shd w:val="clear" w:color="auto" w:fill="auto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743" w:type="pct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Инерционный</w:t>
            </w:r>
          </w:p>
        </w:tc>
        <w:tc>
          <w:tcPr>
            <w:tcW w:w="529" w:type="pct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Целевой</w:t>
            </w:r>
          </w:p>
        </w:tc>
        <w:tc>
          <w:tcPr>
            <w:tcW w:w="756" w:type="pct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Инерционный</w:t>
            </w:r>
          </w:p>
        </w:tc>
        <w:tc>
          <w:tcPr>
            <w:tcW w:w="529" w:type="pct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Целевой</w:t>
            </w:r>
          </w:p>
        </w:tc>
        <w:tc>
          <w:tcPr>
            <w:tcW w:w="828" w:type="pct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Инерционный</w:t>
            </w:r>
          </w:p>
        </w:tc>
        <w:tc>
          <w:tcPr>
            <w:tcW w:w="528" w:type="pct"/>
            <w:shd w:val="clear" w:color="auto" w:fill="auto"/>
            <w:noWrap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Целевой</w:t>
            </w:r>
          </w:p>
        </w:tc>
      </w:tr>
      <w:tr w:rsidR="00491593" w:rsidRPr="00491593" w:rsidTr="00951E01">
        <w:trPr>
          <w:trHeight w:val="443"/>
        </w:trPr>
        <w:tc>
          <w:tcPr>
            <w:tcW w:w="1086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288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Производство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1 323,6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1 333,0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1 388,4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1 404,8</w:t>
            </w:r>
          </w:p>
        </w:tc>
        <w:tc>
          <w:tcPr>
            <w:tcW w:w="828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1 588,4</w:t>
            </w:r>
          </w:p>
        </w:tc>
        <w:tc>
          <w:tcPr>
            <w:tcW w:w="528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1 638,8</w:t>
            </w:r>
          </w:p>
        </w:tc>
      </w:tr>
      <w:tr w:rsidR="00491593" w:rsidRPr="00491593" w:rsidTr="00951E01">
        <w:trPr>
          <w:trHeight w:val="421"/>
        </w:trPr>
        <w:tc>
          <w:tcPr>
            <w:tcW w:w="1086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288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Внутренний рынок</w:t>
            </w:r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1 310,3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1 319,6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1 374,4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1 390,7</w:t>
            </w:r>
          </w:p>
        </w:tc>
        <w:tc>
          <w:tcPr>
            <w:tcW w:w="828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1 573,9</w:t>
            </w:r>
          </w:p>
        </w:tc>
        <w:tc>
          <w:tcPr>
            <w:tcW w:w="528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1 623,9</w:t>
            </w:r>
          </w:p>
        </w:tc>
      </w:tr>
      <w:tr w:rsidR="00491593" w:rsidRPr="00491593" w:rsidTr="00951E01">
        <w:trPr>
          <w:trHeight w:val="414"/>
        </w:trPr>
        <w:tc>
          <w:tcPr>
            <w:tcW w:w="1086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288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Сальдо </w:t>
            </w:r>
            <w:proofErr w:type="spellStart"/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перетоков</w:t>
            </w:r>
            <w:proofErr w:type="spellEnd"/>
          </w:p>
        </w:tc>
        <w:tc>
          <w:tcPr>
            <w:tcW w:w="743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13,3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13,4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14,0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14,1</w:t>
            </w:r>
          </w:p>
        </w:tc>
        <w:tc>
          <w:tcPr>
            <w:tcW w:w="828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14,5</w:t>
            </w:r>
          </w:p>
        </w:tc>
        <w:tc>
          <w:tcPr>
            <w:tcW w:w="528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288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14,9</w:t>
            </w:r>
          </w:p>
        </w:tc>
      </w:tr>
    </w:tbl>
    <w:p w:rsidR="00491593" w:rsidRDefault="00491593" w:rsidP="00491593">
      <w:pPr>
        <w:widowControl w:val="0"/>
        <w:spacing w:before="12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таблице 5 представлены прогнозы изменения соотношения вырабатываемой электроэнергии по источникам производства [1].</w:t>
      </w:r>
    </w:p>
    <w:p w:rsidR="00491593" w:rsidRPr="00491593" w:rsidRDefault="00491593" w:rsidP="00863030">
      <w:pPr>
        <w:widowControl w:val="0"/>
        <w:spacing w:after="120" w:line="240" w:lineRule="auto"/>
        <w:ind w:left="1418" w:hanging="1418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Таблица 5 – Прогнозы изменения соотношения вырабатываемой электроэнергии по источникам производства</w:t>
      </w:r>
    </w:p>
    <w:p w:rsidR="00491593" w:rsidRPr="00491593" w:rsidRDefault="00491593" w:rsidP="00491593">
      <w:pPr>
        <w:widowControl w:val="0"/>
        <w:spacing w:after="0" w:line="360" w:lineRule="auto"/>
        <w:jc w:val="right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</w:t>
      </w:r>
      <w:proofErr w:type="gramStart"/>
      <w:r w:rsidRPr="00491593">
        <w:rPr>
          <w:rFonts w:eastAsia="Times New Roman" w:cs="Times New Roman"/>
          <w:sz w:val="28"/>
        </w:rPr>
        <w:t>млн</w:t>
      </w:r>
      <w:proofErr w:type="gramEnd"/>
      <w:r w:rsidRPr="00491593">
        <w:rPr>
          <w:rFonts w:eastAsia="Times New Roman" w:cs="Times New Roman"/>
          <w:sz w:val="28"/>
        </w:rPr>
        <w:t xml:space="preserve">, т </w:t>
      </w:r>
      <w:proofErr w:type="spellStart"/>
      <w:r w:rsidRPr="00491593">
        <w:rPr>
          <w:rFonts w:eastAsia="Times New Roman" w:cs="Times New Roman"/>
          <w:sz w:val="28"/>
        </w:rPr>
        <w:t>у.т</w:t>
      </w:r>
      <w:proofErr w:type="spellEnd"/>
      <w:r w:rsidRPr="00491593">
        <w:rPr>
          <w:rFonts w:eastAsia="Times New Roman" w:cs="Times New Roman"/>
          <w:sz w:val="28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828"/>
        <w:gridCol w:w="1622"/>
        <w:gridCol w:w="1038"/>
        <w:gridCol w:w="1622"/>
        <w:gridCol w:w="1038"/>
        <w:gridCol w:w="1622"/>
        <w:gridCol w:w="1038"/>
      </w:tblGrid>
      <w:tr w:rsidR="00491593" w:rsidRPr="00491593" w:rsidTr="00491593">
        <w:tc>
          <w:tcPr>
            <w:tcW w:w="1422" w:type="pct"/>
            <w:vMerge w:val="restart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Показатель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30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2030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36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2036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1193" w:type="pct"/>
            <w:gridSpan w:val="2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50 г"/>
              </w:smartTagPr>
              <w:r w:rsidRPr="00491593">
                <w:rPr>
                  <w:rFonts w:eastAsia="Times New Roman" w:cs="Times New Roman"/>
                  <w:color w:val="000000"/>
                  <w:szCs w:val="24"/>
                  <w:lang w:eastAsia="ru-RU"/>
                </w:rPr>
                <w:t>2050 г</w:t>
              </w:r>
            </w:smartTag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.</w:t>
            </w:r>
          </w:p>
        </w:tc>
      </w:tr>
      <w:tr w:rsidR="00491593" w:rsidRPr="00491593" w:rsidTr="00491593">
        <w:tc>
          <w:tcPr>
            <w:tcW w:w="1422" w:type="pct"/>
            <w:vMerge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742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Инерционный</w:t>
            </w:r>
          </w:p>
        </w:tc>
        <w:tc>
          <w:tcPr>
            <w:tcW w:w="450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Целевой</w:t>
            </w:r>
          </w:p>
        </w:tc>
        <w:tc>
          <w:tcPr>
            <w:tcW w:w="742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Инерционный</w:t>
            </w:r>
          </w:p>
        </w:tc>
        <w:tc>
          <w:tcPr>
            <w:tcW w:w="450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Целевой</w:t>
            </w:r>
          </w:p>
        </w:tc>
        <w:tc>
          <w:tcPr>
            <w:tcW w:w="742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Инерционный</w:t>
            </w:r>
          </w:p>
        </w:tc>
        <w:tc>
          <w:tcPr>
            <w:tcW w:w="450" w:type="pct"/>
            <w:shd w:val="clear" w:color="auto" w:fill="auto"/>
            <w:noWrap/>
            <w:vAlign w:val="bottom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Целевой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ВИЭ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3,1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9,0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9,0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12,4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12,6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16,7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ГЭС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69,8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69,2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69,7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74,5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75,4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78,6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АЭС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75,0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78,7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79,2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95,3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96,4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123,3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Уголь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136,9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149,3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150,8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151,5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153,5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172,3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Нефть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393,3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389,0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404,7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389,0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404,7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389,0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Газ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571,9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626,5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661,4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651,0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676,5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694,7</w:t>
            </w:r>
          </w:p>
        </w:tc>
      </w:tr>
      <w:tr w:rsidR="00491593" w:rsidRPr="00491593" w:rsidTr="00491593">
        <w:tc>
          <w:tcPr>
            <w:tcW w:w="142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Итого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1 250,0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1 321,7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1 374,8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1 373,7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1 419,1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:rsidR="00491593" w:rsidRPr="00491593" w:rsidRDefault="00491593" w:rsidP="00491593">
            <w:pPr>
              <w:widowControl w:val="0"/>
              <w:spacing w:after="0" w:line="312" w:lineRule="auto"/>
              <w:jc w:val="center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491593">
              <w:rPr>
                <w:rFonts w:eastAsia="Times New Roman" w:cs="Times New Roman"/>
                <w:color w:val="000000"/>
                <w:szCs w:val="24"/>
                <w:lang w:eastAsia="ru-RU"/>
              </w:rPr>
              <w:t>1 474,6</w:t>
            </w:r>
          </w:p>
        </w:tc>
      </w:tr>
    </w:tbl>
    <w:p w:rsidR="00491593" w:rsidRPr="00491593" w:rsidRDefault="00491593" w:rsidP="00491593">
      <w:pPr>
        <w:widowControl w:val="0"/>
        <w:spacing w:before="12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На рисунке 1 представлено соотношение вырабатываемой электроэнергии по прогнозам к </w:t>
      </w:r>
      <w:smartTag w:uri="urn:schemas-microsoft-com:office:smarttags" w:element="metricconverter">
        <w:smartTagPr>
          <w:attr w:name="ProductID" w:val="2050 г"/>
        </w:smartTagPr>
        <w:r w:rsidRPr="00491593">
          <w:rPr>
            <w:rFonts w:eastAsia="Times New Roman" w:cs="Times New Roman"/>
            <w:sz w:val="28"/>
          </w:rPr>
          <w:t>2050 г</w:t>
        </w:r>
      </w:smartTag>
      <w:r w:rsidRPr="00491593">
        <w:rPr>
          <w:rFonts w:eastAsia="Times New Roman" w:cs="Times New Roman"/>
          <w:sz w:val="28"/>
        </w:rPr>
        <w:t>. [1].</w:t>
      </w:r>
    </w:p>
    <w:p w:rsidR="00491593" w:rsidRPr="00491593" w:rsidRDefault="00491593" w:rsidP="00491593">
      <w:pPr>
        <w:widowControl w:val="0"/>
        <w:spacing w:after="0" w:line="36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4572000" cy="2743200"/>
            <wp:effectExtent l="0" t="0" r="0" b="0"/>
            <wp:docPr id="30" name="Диаграмма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12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1 – Соотношение вырабатываемой электроэнергии </w:t>
      </w:r>
      <w:r w:rsidRPr="00491593">
        <w:rPr>
          <w:rFonts w:eastAsia="Times New Roman" w:cs="Times New Roman"/>
          <w:sz w:val="28"/>
        </w:rPr>
        <w:br/>
        <w:t xml:space="preserve">по прогнозам к </w:t>
      </w:r>
      <w:smartTag w:uri="urn:schemas-microsoft-com:office:smarttags" w:element="metricconverter">
        <w:smartTagPr>
          <w:attr w:name="ProductID" w:val="2050 г"/>
        </w:smartTagPr>
        <w:r w:rsidRPr="00491593">
          <w:rPr>
            <w:rFonts w:eastAsia="Times New Roman" w:cs="Times New Roman"/>
            <w:sz w:val="28"/>
          </w:rPr>
          <w:t>2050 г</w:t>
        </w:r>
      </w:smartTag>
      <w:r w:rsidRPr="00491593">
        <w:rPr>
          <w:rFonts w:eastAsia="Times New Roman" w:cs="Times New Roman"/>
          <w:sz w:val="28"/>
        </w:rPr>
        <w:t>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Таким образом, ключевым ресурсом для выработки электроэнергии остаются углеводородные полезные ископаемые, общая доля которых в </w:t>
      </w:r>
      <w:smartTag w:uri="urn:schemas-microsoft-com:office:smarttags" w:element="metricconverter">
        <w:smartTagPr>
          <w:attr w:name="ProductID" w:val="2050 г"/>
        </w:smartTagPr>
        <w:r w:rsidRPr="00491593">
          <w:rPr>
            <w:rFonts w:eastAsia="Times New Roman" w:cs="Times New Roman"/>
            <w:sz w:val="28"/>
          </w:rPr>
          <w:t>2050 г</w:t>
        </w:r>
      </w:smartTag>
      <w:r w:rsidRPr="00491593">
        <w:rPr>
          <w:rFonts w:eastAsia="Times New Roman" w:cs="Times New Roman"/>
          <w:sz w:val="28"/>
        </w:rPr>
        <w:t>. прогнозируется на уровне 74%.</w:t>
      </w:r>
    </w:p>
    <w:p w:rsidR="00491593" w:rsidRPr="00491593" w:rsidRDefault="00491593" w:rsidP="00491593">
      <w:pPr>
        <w:widowControl w:val="0"/>
        <w:suppressAutoHyphens/>
        <w:spacing w:before="240" w:after="240" w:line="240" w:lineRule="auto"/>
        <w:ind w:left="993" w:hanging="284"/>
        <w:outlineLvl w:val="1"/>
        <w:rPr>
          <w:rFonts w:ascii="Arial" w:eastAsia="Times New Roman" w:hAnsi="Arial" w:cs="Times New Roman"/>
          <w:bCs/>
          <w:sz w:val="28"/>
          <w:szCs w:val="26"/>
        </w:rPr>
      </w:pPr>
      <w:bookmarkStart w:id="10" w:name="_Toc201525393"/>
      <w:bookmarkStart w:id="11" w:name="_Toc201589492"/>
      <w:bookmarkStart w:id="12" w:name="_Toc201589516"/>
      <w:r w:rsidRPr="00491593">
        <w:rPr>
          <w:rFonts w:ascii="Arial" w:eastAsia="Times New Roman" w:hAnsi="Arial" w:cs="Times New Roman"/>
          <w:bCs/>
          <w:sz w:val="28"/>
          <w:szCs w:val="26"/>
        </w:rPr>
        <w:t>1.2 Барьеры для развития энергетического рынка ДФО</w:t>
      </w:r>
      <w:bookmarkEnd w:id="10"/>
      <w:bookmarkEnd w:id="11"/>
      <w:bookmarkEnd w:id="12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По данным Росстата, рост электропотребления на Дальнем Востоке за </w:t>
      </w:r>
      <w:proofErr w:type="gramStart"/>
      <w:r w:rsidRPr="00491593">
        <w:rPr>
          <w:rFonts w:eastAsia="Times New Roman" w:cs="Times New Roman"/>
          <w:sz w:val="28"/>
        </w:rPr>
        <w:t>последние</w:t>
      </w:r>
      <w:proofErr w:type="gramEnd"/>
      <w:r w:rsidRPr="00491593">
        <w:rPr>
          <w:rFonts w:eastAsia="Times New Roman" w:cs="Times New Roman"/>
          <w:sz w:val="28"/>
        </w:rPr>
        <w:t xml:space="preserve"> 10 лет составил 26 %, что вдвое выше, чем в среднем по России. Прогнозируется, что до 2030 года этот показатель составит 5 % ежегодно, что также более чем в два раза превышает среднероссийский уровень. Вместе с тем, к 2030 году для ликвидации прогнозируемого дефицита электрической энергии и мощности на территории энергосистем ДФО требуется строительство </w:t>
      </w:r>
      <w:r w:rsidRPr="00491593">
        <w:rPr>
          <w:rFonts w:eastAsia="Times New Roman" w:cs="Times New Roman"/>
          <w:sz w:val="28"/>
        </w:rPr>
        <w:lastRenderedPageBreak/>
        <w:t>порядка 2,2 гигаватт мощности теплоэлектростанций и не менее 1,7 гигаватт ВИЭ [11].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Общий объем производимых энергомощностей в ДФО составляет 21,1 ГВт. За период 2014-2023 гг. темп прироста потребления составил 2,3%, в то время как темп прироста потребления электроэнергии – 2,1%.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На рисунке 2 представлена структура производства энергомощностей электростанций в ДФО в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>. [12].</w:t>
      </w:r>
    </w:p>
    <w:p w:rsidR="00491593" w:rsidRPr="00491593" w:rsidRDefault="00491593" w:rsidP="00491593">
      <w:pPr>
        <w:widowControl w:val="0"/>
        <w:spacing w:after="0" w:line="360" w:lineRule="auto"/>
        <w:jc w:val="center"/>
        <w:rPr>
          <w:rFonts w:eastAsia="Times New Roman" w:cs="Times New Roman"/>
          <w:sz w:val="28"/>
          <w:lang w:val="en-US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4572000" cy="2743200"/>
            <wp:effectExtent l="0" t="0" r="0" b="0"/>
            <wp:docPr id="29" name="Диаграмма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120" w:line="36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2 – Структура энергогенерирующих мощностей </w:t>
      </w:r>
      <w:r w:rsidRPr="00491593">
        <w:rPr>
          <w:rFonts w:eastAsia="Times New Roman" w:cs="Times New Roman"/>
          <w:sz w:val="28"/>
        </w:rPr>
        <w:br/>
        <w:t xml:space="preserve">ДФО,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>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Структура потребления электричества по категориям потребителей представлена на рисунке 3 [12].</w:t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  <w:lang w:val="en-US"/>
        </w:rPr>
      </w:pPr>
      <w:r>
        <w:rPr>
          <w:rFonts w:eastAsia="Times New Roman" w:cs="Times New Roman"/>
          <w:noProof/>
          <w:sz w:val="28"/>
          <w:lang w:eastAsia="ru-RU"/>
        </w:rPr>
        <w:lastRenderedPageBreak/>
        <w:drawing>
          <wp:inline distT="0" distB="0" distL="0" distR="0" wp14:anchorId="4ABD2D1D" wp14:editId="56789FC1">
            <wp:extent cx="4710430" cy="2881630"/>
            <wp:effectExtent l="0" t="0" r="0" b="0"/>
            <wp:docPr id="28" name="Диаграмма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24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3 – Структура потребления электричества </w:t>
      </w:r>
      <w:r w:rsidRPr="00491593">
        <w:rPr>
          <w:rFonts w:eastAsia="Times New Roman" w:cs="Times New Roman"/>
          <w:sz w:val="28"/>
        </w:rPr>
        <w:br/>
        <w:t xml:space="preserve">по категориям потребителей,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>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Следует отметить высокую долю потерь, что определяется как уровнем износа оборудования, технологическими запланированными потерями, а также потерями, связанными с недостаточным контролем подключения к сетям.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На рисунке 4 представлена динамика производства и потребления электрической энергии.</w:t>
      </w:r>
    </w:p>
    <w:p w:rsidR="00491593" w:rsidRPr="00491593" w:rsidRDefault="00491593" w:rsidP="00491593">
      <w:pPr>
        <w:widowControl w:val="0"/>
        <w:spacing w:after="0" w:line="36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4572000" cy="2743200"/>
            <wp:effectExtent l="0" t="0" r="0" b="0"/>
            <wp:docPr id="27" name="Диаграмма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4 – Динамика производства и потребления электрической </w:t>
      </w:r>
      <w:r w:rsidRPr="00491593">
        <w:rPr>
          <w:rFonts w:eastAsia="Times New Roman" w:cs="Times New Roman"/>
          <w:sz w:val="28"/>
        </w:rPr>
        <w:br/>
        <w:t xml:space="preserve">энергии в ДФО, </w:t>
      </w:r>
      <w:proofErr w:type="gramStart"/>
      <w:r w:rsidRPr="00491593">
        <w:rPr>
          <w:rFonts w:eastAsia="Times New Roman" w:cs="Times New Roman"/>
          <w:sz w:val="28"/>
        </w:rPr>
        <w:t>млрд</w:t>
      </w:r>
      <w:proofErr w:type="gramEnd"/>
      <w:r w:rsidRPr="00491593">
        <w:rPr>
          <w:rFonts w:eastAsia="Times New Roman" w:cs="Times New Roman"/>
          <w:sz w:val="28"/>
        </w:rPr>
        <w:t xml:space="preserve"> кВт/ч</w:t>
      </w:r>
    </w:p>
    <w:p w:rsidR="00491593" w:rsidRPr="00491593" w:rsidRDefault="00491593" w:rsidP="00491593">
      <w:pPr>
        <w:widowControl w:val="0"/>
        <w:spacing w:before="12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ОЭС Востока отсутствуют стимулы для модернизации генерирующих мощностей: моральное и техническое устаревание оборудования повышает риски для стабильности энергоснабжения. ПАО «</w:t>
      </w:r>
      <w:proofErr w:type="spellStart"/>
      <w:r w:rsidRPr="00491593">
        <w:rPr>
          <w:rFonts w:eastAsia="Times New Roman" w:cs="Times New Roman"/>
          <w:sz w:val="28"/>
        </w:rPr>
        <w:t>РусГидро</w:t>
      </w:r>
      <w:proofErr w:type="spellEnd"/>
      <w:r w:rsidRPr="00491593">
        <w:rPr>
          <w:rFonts w:eastAsia="Times New Roman" w:cs="Times New Roman"/>
          <w:sz w:val="28"/>
        </w:rPr>
        <w:t xml:space="preserve">» и АО «ДГК» </w:t>
      </w:r>
      <w:r w:rsidRPr="00491593">
        <w:rPr>
          <w:rFonts w:eastAsia="Times New Roman" w:cs="Times New Roman"/>
          <w:sz w:val="28"/>
        </w:rPr>
        <w:lastRenderedPageBreak/>
        <w:t>являются крупнейшими производителями электроэнергии в регионе и занимают одни из последних мест в России по уровню физического износа оборудования среди генерирующих компаний.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Географические особенности регионов, входящих в ОЭС Востока, осложняют поддержание стабильной работы энергосистемы в условиях государственного регулирования. Болотистая почва, тайга, значительные расстояния между генерирующими объектами и потребителями – все это делает низкоэффективным централизованное планирование </w:t>
      </w:r>
      <w:proofErr w:type="spellStart"/>
      <w:r w:rsidRPr="00491593">
        <w:rPr>
          <w:rFonts w:eastAsia="Times New Roman" w:cs="Times New Roman"/>
          <w:sz w:val="28"/>
        </w:rPr>
        <w:t>электрогенерации</w:t>
      </w:r>
      <w:proofErr w:type="spellEnd"/>
      <w:r w:rsidRPr="00491593">
        <w:rPr>
          <w:rFonts w:eastAsia="Times New Roman" w:cs="Times New Roman"/>
          <w:sz w:val="28"/>
        </w:rPr>
        <w:t xml:space="preserve"> в регионе по регулируемым тарифам.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Развитие магистральной железнодорожной инфраструктуры – БАМа и Транссиба в рамках модернизации и расширения Восточного полигона также определяет высокую потребность в увеличении выработки электроэнергии и повышении надежности энергоснабжения.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На рисунке 5 представлено сравнение регулируемых цен и рыночных цен за период 2021-2022 гг. [13].</w:t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4572000" cy="2743200"/>
            <wp:effectExtent l="0" t="0" r="0" b="0"/>
            <wp:docPr id="26" name="Диаграмма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24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5 – Разница между регулируемыми ценами </w:t>
      </w:r>
      <w:r w:rsidRPr="00491593">
        <w:rPr>
          <w:rFonts w:eastAsia="Times New Roman" w:cs="Times New Roman"/>
          <w:sz w:val="28"/>
        </w:rPr>
        <w:br/>
        <w:t>в ОЭС Востока и рыночными ценами в 2021-2022 гг.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Приход в ОЭС Востока новых генерирующих компаний возможен после перехода ОЭС Востока к биржевому ценообразованию на электроэнергию в оптовом сегменте, что позволит рассчитывать на оптимизацию 30% капитальных вложений – произойдет перераспределение объема инвестиций в </w:t>
      </w:r>
      <w:r w:rsidRPr="00491593">
        <w:rPr>
          <w:rFonts w:eastAsia="Times New Roman" w:cs="Times New Roman"/>
          <w:sz w:val="28"/>
        </w:rPr>
        <w:lastRenderedPageBreak/>
        <w:t>наиболее энергоэффективные и рентабельные проекты.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К дефицитным по электрической энергии региональным энергосистемам относятся регионы: Р. Бурятия, Забайкальский край, Хабаровский край и ЕАО, Приморский край.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таблице 6 представлены данные о максимальном и прогнозном потреблении электроэнергии по регионам ДФО [13].</w:t>
      </w:r>
    </w:p>
    <w:p w:rsidR="00491593" w:rsidRPr="00491593" w:rsidRDefault="00491593" w:rsidP="00491593">
      <w:pPr>
        <w:widowControl w:val="0"/>
        <w:suppressAutoHyphens/>
        <w:spacing w:before="240" w:after="120" w:line="240" w:lineRule="auto"/>
        <w:ind w:left="1560" w:hanging="1560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Таблица 6 – Данные о максимальном и прогнозном потреблении электроэнергии по регионам ДФО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1968"/>
        <w:gridCol w:w="1966"/>
        <w:gridCol w:w="1968"/>
        <w:gridCol w:w="1966"/>
      </w:tblGrid>
      <w:tr w:rsidR="00491593" w:rsidRPr="00491593" w:rsidTr="00491593">
        <w:trPr>
          <w:trHeight w:val="454"/>
        </w:trPr>
        <w:tc>
          <w:tcPr>
            <w:tcW w:w="1986" w:type="dxa"/>
            <w:vMerge w:val="restart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>Регион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>Максимум потребления мощности, МВт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>Баланс мощности, МВт, дефицит</w:t>
            </w:r>
            <w:proofErr w:type="gramStart"/>
            <w:r w:rsidRPr="00491593">
              <w:rPr>
                <w:rFonts w:eastAsia="Times New Roman" w:cs="Times New Roman"/>
                <w:sz w:val="27"/>
              </w:rPr>
              <w:t xml:space="preserve"> (-), </w:t>
            </w:r>
            <w:proofErr w:type="gramEnd"/>
            <w:r w:rsidRPr="00491593">
              <w:rPr>
                <w:rFonts w:eastAsia="Times New Roman" w:cs="Times New Roman"/>
                <w:sz w:val="27"/>
              </w:rPr>
              <w:t>профицит (+)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vMerge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 xml:space="preserve">Состояние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91593">
                <w:rPr>
                  <w:rFonts w:eastAsia="Times New Roman" w:cs="Times New Roman"/>
                  <w:sz w:val="27"/>
                </w:rPr>
                <w:t>2022 г</w:t>
              </w:r>
            </w:smartTag>
            <w:r w:rsidRPr="00491593">
              <w:rPr>
                <w:rFonts w:eastAsia="Times New Roman" w:cs="Times New Roman"/>
                <w:sz w:val="27"/>
              </w:rPr>
              <w:t xml:space="preserve">. 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 xml:space="preserve">Прогноз 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smartTag w:uri="urn:schemas-microsoft-com:office:smarttags" w:element="metricconverter">
              <w:smartTagPr>
                <w:attr w:name="ProductID" w:val="2027 г"/>
              </w:smartTagPr>
              <w:r w:rsidRPr="00491593">
                <w:rPr>
                  <w:rFonts w:eastAsia="Times New Roman" w:cs="Times New Roman"/>
                  <w:sz w:val="27"/>
                </w:rPr>
                <w:t>2027 г</w:t>
              </w:r>
            </w:smartTag>
            <w:r w:rsidRPr="00491593">
              <w:rPr>
                <w:rFonts w:eastAsia="Times New Roman" w:cs="Times New Roman"/>
                <w:sz w:val="27"/>
              </w:rPr>
              <w:t>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 xml:space="preserve">Состояние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91593">
                <w:rPr>
                  <w:rFonts w:eastAsia="Times New Roman" w:cs="Times New Roman"/>
                  <w:sz w:val="27"/>
                </w:rPr>
                <w:t>2022 г</w:t>
              </w:r>
            </w:smartTag>
            <w:r w:rsidRPr="00491593">
              <w:rPr>
                <w:rFonts w:eastAsia="Times New Roman" w:cs="Times New Roman"/>
                <w:sz w:val="27"/>
              </w:rPr>
              <w:t>.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r w:rsidRPr="00491593">
              <w:rPr>
                <w:rFonts w:eastAsia="Times New Roman" w:cs="Times New Roman"/>
                <w:sz w:val="27"/>
              </w:rPr>
              <w:t xml:space="preserve">Прогноз 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7"/>
              </w:rPr>
            </w:pPr>
            <w:smartTag w:uri="urn:schemas-microsoft-com:office:smarttags" w:element="metricconverter">
              <w:smartTagPr>
                <w:attr w:name="ProductID" w:val="2027 г"/>
              </w:smartTagPr>
              <w:r w:rsidRPr="00491593">
                <w:rPr>
                  <w:rFonts w:eastAsia="Times New Roman" w:cs="Times New Roman"/>
                  <w:sz w:val="27"/>
                </w:rPr>
                <w:t>2027 г</w:t>
              </w:r>
            </w:smartTag>
            <w:r w:rsidRPr="00491593">
              <w:rPr>
                <w:rFonts w:eastAsia="Times New Roman" w:cs="Times New Roman"/>
                <w:sz w:val="27"/>
              </w:rPr>
              <w:t>.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Р. Бурятия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1143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1703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453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-59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Забайкальский край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1465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2039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259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714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 xml:space="preserve">Р. Саха 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1525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1853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1833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1659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Приморский край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2743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3389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90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-203</w:t>
            </w:r>
          </w:p>
        </w:tc>
      </w:tr>
    </w:tbl>
    <w:p w:rsidR="00491593" w:rsidRPr="00491593" w:rsidRDefault="00491593" w:rsidP="00491593">
      <w:pPr>
        <w:widowControl w:val="0"/>
        <w:spacing w:after="0" w:line="360" w:lineRule="auto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Продолжение таблицы 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1968"/>
        <w:gridCol w:w="1966"/>
        <w:gridCol w:w="1968"/>
        <w:gridCol w:w="1966"/>
      </w:tblGrid>
      <w:tr w:rsidR="00491593" w:rsidRPr="00491593" w:rsidTr="00491593">
        <w:trPr>
          <w:trHeight w:val="454"/>
        </w:trPr>
        <w:tc>
          <w:tcPr>
            <w:tcW w:w="1986" w:type="dxa"/>
            <w:vMerge w:val="restart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Регион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Максимум потребления мощности, МВт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Баланс мощности, МВт, дефицит</w:t>
            </w:r>
            <w:proofErr w:type="gramStart"/>
            <w:r w:rsidRPr="00491593">
              <w:rPr>
                <w:rFonts w:eastAsia="Times New Roman" w:cs="Times New Roman"/>
                <w:sz w:val="28"/>
              </w:rPr>
              <w:t xml:space="preserve"> (-), </w:t>
            </w:r>
            <w:proofErr w:type="gramEnd"/>
            <w:r w:rsidRPr="00491593">
              <w:rPr>
                <w:rFonts w:eastAsia="Times New Roman" w:cs="Times New Roman"/>
                <w:sz w:val="28"/>
              </w:rPr>
              <w:t>профицит (+)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vMerge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 xml:space="preserve">Состояние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91593">
                <w:rPr>
                  <w:rFonts w:eastAsia="Times New Roman" w:cs="Times New Roman"/>
                  <w:sz w:val="28"/>
                </w:rPr>
                <w:t>2022 г</w:t>
              </w:r>
            </w:smartTag>
            <w:r w:rsidRPr="00491593">
              <w:rPr>
                <w:rFonts w:eastAsia="Times New Roman" w:cs="Times New Roman"/>
                <w:sz w:val="28"/>
              </w:rPr>
              <w:t xml:space="preserve">. 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 xml:space="preserve">Прогноз 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2027 г"/>
              </w:smartTagPr>
              <w:r w:rsidRPr="00491593">
                <w:rPr>
                  <w:rFonts w:eastAsia="Times New Roman" w:cs="Times New Roman"/>
                  <w:sz w:val="28"/>
                </w:rPr>
                <w:t>2027 г</w:t>
              </w:r>
            </w:smartTag>
            <w:r w:rsidRPr="00491593">
              <w:rPr>
                <w:rFonts w:eastAsia="Times New Roman" w:cs="Times New Roman"/>
                <w:sz w:val="28"/>
              </w:rPr>
              <w:t>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 xml:space="preserve">Состояние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91593">
                <w:rPr>
                  <w:rFonts w:eastAsia="Times New Roman" w:cs="Times New Roman"/>
                  <w:sz w:val="28"/>
                </w:rPr>
                <w:t>2022 г</w:t>
              </w:r>
            </w:smartTag>
            <w:r w:rsidRPr="00491593">
              <w:rPr>
                <w:rFonts w:eastAsia="Times New Roman" w:cs="Times New Roman"/>
                <w:sz w:val="28"/>
              </w:rPr>
              <w:t>.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 xml:space="preserve">Прогноз </w:t>
            </w:r>
          </w:p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smartTag w:uri="urn:schemas-microsoft-com:office:smarttags" w:element="metricconverter">
              <w:smartTagPr>
                <w:attr w:name="ProductID" w:val="2027 г"/>
              </w:smartTagPr>
              <w:r w:rsidRPr="00491593">
                <w:rPr>
                  <w:rFonts w:eastAsia="Times New Roman" w:cs="Times New Roman"/>
                  <w:sz w:val="28"/>
                </w:rPr>
                <w:t>2027 г</w:t>
              </w:r>
            </w:smartTag>
            <w:r w:rsidRPr="00491593">
              <w:rPr>
                <w:rFonts w:eastAsia="Times New Roman" w:cs="Times New Roman"/>
                <w:sz w:val="28"/>
              </w:rPr>
              <w:t>.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Хабаровский край и ЕАО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2086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2728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385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-744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Амурская обл.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1755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2352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2629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1818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Камчатский край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268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325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215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166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Магаданская обл.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433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788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1357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1123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Сахалинская обл.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443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512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192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123</w:t>
            </w:r>
          </w:p>
        </w:tc>
      </w:tr>
      <w:tr w:rsidR="00491593" w:rsidRPr="00491593" w:rsidTr="00491593">
        <w:trPr>
          <w:trHeight w:val="454"/>
        </w:trPr>
        <w:tc>
          <w:tcPr>
            <w:tcW w:w="198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</w:rPr>
            </w:pPr>
            <w:proofErr w:type="gramStart"/>
            <w:r w:rsidRPr="00491593">
              <w:rPr>
                <w:rFonts w:eastAsia="Times New Roman" w:cs="Times New Roman"/>
                <w:sz w:val="28"/>
              </w:rPr>
              <w:t>Чукотский</w:t>
            </w:r>
            <w:proofErr w:type="gramEnd"/>
            <w:r w:rsidRPr="00491593">
              <w:rPr>
                <w:rFonts w:eastAsia="Times New Roman" w:cs="Times New Roman"/>
                <w:sz w:val="28"/>
              </w:rPr>
              <w:t xml:space="preserve"> АО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68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115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69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491593" w:rsidRPr="00491593" w:rsidRDefault="00491593" w:rsidP="00491593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</w:rPr>
            </w:pPr>
            <w:r w:rsidRPr="00491593">
              <w:rPr>
                <w:rFonts w:eastAsia="Times New Roman" w:cs="Times New Roman"/>
                <w:sz w:val="28"/>
              </w:rPr>
              <w:t>35</w:t>
            </w:r>
          </w:p>
        </w:tc>
      </w:tr>
    </w:tbl>
    <w:p w:rsidR="00491593" w:rsidRPr="00491593" w:rsidRDefault="00491593" w:rsidP="00491593">
      <w:pPr>
        <w:widowControl w:val="0"/>
        <w:suppressAutoHyphens/>
        <w:spacing w:before="24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Территориально изолированные энергосистемы состоят из нескольких </w:t>
      </w:r>
      <w:proofErr w:type="spellStart"/>
      <w:r w:rsidRPr="00491593">
        <w:rPr>
          <w:rFonts w:eastAsia="Times New Roman" w:cs="Times New Roman"/>
          <w:sz w:val="28"/>
        </w:rPr>
        <w:t>энергорайонов</w:t>
      </w:r>
      <w:proofErr w:type="spellEnd"/>
      <w:r w:rsidRPr="00491593">
        <w:rPr>
          <w:rFonts w:eastAsia="Times New Roman" w:cs="Times New Roman"/>
          <w:sz w:val="28"/>
        </w:rPr>
        <w:t xml:space="preserve"> и зон децентрализованного энергоснабжения (исключение – </w:t>
      </w:r>
      <w:proofErr w:type="gramStart"/>
      <w:r w:rsidRPr="00491593">
        <w:rPr>
          <w:rFonts w:eastAsia="Times New Roman" w:cs="Times New Roman"/>
          <w:sz w:val="28"/>
        </w:rPr>
        <w:t>Магаданская</w:t>
      </w:r>
      <w:proofErr w:type="gramEnd"/>
      <w:r w:rsidRPr="00491593">
        <w:rPr>
          <w:rFonts w:eastAsia="Times New Roman" w:cs="Times New Roman"/>
          <w:sz w:val="28"/>
        </w:rPr>
        <w:t xml:space="preserve"> обл., где централизованное энергоснабжение осуществляется в </w:t>
      </w:r>
      <w:r w:rsidRPr="00491593">
        <w:rPr>
          <w:rFonts w:eastAsia="Times New Roman" w:cs="Times New Roman"/>
          <w:sz w:val="28"/>
        </w:rPr>
        <w:lastRenderedPageBreak/>
        <w:t>рамках единой энергосистемы, и функционируют зоны с децентрализованным энергоснабжением).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На рисунке 6 представлены объемы поддержки для выравнивания тарифов на электрическую энергию в ДФО [13].</w:t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4572000" cy="2743200"/>
            <wp:effectExtent l="0" t="0" r="0" b="0"/>
            <wp:docPr id="25" name="Диаграмма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24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6 – Объемы поддержки для выравнивания тарифов </w:t>
      </w:r>
      <w:r w:rsidRPr="00491593">
        <w:rPr>
          <w:rFonts w:eastAsia="Times New Roman" w:cs="Times New Roman"/>
          <w:sz w:val="28"/>
        </w:rPr>
        <w:br/>
        <w:t>на электрическую энергию в ДФО, млрд. руб.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На фоне </w:t>
      </w:r>
      <w:proofErr w:type="gramStart"/>
      <w:r w:rsidRPr="00491593">
        <w:rPr>
          <w:rFonts w:eastAsia="Times New Roman" w:cs="Times New Roman"/>
          <w:sz w:val="28"/>
        </w:rPr>
        <w:t>растущего</w:t>
      </w:r>
      <w:proofErr w:type="gramEnd"/>
      <w:r w:rsidRPr="00491593">
        <w:rPr>
          <w:rFonts w:eastAsia="Times New Roman" w:cs="Times New Roman"/>
          <w:sz w:val="28"/>
        </w:rPr>
        <w:t xml:space="preserve"> энергодефицита и высокой изношенности энергетической инфраструктуры на Дальнем Востоке и в Восточной Сибири планируется строительство новых энергомощностей. При этом готовится переход регионов ДФО в ценовую зону оптового энергорынка. В ряде субъектов Дальнего Востока отмечается сокращение выработки электроэнергии, также рекордно снизились экспортные поставки электроэнергии в Китай [14].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На рисунке 7 представлены индексы цен на электроэнергию для населения [12].</w:t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  <w:lang w:val="en-US"/>
        </w:rPr>
      </w:pPr>
      <w:r>
        <w:rPr>
          <w:rFonts w:eastAsia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4997450" cy="2913380"/>
            <wp:effectExtent l="0" t="0" r="0" b="0"/>
            <wp:docPr id="24" name="Диаграмма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24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7 – Индексы цен на электроэнергию </w:t>
      </w:r>
      <w:r w:rsidRPr="00491593">
        <w:rPr>
          <w:rFonts w:eastAsia="Times New Roman" w:cs="Times New Roman"/>
          <w:sz w:val="28"/>
        </w:rPr>
        <w:br/>
        <w:t>и индекс потребительских цен, %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Индекс цен на электроэнергию за период 2017-2023 гг. по России опережал соответствующий показатель для ДФО (1,6 и 1,4), что обусловлено выравниванием тарифов. </w:t>
      </w:r>
      <w:proofErr w:type="gramStart"/>
      <w:r w:rsidRPr="00491593">
        <w:rPr>
          <w:rFonts w:eastAsia="Times New Roman" w:cs="Times New Roman"/>
          <w:sz w:val="28"/>
        </w:rPr>
        <w:t xml:space="preserve">По итогам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 xml:space="preserve">. уровень тарифов для населения в макрорегионе сохраняется в значениях выше, чем по РФ (4,0 против 3,6 руб./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>/ч</w:t>
      </w:r>
      <w:proofErr w:type="gramEnd"/>
    </w:p>
    <w:p w:rsidR="00491593" w:rsidRPr="00491593" w:rsidRDefault="00491593" w:rsidP="00491593">
      <w:pPr>
        <w:widowControl w:val="0"/>
        <w:spacing w:before="120"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РФ действует запрет на одновременное владение генерацией и электросетями, но на Дальневосточные регионы, не включенные в ценовую зону оптового энергорынка, он до сих пор не распространялся.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На неэффективное ценовое регулирование накладываются прочие негативные факторы, в том числе необходимость – необходимость завоза топлива из других регионов России для ТЭС ДФО. Даже государственные субсидии на закупку топлива пока не обеспечивают снижение цен на электроэнергию в регионах ОЭС Востока. Существующие программы субсидирования тарифов на электроэнергию – перекрестное субсидирование и дальневосточная надбавка – лишь сдерживают дальнейшее повышение цен на электроэнергию, а не способствуют их снижению [13].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На рисунке 8 представлены средневзвешенные цены на электроэнергию регионов ДФО.</w:t>
      </w:r>
    </w:p>
    <w:p w:rsidR="00491593" w:rsidRPr="00491593" w:rsidRDefault="00491593" w:rsidP="00491593">
      <w:pPr>
        <w:widowControl w:val="0"/>
        <w:spacing w:after="0" w:line="36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lastRenderedPageBreak/>
        <w:drawing>
          <wp:inline distT="0" distB="0" distL="0" distR="0">
            <wp:extent cx="4018915" cy="4072255"/>
            <wp:effectExtent l="0" t="0" r="635" b="444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08" t="18022" r="33174" b="10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407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12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8 – Средневзвешенные цены на электроэнергию </w:t>
      </w:r>
      <w:r w:rsidRPr="00491593">
        <w:rPr>
          <w:rFonts w:eastAsia="Times New Roman" w:cs="Times New Roman"/>
          <w:sz w:val="28"/>
        </w:rPr>
        <w:br/>
        <w:t xml:space="preserve">регионов ДФО,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>., руб./ кВт/ час.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Отсутствие проектов по повышению энергопотреблению, которое могло бы привлечь инвесторов, стимулировать развитие альтернативных видов генерации, а также государственное регулирования входа новых производителей на рынок ДФО блокирует возможности развития сферы и замены выходящим из эксплуатации мощностей ПАО «</w:t>
      </w:r>
      <w:proofErr w:type="spellStart"/>
      <w:r w:rsidRPr="00491593">
        <w:rPr>
          <w:rFonts w:eastAsia="Times New Roman" w:cs="Times New Roman"/>
          <w:sz w:val="28"/>
        </w:rPr>
        <w:t>РусГидро</w:t>
      </w:r>
      <w:proofErr w:type="spellEnd"/>
      <w:r w:rsidRPr="00491593">
        <w:rPr>
          <w:rFonts w:eastAsia="Times New Roman" w:cs="Times New Roman"/>
          <w:sz w:val="28"/>
        </w:rPr>
        <w:t>». Решение проблемы демонополизации рынка находится в области экономического развития региона, возможной реструктуризации монополиста, регулирования деятельности монополиста до ввода новых мощностей, которые обеспечат отдельные регионы электроэнергией в системе как части энергетической системы страны.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Другой проблемой является стоимость завоза топлива для генерации электричества.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 Юридически с 1 января </w:t>
      </w:r>
      <w:smartTag w:uri="urn:schemas-microsoft-com:office:smarttags" w:element="metricconverter">
        <w:smartTagPr>
          <w:attr w:name="ProductID" w:val="2025 г"/>
        </w:smartTagPr>
        <w:r w:rsidRPr="00491593">
          <w:rPr>
            <w:rFonts w:eastAsia="Times New Roman" w:cs="Times New Roman"/>
            <w:sz w:val="28"/>
          </w:rPr>
          <w:t>2025 г</w:t>
        </w:r>
      </w:smartTag>
      <w:r w:rsidRPr="00491593">
        <w:rPr>
          <w:rFonts w:eastAsia="Times New Roman" w:cs="Times New Roman"/>
          <w:sz w:val="28"/>
        </w:rPr>
        <w:t xml:space="preserve">. бывшая неценовая зона Дальнего Востока будет включена в состав второй ценовой зоны Сибири. Переход будет идти </w:t>
      </w:r>
      <w:r w:rsidRPr="00491593">
        <w:rPr>
          <w:rFonts w:eastAsia="Times New Roman" w:cs="Times New Roman"/>
          <w:sz w:val="28"/>
        </w:rPr>
        <w:lastRenderedPageBreak/>
        <w:t xml:space="preserve">поэтапно: объединение энергосистем станет возможно только после строительства электросетей для обеспечения их синхронной работы. Запуск новой линии ожидается не ранее конца </w:t>
      </w:r>
      <w:smartTag w:uri="urn:schemas-microsoft-com:office:smarttags" w:element="metricconverter">
        <w:smartTagPr>
          <w:attr w:name="ProductID" w:val="2028 г"/>
        </w:smartTagPr>
        <w:r w:rsidRPr="00491593">
          <w:rPr>
            <w:rFonts w:eastAsia="Times New Roman" w:cs="Times New Roman"/>
            <w:sz w:val="28"/>
          </w:rPr>
          <w:t>2028 г</w:t>
        </w:r>
      </w:smartTag>
      <w:r w:rsidRPr="00491593">
        <w:rPr>
          <w:rFonts w:eastAsia="Times New Roman" w:cs="Times New Roman"/>
          <w:sz w:val="28"/>
        </w:rPr>
        <w:t>. До этого момента формирование цен на электроэнергию и мощность будет осуществляться отдельно для территории Дальнего Востока [15].</w:t>
      </w:r>
    </w:p>
    <w:p w:rsidR="00491593" w:rsidRPr="00491593" w:rsidRDefault="00491593" w:rsidP="00491593">
      <w:pPr>
        <w:widowControl w:val="0"/>
        <w:suppressAutoHyphens/>
        <w:spacing w:before="240" w:after="240" w:line="240" w:lineRule="auto"/>
        <w:ind w:left="993" w:hanging="284"/>
        <w:outlineLvl w:val="1"/>
        <w:rPr>
          <w:rFonts w:ascii="Arial" w:eastAsia="Times New Roman" w:hAnsi="Arial" w:cs="Times New Roman"/>
          <w:bCs/>
          <w:sz w:val="28"/>
          <w:szCs w:val="26"/>
        </w:rPr>
      </w:pPr>
      <w:bookmarkStart w:id="13" w:name="_Toc201525394"/>
      <w:bookmarkStart w:id="14" w:name="_Toc201589493"/>
      <w:bookmarkStart w:id="15" w:name="_Toc201589517"/>
      <w:r w:rsidRPr="00491593">
        <w:rPr>
          <w:rFonts w:ascii="Arial" w:eastAsia="Times New Roman" w:hAnsi="Arial" w:cs="Times New Roman"/>
          <w:bCs/>
          <w:sz w:val="28"/>
          <w:szCs w:val="26"/>
        </w:rPr>
        <w:t>1.3 Потенциал развития энергетического рынка ДФО</w:t>
      </w:r>
      <w:bookmarkEnd w:id="13"/>
      <w:bookmarkEnd w:id="14"/>
      <w:bookmarkEnd w:id="15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ДФО – это самый большой по площади территории (40,6% от всей территории страны) и самый малочисленный (5,6% населения страны) округ России. Основная часть населения округа (52%) проживает в трех из одиннадцати субъектов РФ, входящих в ДФО: Приморском, Хабаровском и Забайкальском крае. Округ отличается сложными природно-климатическими условиями, неравномерностью размещения населенных пунктов по его территории, наличием малоосвоенных и совсем «пустых» участков. Часть территории Республики Саха (Якутия) и Чукотский автономный округ включены в состав Арктической зоны России. Все субъекты РФ, входящие в ДФО, включены в перечень приоритетных геостратегических территорий России [5].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proofErr w:type="gramStart"/>
      <w:r w:rsidRPr="00491593">
        <w:rPr>
          <w:rFonts w:eastAsia="Times New Roman" w:cs="Times New Roman"/>
          <w:sz w:val="28"/>
        </w:rPr>
        <w:t>В округе расположены 2 из 4-х минерально-сырьевых центра России: в Республике Саха (Якутия) и Сахалинской области.</w:t>
      </w:r>
      <w:proofErr w:type="gramEnd"/>
      <w:r w:rsidRPr="00491593">
        <w:rPr>
          <w:rFonts w:eastAsia="Times New Roman" w:cs="Times New Roman"/>
          <w:sz w:val="28"/>
        </w:rPr>
        <w:t xml:space="preserve"> К числу наиболее серьезных изменений в территориальной организации российской экономики относится перемещение производств по добыче углеводородного сырья в малоосвоенные территории Восточной Сибири и Дальнего Востока и акватории шельфов Дальневосточного и Арктического бассейнов. Формирование и развитие минерально-сырьевых центров является одним из условий сокращения уровня межрегиональной дифференциации в социально-экономическом развитии субъектов РФ и повышения национальной безопасности страны [5].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ТЭК Дальнего Востока, обладающий значительными запасами энергоресурсов, вносит существенный вклад в удовлетворение спроса на эти ресурсы как внутренних, так и внешних потребителей.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lastRenderedPageBreak/>
        <w:t>Макрорегион обладает существенным потенциалом в солнечной и ветряной энергетике: продолжительность солнечного сияния на территории ДФО составляет свыше 1700 часов в год, а среднегодовая скорость ветра на прибрежных участках достигает 6-</w:t>
      </w:r>
      <w:smartTag w:uri="urn:schemas-microsoft-com:office:smarttags" w:element="metricconverter">
        <w:smartTagPr>
          <w:attr w:name="ProductID" w:val="7 метров"/>
        </w:smartTagPr>
        <w:r w:rsidRPr="00491593">
          <w:rPr>
            <w:rFonts w:eastAsia="Times New Roman" w:cs="Times New Roman"/>
            <w:sz w:val="28"/>
          </w:rPr>
          <w:t>7 метров</w:t>
        </w:r>
      </w:smartTag>
      <w:r w:rsidRPr="00491593">
        <w:rPr>
          <w:rFonts w:eastAsia="Times New Roman" w:cs="Times New Roman"/>
          <w:sz w:val="28"/>
        </w:rPr>
        <w:t xml:space="preserve"> в секунду.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более отдаленной перспективе интерес для Дальнего Востока может представлять развитие приливной энергетики. Ресурсом возобновляемой энергии для макрорегиона является </w:t>
      </w:r>
      <w:proofErr w:type="spellStart"/>
      <w:r w:rsidRPr="00491593">
        <w:rPr>
          <w:rFonts w:eastAsia="Times New Roman" w:cs="Times New Roman"/>
          <w:sz w:val="28"/>
        </w:rPr>
        <w:t>Тугурский</w:t>
      </w:r>
      <w:proofErr w:type="spellEnd"/>
      <w:r w:rsidRPr="00491593">
        <w:rPr>
          <w:rFonts w:eastAsia="Times New Roman" w:cs="Times New Roman"/>
          <w:sz w:val="28"/>
        </w:rPr>
        <w:t xml:space="preserve"> залив, расположенный в юго-западной части Охотского моря (Хабаровский край). Местные условия представляются благоприятными для создания приливной электростанции мощностью 8-11 ГВт, которая может обеспечить электроснабжение </w:t>
      </w:r>
      <w:proofErr w:type="spellStart"/>
      <w:r w:rsidRPr="00491593">
        <w:rPr>
          <w:rFonts w:eastAsia="Times New Roman" w:cs="Times New Roman"/>
          <w:sz w:val="28"/>
        </w:rPr>
        <w:t>энергодефицитных</w:t>
      </w:r>
      <w:proofErr w:type="spellEnd"/>
      <w:r w:rsidRPr="00491593">
        <w:rPr>
          <w:rFonts w:eastAsia="Times New Roman" w:cs="Times New Roman"/>
          <w:sz w:val="28"/>
        </w:rPr>
        <w:t xml:space="preserve"> районов Дальнего Востока, а также направить часть энергии на электролиз воды с целью получения водорода как перспективного энергоносителя [12].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Обеспечить электроснабжение Дальнего Востока только за счет ВИЭ невозможно. Суровые климатические условия в ряде регионов в совокупности с наличием крупных промышленных потребителей диктуют необходимость развития комбинированных электростанций, а также модернизации существующих энергоустановок, работающих на традиционном топливе.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Единая энергосистема Дальнего Востока имеет наименьшую по отношению к остальным федеральным округам установленную мощность, а также четыре изолированные энергетические зоны, объекты которых морально и физически устарели. Технологическое развитие  в сфере возобновляемой электроэнергии – одно из перспективных направлений, как для развития экономики региона, так и обеспечения электроэнергией отдельных объектов, модернизации у повышения надежности энергетического обеспечения энергетически изолированных районов, электроэнергия в которых вырабатывается при использовании «грязного» горючего топлива [16].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Приморском крае на фоне растущего энергодефицита в южной части региона реализуются проекты по обеспечению выдачи дополнительной мощности. В июле «</w:t>
      </w:r>
      <w:proofErr w:type="spellStart"/>
      <w:r w:rsidRPr="00491593">
        <w:rPr>
          <w:rFonts w:eastAsia="Times New Roman" w:cs="Times New Roman"/>
          <w:sz w:val="28"/>
        </w:rPr>
        <w:t>Россети</w:t>
      </w:r>
      <w:proofErr w:type="spellEnd"/>
      <w:r w:rsidRPr="00491593">
        <w:rPr>
          <w:rFonts w:eastAsia="Times New Roman" w:cs="Times New Roman"/>
          <w:sz w:val="28"/>
        </w:rPr>
        <w:t>» заключили контракт со строительно-</w:t>
      </w:r>
      <w:r w:rsidRPr="00491593">
        <w:rPr>
          <w:rFonts w:eastAsia="Times New Roman" w:cs="Times New Roman"/>
          <w:sz w:val="28"/>
        </w:rPr>
        <w:lastRenderedPageBreak/>
        <w:t>инжиниринговым ООО «Энергосеть» (входит в «</w:t>
      </w:r>
      <w:proofErr w:type="spellStart"/>
      <w:r w:rsidRPr="00491593">
        <w:rPr>
          <w:rFonts w:eastAsia="Times New Roman" w:cs="Times New Roman"/>
          <w:sz w:val="28"/>
        </w:rPr>
        <w:t>Интер</w:t>
      </w:r>
      <w:proofErr w:type="spellEnd"/>
      <w:r w:rsidRPr="00491593">
        <w:rPr>
          <w:rFonts w:eastAsia="Times New Roman" w:cs="Times New Roman"/>
          <w:sz w:val="28"/>
        </w:rPr>
        <w:t xml:space="preserve"> РАО») на строительство линии электропередачи «Приморская ГРЭС – «Варяг» в Приморье. Проект предполагается завершить до конца </w:t>
      </w:r>
      <w:smartTag w:uri="urn:schemas-microsoft-com:office:smarttags" w:element="metricconverter">
        <w:smartTagPr>
          <w:attr w:name="ProductID" w:val="2026 г"/>
        </w:smartTagPr>
        <w:r w:rsidRPr="00491593">
          <w:rPr>
            <w:rFonts w:eastAsia="Times New Roman" w:cs="Times New Roman"/>
            <w:sz w:val="28"/>
          </w:rPr>
          <w:t>2026 г</w:t>
        </w:r>
      </w:smartTag>
      <w:r w:rsidRPr="00491593">
        <w:rPr>
          <w:rFonts w:eastAsia="Times New Roman" w:cs="Times New Roman"/>
          <w:sz w:val="28"/>
        </w:rPr>
        <w:t xml:space="preserve">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Стоимость контракта составляет 53,728 </w:t>
      </w:r>
      <w:proofErr w:type="gramStart"/>
      <w:r w:rsidRPr="00491593">
        <w:rPr>
          <w:rFonts w:eastAsia="Times New Roman" w:cs="Times New Roman"/>
          <w:sz w:val="28"/>
        </w:rPr>
        <w:t>млрд</w:t>
      </w:r>
      <w:proofErr w:type="gramEnd"/>
      <w:r w:rsidRPr="00491593">
        <w:rPr>
          <w:rFonts w:eastAsia="Times New Roman" w:cs="Times New Roman"/>
          <w:sz w:val="28"/>
        </w:rPr>
        <w:t xml:space="preserve"> рублей. </w:t>
      </w:r>
      <w:proofErr w:type="gramStart"/>
      <w:r w:rsidRPr="00491593">
        <w:rPr>
          <w:rFonts w:eastAsia="Times New Roman" w:cs="Times New Roman"/>
          <w:sz w:val="28"/>
        </w:rPr>
        <w:t xml:space="preserve">Проектом предусмотрено строительство и пусконаладка высоковольтной линии «Приморская ГРЭС – «Варяг» на 500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 xml:space="preserve"> протяженностью около </w:t>
      </w:r>
      <w:smartTag w:uri="urn:schemas-microsoft-com:office:smarttags" w:element="metricconverter">
        <w:smartTagPr>
          <w:attr w:name="ProductID" w:val="475,2 км"/>
        </w:smartTagPr>
        <w:r w:rsidRPr="00491593">
          <w:rPr>
            <w:rFonts w:eastAsia="Times New Roman" w:cs="Times New Roman"/>
            <w:sz w:val="28"/>
          </w:rPr>
          <w:t>475,2 км</w:t>
        </w:r>
      </w:smartTag>
      <w:r w:rsidRPr="00491593">
        <w:rPr>
          <w:rFonts w:eastAsia="Times New Roman" w:cs="Times New Roman"/>
          <w:sz w:val="28"/>
        </w:rPr>
        <w:t xml:space="preserve">, а также реконструкция высоковольтной линии «Владивосток – «Лозовая» на 500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 xml:space="preserve"> и реконструкция высоковольтной линии «Артёмовская ТЭЦ – «Береговая-2 (Большой Камень)» на 220 </w:t>
      </w:r>
      <w:proofErr w:type="spellStart"/>
      <w:r w:rsidRPr="00491593">
        <w:rPr>
          <w:rFonts w:eastAsia="Times New Roman" w:cs="Times New Roman"/>
          <w:sz w:val="28"/>
        </w:rPr>
        <w:t>кВ.</w:t>
      </w:r>
      <w:proofErr w:type="spellEnd"/>
      <w:r w:rsidRPr="00491593">
        <w:rPr>
          <w:rFonts w:eastAsia="Times New Roman" w:cs="Times New Roman"/>
          <w:sz w:val="28"/>
        </w:rPr>
        <w:t xml:space="preserve"> Новая ЛЭП будет проходить от поселка Лучегорск, где расположена наиболее крупная тепловая электростанция ДФО, Приморская ГРЭС, до Шкотовского района, где будет</w:t>
      </w:r>
      <w:proofErr w:type="gramEnd"/>
      <w:r w:rsidRPr="00491593">
        <w:rPr>
          <w:rFonts w:eastAsia="Times New Roman" w:cs="Times New Roman"/>
          <w:sz w:val="28"/>
        </w:rPr>
        <w:t xml:space="preserve"> построена подстанция «Варяг».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Со своей стороны, для борьбы с </w:t>
      </w:r>
      <w:proofErr w:type="spellStart"/>
      <w:r w:rsidRPr="00491593">
        <w:rPr>
          <w:rFonts w:eastAsia="Times New Roman" w:cs="Times New Roman"/>
          <w:sz w:val="28"/>
        </w:rPr>
        <w:t>энергодефицитом</w:t>
      </w:r>
      <w:proofErr w:type="spellEnd"/>
      <w:r w:rsidRPr="00491593">
        <w:rPr>
          <w:rFonts w:eastAsia="Times New Roman" w:cs="Times New Roman"/>
          <w:sz w:val="28"/>
        </w:rPr>
        <w:t xml:space="preserve"> в Восточной Сибири </w:t>
      </w:r>
      <w:proofErr w:type="spellStart"/>
      <w:r w:rsidRPr="00491593">
        <w:rPr>
          <w:rFonts w:eastAsia="Times New Roman" w:cs="Times New Roman"/>
          <w:sz w:val="28"/>
        </w:rPr>
        <w:t>En</w:t>
      </w:r>
      <w:proofErr w:type="spellEnd"/>
      <w:r w:rsidRPr="00491593">
        <w:rPr>
          <w:rFonts w:eastAsia="Times New Roman" w:cs="Times New Roman"/>
          <w:sz w:val="28"/>
        </w:rPr>
        <w:t xml:space="preserve">+ </w:t>
      </w:r>
      <w:proofErr w:type="spellStart"/>
      <w:r w:rsidRPr="00491593">
        <w:rPr>
          <w:rFonts w:eastAsia="Times New Roman" w:cs="Times New Roman"/>
          <w:sz w:val="28"/>
        </w:rPr>
        <w:t>Group</w:t>
      </w:r>
      <w:proofErr w:type="spellEnd"/>
      <w:r w:rsidRPr="00491593">
        <w:rPr>
          <w:rFonts w:eastAsia="Times New Roman" w:cs="Times New Roman"/>
          <w:sz w:val="28"/>
        </w:rPr>
        <w:t xml:space="preserve"> рассматривает возможность строительства двух ГЭС на реке Витим в Бурятии – </w:t>
      </w:r>
      <w:proofErr w:type="spellStart"/>
      <w:r w:rsidRPr="00491593">
        <w:rPr>
          <w:rFonts w:eastAsia="Times New Roman" w:cs="Times New Roman"/>
          <w:sz w:val="28"/>
        </w:rPr>
        <w:t>Мокской</w:t>
      </w:r>
      <w:proofErr w:type="spellEnd"/>
      <w:r w:rsidRPr="00491593">
        <w:rPr>
          <w:rFonts w:eastAsia="Times New Roman" w:cs="Times New Roman"/>
          <w:sz w:val="28"/>
        </w:rPr>
        <w:t xml:space="preserve"> ГЭС мощностью 1200 МВт и ее контррегулятора Ивановской ГЭС мощностью 210 МВт. Холдинг заключил соглашение с правительством Бурятии, предполагающее подготовку дорожной карты по строительству электростанций.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 Амурской области летом «</w:t>
      </w:r>
      <w:proofErr w:type="spellStart"/>
      <w:r w:rsidRPr="00491593">
        <w:rPr>
          <w:rFonts w:eastAsia="Times New Roman" w:cs="Times New Roman"/>
          <w:sz w:val="28"/>
        </w:rPr>
        <w:t>Россети</w:t>
      </w:r>
      <w:proofErr w:type="spellEnd"/>
      <w:r w:rsidRPr="00491593">
        <w:rPr>
          <w:rFonts w:eastAsia="Times New Roman" w:cs="Times New Roman"/>
          <w:sz w:val="28"/>
        </w:rPr>
        <w:t xml:space="preserve">» приступили к реконструкции подстанции 220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 xml:space="preserve"> «Магдагачи» в целях </w:t>
      </w:r>
      <w:proofErr w:type="gramStart"/>
      <w:r w:rsidRPr="00491593">
        <w:rPr>
          <w:rFonts w:eastAsia="Times New Roman" w:cs="Times New Roman"/>
          <w:sz w:val="28"/>
        </w:rPr>
        <w:t>повышения надежности энергоснабжения тяговых подстанций Транссибирской магистрали</w:t>
      </w:r>
      <w:proofErr w:type="gramEnd"/>
      <w:r w:rsidRPr="00491593">
        <w:rPr>
          <w:rFonts w:eastAsia="Times New Roman" w:cs="Times New Roman"/>
          <w:sz w:val="28"/>
        </w:rPr>
        <w:t xml:space="preserve"> и в целом западной части региона. Стоимость работ превышает 9,2 </w:t>
      </w:r>
      <w:proofErr w:type="gramStart"/>
      <w:r w:rsidRPr="00491593">
        <w:rPr>
          <w:rFonts w:eastAsia="Times New Roman" w:cs="Times New Roman"/>
          <w:sz w:val="28"/>
        </w:rPr>
        <w:t>млрд</w:t>
      </w:r>
      <w:proofErr w:type="gramEnd"/>
      <w:r w:rsidRPr="00491593">
        <w:rPr>
          <w:rFonts w:eastAsia="Times New Roman" w:cs="Times New Roman"/>
          <w:sz w:val="28"/>
        </w:rPr>
        <w:t xml:space="preserve"> рублей, их выполняет выигравшее конкурс московское ООО «</w:t>
      </w:r>
      <w:proofErr w:type="spellStart"/>
      <w:r w:rsidRPr="00491593">
        <w:rPr>
          <w:rFonts w:eastAsia="Times New Roman" w:cs="Times New Roman"/>
          <w:sz w:val="28"/>
        </w:rPr>
        <w:t>Ленэлектромонтаж</w:t>
      </w:r>
      <w:proofErr w:type="spellEnd"/>
      <w:r w:rsidRPr="00491593">
        <w:rPr>
          <w:rFonts w:eastAsia="Times New Roman" w:cs="Times New Roman"/>
          <w:sz w:val="28"/>
        </w:rPr>
        <w:t xml:space="preserve">». Работы должны завершиться до конца </w:t>
      </w:r>
      <w:smartTag w:uri="urn:schemas-microsoft-com:office:smarttags" w:element="metricconverter">
        <w:smartTagPr>
          <w:attr w:name="ProductID" w:val="2028 г"/>
        </w:smartTagPr>
        <w:r w:rsidRPr="00491593">
          <w:rPr>
            <w:rFonts w:eastAsia="Times New Roman" w:cs="Times New Roman"/>
            <w:sz w:val="28"/>
          </w:rPr>
          <w:t>2028 г</w:t>
        </w:r>
      </w:smartTag>
      <w:r w:rsidRPr="00491593">
        <w:rPr>
          <w:rFonts w:eastAsia="Times New Roman" w:cs="Times New Roman"/>
          <w:sz w:val="28"/>
        </w:rPr>
        <w:t>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сфере создания объектов атомной генерации «Генеральной схемой размещения объектов электроэнергетики до </w:t>
      </w:r>
      <w:smartTag w:uri="urn:schemas-microsoft-com:office:smarttags" w:element="metricconverter">
        <w:smartTagPr>
          <w:attr w:name="ProductID" w:val="2042 г"/>
        </w:smartTagPr>
        <w:r w:rsidRPr="00491593">
          <w:rPr>
            <w:rFonts w:eastAsia="Times New Roman" w:cs="Times New Roman"/>
            <w:sz w:val="28"/>
          </w:rPr>
          <w:t>2042 г</w:t>
        </w:r>
      </w:smartTag>
      <w:r w:rsidRPr="00491593">
        <w:rPr>
          <w:rFonts w:eastAsia="Times New Roman" w:cs="Times New Roman"/>
          <w:sz w:val="28"/>
        </w:rPr>
        <w:t xml:space="preserve">.» предусмотрено строительство и ввод в эксплуатацию на Дальнем Востоке в ближайшие двадцать лет пяти новых атомных электростанций, которые могут быть размещены </w:t>
      </w:r>
      <w:proofErr w:type="gramStart"/>
      <w:r w:rsidRPr="00491593">
        <w:rPr>
          <w:rFonts w:eastAsia="Times New Roman" w:cs="Times New Roman"/>
          <w:sz w:val="28"/>
        </w:rPr>
        <w:t>в</w:t>
      </w:r>
      <w:proofErr w:type="gramEnd"/>
      <w:r w:rsidRPr="00491593">
        <w:rPr>
          <w:rFonts w:eastAsia="Times New Roman" w:cs="Times New Roman"/>
          <w:sz w:val="28"/>
        </w:rPr>
        <w:t xml:space="preserve"> </w:t>
      </w:r>
      <w:proofErr w:type="gramStart"/>
      <w:r w:rsidRPr="00491593">
        <w:rPr>
          <w:rFonts w:eastAsia="Times New Roman" w:cs="Times New Roman"/>
          <w:sz w:val="28"/>
        </w:rPr>
        <w:t>Приморском</w:t>
      </w:r>
      <w:proofErr w:type="gramEnd"/>
      <w:r w:rsidRPr="00491593">
        <w:rPr>
          <w:rFonts w:eastAsia="Times New Roman" w:cs="Times New Roman"/>
          <w:sz w:val="28"/>
        </w:rPr>
        <w:t xml:space="preserve"> и Хабаровском краях, Якутии и Чукотском АО. В том числе на Чукотке запланировано размещение двух станций малой </w:t>
      </w:r>
      <w:r w:rsidRPr="00491593">
        <w:rPr>
          <w:rFonts w:eastAsia="Times New Roman" w:cs="Times New Roman"/>
          <w:sz w:val="28"/>
        </w:rPr>
        <w:lastRenderedPageBreak/>
        <w:t xml:space="preserve">мощности с реакторными установками «РИТМ-200С» (городской округ </w:t>
      </w:r>
      <w:proofErr w:type="spellStart"/>
      <w:r w:rsidRPr="00491593">
        <w:rPr>
          <w:rFonts w:eastAsia="Times New Roman" w:cs="Times New Roman"/>
          <w:sz w:val="28"/>
        </w:rPr>
        <w:t>Певек</w:t>
      </w:r>
      <w:proofErr w:type="spellEnd"/>
      <w:r w:rsidRPr="00491593">
        <w:rPr>
          <w:rFonts w:eastAsia="Times New Roman" w:cs="Times New Roman"/>
          <w:sz w:val="28"/>
        </w:rPr>
        <w:t>) и «Шельф-М» (</w:t>
      </w:r>
      <w:proofErr w:type="spellStart"/>
      <w:r w:rsidRPr="00491593">
        <w:rPr>
          <w:rFonts w:eastAsia="Times New Roman" w:cs="Times New Roman"/>
          <w:sz w:val="28"/>
        </w:rPr>
        <w:t>Иультинский</w:t>
      </w:r>
      <w:proofErr w:type="spellEnd"/>
      <w:r w:rsidRPr="00491593">
        <w:rPr>
          <w:rFonts w:eastAsia="Times New Roman" w:cs="Times New Roman"/>
          <w:sz w:val="28"/>
        </w:rPr>
        <w:t xml:space="preserve"> район).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Реализация проектов должна завершиться в </w:t>
      </w:r>
      <w:smartTag w:uri="urn:schemas-microsoft-com:office:smarttags" w:element="metricconverter">
        <w:smartTagPr>
          <w:attr w:name="ProductID" w:val="2027 г"/>
        </w:smartTagPr>
        <w:r w:rsidRPr="00491593">
          <w:rPr>
            <w:rFonts w:eastAsia="Times New Roman" w:cs="Times New Roman"/>
            <w:sz w:val="28"/>
          </w:rPr>
          <w:t>2027 г</w:t>
        </w:r>
      </w:smartTag>
      <w:r w:rsidRPr="00491593">
        <w:rPr>
          <w:rFonts w:eastAsia="Times New Roman" w:cs="Times New Roman"/>
          <w:sz w:val="28"/>
        </w:rPr>
        <w:t xml:space="preserve">. и в </w:t>
      </w:r>
      <w:smartTag w:uri="urn:schemas-microsoft-com:office:smarttags" w:element="metricconverter">
        <w:smartTagPr>
          <w:attr w:name="ProductID" w:val="2030 г"/>
        </w:smartTagPr>
        <w:r w:rsidRPr="00491593">
          <w:rPr>
            <w:rFonts w:eastAsia="Times New Roman" w:cs="Times New Roman"/>
            <w:sz w:val="28"/>
          </w:rPr>
          <w:t>2030 г</w:t>
        </w:r>
      </w:smartTag>
      <w:r w:rsidRPr="00491593">
        <w:rPr>
          <w:rFonts w:eastAsia="Times New Roman" w:cs="Times New Roman"/>
          <w:sz w:val="28"/>
        </w:rPr>
        <w:t xml:space="preserve">. соответственно. В </w:t>
      </w:r>
      <w:smartTag w:uri="urn:schemas-microsoft-com:office:smarttags" w:element="metricconverter">
        <w:smartTagPr>
          <w:attr w:name="ProductID" w:val="2030 г"/>
        </w:smartTagPr>
        <w:r w:rsidRPr="00491593">
          <w:rPr>
            <w:rFonts w:eastAsia="Times New Roman" w:cs="Times New Roman"/>
            <w:sz w:val="28"/>
          </w:rPr>
          <w:t>2030 г</w:t>
        </w:r>
      </w:smartTag>
      <w:r w:rsidRPr="00491593">
        <w:rPr>
          <w:rFonts w:eastAsia="Times New Roman" w:cs="Times New Roman"/>
          <w:sz w:val="28"/>
        </w:rPr>
        <w:t xml:space="preserve">. также должны завершиться работы над станцией малой мощности «РИТМ-200М» в </w:t>
      </w:r>
      <w:proofErr w:type="spellStart"/>
      <w:r w:rsidRPr="00491593">
        <w:rPr>
          <w:rFonts w:eastAsia="Times New Roman" w:cs="Times New Roman"/>
          <w:sz w:val="28"/>
        </w:rPr>
        <w:t>Усть</w:t>
      </w:r>
      <w:proofErr w:type="spellEnd"/>
      <w:r w:rsidRPr="00491593">
        <w:rPr>
          <w:rFonts w:eastAsia="Times New Roman" w:cs="Times New Roman"/>
          <w:sz w:val="28"/>
        </w:rPr>
        <w:t xml:space="preserve">-Янском районе Якутии. В Хабаровском крае в селе </w:t>
      </w:r>
      <w:proofErr w:type="spellStart"/>
      <w:r w:rsidRPr="00491593">
        <w:rPr>
          <w:rFonts w:eastAsia="Times New Roman" w:cs="Times New Roman"/>
          <w:sz w:val="28"/>
        </w:rPr>
        <w:t>Эворон</w:t>
      </w:r>
      <w:proofErr w:type="spellEnd"/>
      <w:r w:rsidRPr="00491593">
        <w:rPr>
          <w:rFonts w:eastAsia="Times New Roman" w:cs="Times New Roman"/>
          <w:sz w:val="28"/>
        </w:rPr>
        <w:t xml:space="preserve"> (Солнечный район, железнодорожная станция на БАМе) планируется </w:t>
      </w:r>
      <w:proofErr w:type="gramStart"/>
      <w:r w:rsidRPr="00491593">
        <w:rPr>
          <w:rFonts w:eastAsia="Times New Roman" w:cs="Times New Roman"/>
          <w:sz w:val="28"/>
        </w:rPr>
        <w:t>разместить</w:t>
      </w:r>
      <w:proofErr w:type="gramEnd"/>
      <w:r w:rsidRPr="00491593">
        <w:rPr>
          <w:rFonts w:eastAsia="Times New Roman" w:cs="Times New Roman"/>
          <w:sz w:val="28"/>
        </w:rPr>
        <w:t xml:space="preserve"> двухблочную станцию с инновационными энергоблоками типа ВВЭР мощностью 600 МВт каждый (к 2036-38 гг.). В Приморье существует проект такой же станции с двумя энергоблоками типа ВВЭР (2039-42 гг.) в Фокино [14].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До рекордно низких уровней в летний период упали экспортные поставки российской электроэнергии в Китай, осуществляемые из Амурской области («</w:t>
      </w:r>
      <w:proofErr w:type="spellStart"/>
      <w:r w:rsidRPr="00491593">
        <w:rPr>
          <w:rFonts w:eastAsia="Times New Roman" w:cs="Times New Roman"/>
          <w:sz w:val="28"/>
        </w:rPr>
        <w:t>Интер</w:t>
      </w:r>
      <w:proofErr w:type="spellEnd"/>
      <w:r w:rsidRPr="00491593">
        <w:rPr>
          <w:rFonts w:eastAsia="Times New Roman" w:cs="Times New Roman"/>
          <w:sz w:val="28"/>
        </w:rPr>
        <w:t xml:space="preserve"> РАО» по трем линиям – 500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 xml:space="preserve">, 110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 xml:space="preserve">, 220 </w:t>
      </w:r>
      <w:proofErr w:type="spellStart"/>
      <w:r w:rsidRPr="00491593">
        <w:rPr>
          <w:rFonts w:eastAsia="Times New Roman" w:cs="Times New Roman"/>
          <w:sz w:val="28"/>
        </w:rPr>
        <w:t>кВ</w:t>
      </w:r>
      <w:proofErr w:type="spellEnd"/>
      <w:r w:rsidRPr="00491593">
        <w:rPr>
          <w:rFonts w:eastAsia="Times New Roman" w:cs="Times New Roman"/>
          <w:sz w:val="28"/>
        </w:rPr>
        <w:t xml:space="preserve">). В частности, за первое полугодие </w:t>
      </w:r>
      <w:smartTag w:uri="urn:schemas-microsoft-com:office:smarttags" w:element="metricconverter">
        <w:smartTagPr>
          <w:attr w:name="ProductID" w:val="2024 г"/>
        </w:smartTagPr>
        <w:r w:rsidRPr="00491593">
          <w:rPr>
            <w:rFonts w:eastAsia="Times New Roman" w:cs="Times New Roman"/>
            <w:sz w:val="28"/>
          </w:rPr>
          <w:t>2024 г</w:t>
        </w:r>
      </w:smartTag>
      <w:r w:rsidRPr="00491593">
        <w:rPr>
          <w:rFonts w:eastAsia="Times New Roman" w:cs="Times New Roman"/>
          <w:sz w:val="28"/>
        </w:rPr>
        <w:t xml:space="preserve">. в КНР было поставлено около 465 </w:t>
      </w:r>
      <w:proofErr w:type="gramStart"/>
      <w:r w:rsidRPr="00491593">
        <w:rPr>
          <w:rFonts w:eastAsia="Times New Roman" w:cs="Times New Roman"/>
          <w:sz w:val="28"/>
        </w:rPr>
        <w:t>млн</w:t>
      </w:r>
      <w:proofErr w:type="gramEnd"/>
      <w:r w:rsidRPr="00491593">
        <w:rPr>
          <w:rFonts w:eastAsia="Times New Roman" w:cs="Times New Roman"/>
          <w:sz w:val="28"/>
        </w:rPr>
        <w:t xml:space="preserve"> кВт*ч электроэнергии, что на 76% меньше, чем за аналогичный период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 xml:space="preserve">. Общий ожидаемый объем экспорта за год не превышает 1 млрд кВт*ч, что может стать самым низким показателем за время поставок.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</w:t>
      </w:r>
      <w:smartTag w:uri="urn:schemas-microsoft-com:office:smarttags" w:element="metricconverter">
        <w:smartTagPr>
          <w:attr w:name="ProductID" w:val="2022 г"/>
        </w:smartTagPr>
        <w:r w:rsidRPr="00491593">
          <w:rPr>
            <w:rFonts w:eastAsia="Times New Roman" w:cs="Times New Roman"/>
            <w:sz w:val="28"/>
          </w:rPr>
          <w:t>2022 г</w:t>
        </w:r>
      </w:smartTag>
      <w:r w:rsidRPr="00491593">
        <w:rPr>
          <w:rFonts w:eastAsia="Times New Roman" w:cs="Times New Roman"/>
          <w:sz w:val="28"/>
        </w:rPr>
        <w:t xml:space="preserve">. были экспортированы рекордные 4,7 </w:t>
      </w:r>
      <w:proofErr w:type="gramStart"/>
      <w:r w:rsidRPr="00491593">
        <w:rPr>
          <w:rFonts w:eastAsia="Times New Roman" w:cs="Times New Roman"/>
          <w:sz w:val="28"/>
        </w:rPr>
        <w:t>млрд</w:t>
      </w:r>
      <w:proofErr w:type="gramEnd"/>
      <w:r w:rsidRPr="00491593">
        <w:rPr>
          <w:rFonts w:eastAsia="Times New Roman" w:cs="Times New Roman"/>
          <w:sz w:val="28"/>
        </w:rPr>
        <w:t xml:space="preserve"> кВт*ч. В </w:t>
      </w:r>
      <w:smartTag w:uri="urn:schemas-microsoft-com:office:smarttags" w:element="metricconverter">
        <w:smartTagPr>
          <w:attr w:name="ProductID" w:val="2023 г"/>
        </w:smartTagPr>
        <w:r w:rsidRPr="00491593">
          <w:rPr>
            <w:rFonts w:eastAsia="Times New Roman" w:cs="Times New Roman"/>
            <w:sz w:val="28"/>
          </w:rPr>
          <w:t>2023 г</w:t>
        </w:r>
      </w:smartTag>
      <w:r w:rsidRPr="00491593">
        <w:rPr>
          <w:rFonts w:eastAsia="Times New Roman" w:cs="Times New Roman"/>
          <w:sz w:val="28"/>
        </w:rPr>
        <w:t xml:space="preserve">. экспорт составил 3,1 млрд кВт*ч. Данный аспект определяет необходимость разработки вариативных решений обеспечения не только проектов экономики в субъектах ДФО, но и разработки технологических решений в сфере обеспечения электроэнергией изолированных районов. 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В число перспективных технологических решений в сфере обеспечения энергетической безопасности изолированных районов Дальнего Востока и Арктики могут быть включены развитие возобновляемой, гибридной, малой ядерной и водородной энергетики, систем хранения энергии, мер энергосбережения и повышения энергетической эффективности, а также укрепления </w:t>
      </w:r>
      <w:proofErr w:type="spellStart"/>
      <w:r w:rsidRPr="00491593">
        <w:rPr>
          <w:rFonts w:eastAsia="Times New Roman" w:cs="Times New Roman"/>
          <w:sz w:val="28"/>
        </w:rPr>
        <w:t>кибербезопасности</w:t>
      </w:r>
      <w:proofErr w:type="spellEnd"/>
      <w:r w:rsidRPr="00491593">
        <w:rPr>
          <w:rFonts w:eastAsia="Times New Roman" w:cs="Times New Roman"/>
          <w:sz w:val="28"/>
        </w:rPr>
        <w:t xml:space="preserve"> энергетической инфраструктуры.</w:t>
      </w:r>
    </w:p>
    <w:p w:rsid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</w:p>
    <w:p w:rsidR="007920CB" w:rsidRPr="00491593" w:rsidRDefault="007920CB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outlineLvl w:val="0"/>
        <w:rPr>
          <w:rFonts w:ascii="Arial" w:eastAsia="Times New Roman" w:hAnsi="Arial" w:cs="Times New Roman"/>
          <w:bCs/>
          <w:sz w:val="30"/>
          <w:szCs w:val="28"/>
        </w:rPr>
      </w:pPr>
      <w:bookmarkStart w:id="16" w:name="_Toc201525395"/>
      <w:bookmarkStart w:id="17" w:name="_Toc201589494"/>
      <w:bookmarkStart w:id="18" w:name="_Toc201589518"/>
      <w:r w:rsidRPr="00491593">
        <w:rPr>
          <w:rFonts w:ascii="Arial" w:eastAsia="Times New Roman" w:hAnsi="Arial" w:cs="Times New Roman"/>
          <w:bCs/>
          <w:sz w:val="30"/>
          <w:szCs w:val="30"/>
        </w:rPr>
        <w:lastRenderedPageBreak/>
        <w:t>2 Индивидуальное задание</w:t>
      </w:r>
      <w:bookmarkEnd w:id="16"/>
      <w:bookmarkEnd w:id="17"/>
      <w:bookmarkEnd w:id="18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Специфика социально-экономического развития Дальневосточного федерального округа в условиях санкционного внешнеполитического и внешнеэкономического давления проявляется в усилении диспропорций необходимых для развития региона ресурсах и доступных. Одним из базовых производителей ресурсов является энергосистема, функционирование которой осуществляет одна компания – ПАО «</w:t>
      </w:r>
      <w:proofErr w:type="spellStart"/>
      <w:r w:rsidRPr="00491593">
        <w:rPr>
          <w:rFonts w:eastAsia="Times New Roman" w:cs="Times New Roman"/>
          <w:sz w:val="28"/>
        </w:rPr>
        <w:t>Русгидро</w:t>
      </w:r>
      <w:proofErr w:type="spellEnd"/>
      <w:r w:rsidRPr="00491593">
        <w:rPr>
          <w:rFonts w:eastAsia="Times New Roman" w:cs="Times New Roman"/>
          <w:sz w:val="28"/>
        </w:rPr>
        <w:t>» на всю территорию самого большого по площади федерального округа. Следует  также отметить неблагоприятные природно-климатические условия для строительства и эксплуатации инфраструктуры отрасли, неравномерность потребления, локальность размещения генерации. В совокупности сложилась ситуация, при которой у инвесторов отсутствуют стимулы для модернизации системы, а государство, используя механизмы регулирования цен, не получает должного эффекта от субсидирования.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Актуальность темы исследования «Государственное регулирование энергетической политики на территории ДФО» обусловлена отсутствием достаточных ресурсов и низкий уровень эффективности механизмов динамичного развития энергосистемы в ДФО, их несоответствия со стратегическими целями развития региона. Формирование единого энергетического пространства России сталкивается с барьерами фрагментарности размещения и неравномерности технологического уровня развития объектов энергосистемы ДФО.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Целью магистерской диссертации является – на основе проведенного анализа проблем и механизмов управления энергосистемы предложить пути совершенствования энергетической политики, реализуемой в ДФО.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Объект исследования – государственная энергетическая политика, проводимая в ДФО.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Предмет исследования – механизмы реализации государственного регулирования энергетической политики в ДФО.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lastRenderedPageBreak/>
        <w:t>Содержание магистерской диссертации: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Введение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1 Теоретико-правовые и методические основы разработки и принятия управленческих решений по совершенствованию системы государственного управления в энергетическом секторе Российской Федерации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1.1 Теоретические подходы к формированию государственной политики в вопросах развития энергетического сектора экономики РФ5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1.2 Нормативно-правовые основы регулирования энергетического сектора в РФ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1.3 Критерии эффективности государственного регулирования энергетической политики в Российской Федерации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2 Анализ механизмов и методов государственного регулирования энергетической политики в Российской Федерации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2.1 Анализ состояния энергетики в Российской Федерации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2.2 Анализ проблем реализации государственной энергетической политики в ДФО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2.3 Анализ эффективности государственного регулирования в обеспечении энергетической стабильности в ДФО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3 Роль государственного регулирования энергетической политике в обеспечении энергетической стабильности в ДФО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3.1  Повышение экономической эффективности электроэнергетики ДФО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3.2 Совершенствование организационных механизмов государственного регулирования энергетической политики ДФО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3.3 Пути совершенствования энергетической политики в ДФО</w:t>
      </w:r>
    </w:p>
    <w:p w:rsidR="00491593" w:rsidRPr="00491593" w:rsidRDefault="00491593" w:rsidP="00491593">
      <w:pPr>
        <w:widowControl w:val="0"/>
        <w:spacing w:after="0" w:line="360" w:lineRule="auto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Заключение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>Для теоретической базы исследования был составлен список источников: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Васильева М.М. Энергетическая политика России: современные вызовы и перспективы развития / М.М. Васильева // Вестник Московского государственного лингвистического университета. Общественные науки. – 2021. – №3 (844). – С. 32-42.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lastRenderedPageBreak/>
        <w:t>Макаров А.А. Сценарии интенсификации развития экономики и энергетики России / А.А. Макаров, Ф.В. Веселов, В.А. Малахов // Проблемы прогнозирования. – 2024. – №4. – С. 102-119.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Мазурова О.В. Энергопотребление в России: современное состояние и прогнозные исследования / О.В. Мазурова, Е.В. </w:t>
      </w:r>
      <w:proofErr w:type="spellStart"/>
      <w:r w:rsidRPr="00491593">
        <w:rPr>
          <w:rFonts w:eastAsia="Calibri" w:cs="Times New Roman"/>
          <w:sz w:val="28"/>
        </w:rPr>
        <w:t>Гальперова</w:t>
      </w:r>
      <w:proofErr w:type="spellEnd"/>
      <w:r w:rsidRPr="00491593">
        <w:rPr>
          <w:rFonts w:eastAsia="Calibri" w:cs="Times New Roman"/>
          <w:sz w:val="28"/>
        </w:rPr>
        <w:t xml:space="preserve"> // Проблемы прогнозирования. – 2023. – №1. – С. 156-168.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Демина О.В. Трансформация союз ТЭК Дальнего Востока в условиях глобального </w:t>
      </w:r>
      <w:proofErr w:type="spellStart"/>
      <w:r w:rsidRPr="00491593">
        <w:rPr>
          <w:rFonts w:eastAsia="Calibri" w:cs="Times New Roman"/>
          <w:sz w:val="28"/>
        </w:rPr>
        <w:t>энергоперехода</w:t>
      </w:r>
      <w:proofErr w:type="spellEnd"/>
      <w:r w:rsidRPr="00491593">
        <w:rPr>
          <w:rFonts w:eastAsia="Calibri" w:cs="Times New Roman"/>
          <w:sz w:val="28"/>
        </w:rPr>
        <w:t xml:space="preserve">: роль институтов / О.В. Демина, Р.В. </w:t>
      </w:r>
      <w:proofErr w:type="spellStart"/>
      <w:r w:rsidRPr="00491593">
        <w:rPr>
          <w:rFonts w:eastAsia="Calibri" w:cs="Times New Roman"/>
          <w:sz w:val="28"/>
        </w:rPr>
        <w:t>Гулидов</w:t>
      </w:r>
      <w:proofErr w:type="spellEnd"/>
      <w:r w:rsidRPr="00491593">
        <w:rPr>
          <w:rFonts w:eastAsia="Calibri" w:cs="Times New Roman"/>
          <w:sz w:val="28"/>
        </w:rPr>
        <w:t xml:space="preserve"> // Власть и управление на Востоке России. – 2022. – №4. – С. 15-31.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Яковлев И.А. Национальная стратегия финансирования </w:t>
      </w:r>
      <w:proofErr w:type="spellStart"/>
      <w:r w:rsidRPr="00491593">
        <w:rPr>
          <w:rFonts w:eastAsia="Calibri" w:cs="Times New Roman"/>
          <w:sz w:val="28"/>
        </w:rPr>
        <w:t>энергоперехода</w:t>
      </w:r>
      <w:proofErr w:type="spellEnd"/>
      <w:r w:rsidRPr="00491593">
        <w:rPr>
          <w:rFonts w:eastAsia="Calibri" w:cs="Times New Roman"/>
          <w:sz w:val="28"/>
        </w:rPr>
        <w:t xml:space="preserve">: оценка возможностей и поиск решений / И.А. Яковлев, Л.С. </w:t>
      </w:r>
      <w:proofErr w:type="spellStart"/>
      <w:r w:rsidRPr="00491593">
        <w:rPr>
          <w:rFonts w:eastAsia="Calibri" w:cs="Times New Roman"/>
          <w:sz w:val="28"/>
        </w:rPr>
        <w:t>Кабир</w:t>
      </w:r>
      <w:proofErr w:type="spellEnd"/>
      <w:r w:rsidRPr="00491593">
        <w:rPr>
          <w:rFonts w:eastAsia="Calibri" w:cs="Times New Roman"/>
          <w:sz w:val="28"/>
        </w:rPr>
        <w:t>, С.И. Никулина // Финансовый журнал. – 2022. – №5. – С. 9-24.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Денисенко В.А. Россия и Китай: взаимодействие в сфере электроэнергетики / В.А. Денисенко // История Восточного института. – 2022. – №1. – С. 132-143.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 xml:space="preserve">Иванов И. Методы государственной оценки эффективности удалённых </w:t>
      </w:r>
      <w:proofErr w:type="spellStart"/>
      <w:r w:rsidRPr="00491593">
        <w:rPr>
          <w:rFonts w:eastAsia="Calibri" w:cs="Times New Roman"/>
          <w:sz w:val="28"/>
        </w:rPr>
        <w:t>энергопроектов</w:t>
      </w:r>
      <w:proofErr w:type="spellEnd"/>
      <w:r w:rsidRPr="00491593">
        <w:rPr>
          <w:rFonts w:eastAsia="Calibri" w:cs="Times New Roman"/>
          <w:sz w:val="28"/>
        </w:rPr>
        <w:t xml:space="preserve"> в условиях санкций и </w:t>
      </w:r>
      <w:proofErr w:type="spellStart"/>
      <w:r w:rsidRPr="00491593">
        <w:rPr>
          <w:rFonts w:eastAsia="Calibri" w:cs="Times New Roman"/>
          <w:sz w:val="28"/>
        </w:rPr>
        <w:t>энергоперехода</w:t>
      </w:r>
      <w:proofErr w:type="spellEnd"/>
      <w:r w:rsidRPr="00491593">
        <w:rPr>
          <w:rFonts w:eastAsia="Calibri" w:cs="Times New Roman"/>
          <w:sz w:val="28"/>
        </w:rPr>
        <w:t xml:space="preserve"> / И. Иванов, Т. Ершова, В. </w:t>
      </w:r>
      <w:proofErr w:type="spellStart"/>
      <w:r w:rsidRPr="00491593">
        <w:rPr>
          <w:rFonts w:eastAsia="Calibri" w:cs="Times New Roman"/>
          <w:sz w:val="28"/>
        </w:rPr>
        <w:t>Киушкина</w:t>
      </w:r>
      <w:proofErr w:type="spellEnd"/>
      <w:r w:rsidRPr="00491593">
        <w:rPr>
          <w:rFonts w:eastAsia="Calibri" w:cs="Times New Roman"/>
          <w:sz w:val="28"/>
        </w:rPr>
        <w:t xml:space="preserve"> // Энергетическая политика. – 2022. – №5 (171). – С. 16-27.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proofErr w:type="spellStart"/>
      <w:r w:rsidRPr="00491593">
        <w:rPr>
          <w:rFonts w:eastAsia="Calibri" w:cs="Times New Roman"/>
          <w:sz w:val="28"/>
        </w:rPr>
        <w:t>Сасаев</w:t>
      </w:r>
      <w:proofErr w:type="spellEnd"/>
      <w:r w:rsidRPr="00491593">
        <w:rPr>
          <w:rFonts w:eastAsia="Calibri" w:cs="Times New Roman"/>
          <w:sz w:val="28"/>
        </w:rPr>
        <w:t xml:space="preserve"> Н.И. Стратегические возможности развития производства сжиженного природного газа на Дальнем Востоке / Н.И. </w:t>
      </w:r>
      <w:proofErr w:type="spellStart"/>
      <w:r w:rsidRPr="00491593">
        <w:rPr>
          <w:rFonts w:eastAsia="Calibri" w:cs="Times New Roman"/>
          <w:sz w:val="28"/>
        </w:rPr>
        <w:t>Сасаев</w:t>
      </w:r>
      <w:proofErr w:type="spellEnd"/>
      <w:r w:rsidRPr="00491593">
        <w:rPr>
          <w:rFonts w:eastAsia="Calibri" w:cs="Times New Roman"/>
          <w:sz w:val="28"/>
        </w:rPr>
        <w:t xml:space="preserve"> // Экономическое возрождение России. – 2022. – №2 (72). – С. 161-178.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Селезнев В. Развитие распределенной генерации на Дальнем Востоке и в Арктике / В. Селезнев, М. Губанов, В. Потемкин // Энергетическая политика. – 2022. – №7 (173). – С. 58-79.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r w:rsidRPr="00491593">
        <w:rPr>
          <w:rFonts w:eastAsia="Calibri" w:cs="Times New Roman"/>
          <w:sz w:val="28"/>
        </w:rPr>
        <w:t>Малюков А.В. Проекты атомной энергетики в истории Дальнего Востока СССР (1960-1991 гг.) / А.В. Малюков // Труды института истории, археологии и этнографии ДВО РАН. – 2022. – №37. – С. 107-121.</w:t>
      </w:r>
    </w:p>
    <w:p w:rsidR="00491593" w:rsidRPr="00491593" w:rsidRDefault="00491593" w:rsidP="00491593">
      <w:pPr>
        <w:widowControl w:val="0"/>
        <w:numPr>
          <w:ilvl w:val="0"/>
          <w:numId w:val="7"/>
        </w:numPr>
        <w:spacing w:after="0" w:line="348" w:lineRule="auto"/>
        <w:contextualSpacing/>
        <w:jc w:val="both"/>
        <w:rPr>
          <w:rFonts w:eastAsia="Calibri" w:cs="Times New Roman"/>
          <w:sz w:val="28"/>
        </w:rPr>
      </w:pPr>
      <w:proofErr w:type="spellStart"/>
      <w:proofErr w:type="gramStart"/>
      <w:r w:rsidRPr="00491593">
        <w:rPr>
          <w:rFonts w:eastAsia="Calibri" w:cs="Times New Roman"/>
          <w:sz w:val="28"/>
        </w:rPr>
        <w:t>Шаркова</w:t>
      </w:r>
      <w:proofErr w:type="spellEnd"/>
      <w:r w:rsidRPr="00491593">
        <w:rPr>
          <w:rFonts w:eastAsia="Calibri" w:cs="Times New Roman"/>
          <w:sz w:val="28"/>
        </w:rPr>
        <w:t xml:space="preserve"> А.В. Моделирование структуры топливно-энергетического баланса региона в условиях применения концепции устойчивого развития для достижения стратегических показателей регионального развития / А.В. </w:t>
      </w:r>
      <w:proofErr w:type="spellStart"/>
      <w:r w:rsidRPr="00491593">
        <w:rPr>
          <w:rFonts w:eastAsia="Calibri" w:cs="Times New Roman"/>
          <w:sz w:val="28"/>
        </w:rPr>
        <w:t>Шаркова</w:t>
      </w:r>
      <w:proofErr w:type="spellEnd"/>
      <w:r w:rsidRPr="00491593">
        <w:rPr>
          <w:rFonts w:eastAsia="Calibri" w:cs="Times New Roman"/>
          <w:sz w:val="28"/>
        </w:rPr>
        <w:t>, Е.А. Лемм // МИР (Модернизация.</w:t>
      </w:r>
      <w:proofErr w:type="gramEnd"/>
      <w:r w:rsidRPr="00491593">
        <w:rPr>
          <w:rFonts w:eastAsia="Calibri" w:cs="Times New Roman"/>
          <w:sz w:val="28"/>
        </w:rPr>
        <w:t xml:space="preserve"> Инновации. </w:t>
      </w:r>
      <w:proofErr w:type="gramStart"/>
      <w:r w:rsidRPr="00491593">
        <w:rPr>
          <w:rFonts w:eastAsia="Calibri" w:cs="Times New Roman"/>
          <w:sz w:val="28"/>
        </w:rPr>
        <w:t>Развитие). – 2022.</w:t>
      </w:r>
      <w:proofErr w:type="gramEnd"/>
      <w:r w:rsidRPr="00491593">
        <w:rPr>
          <w:rFonts w:eastAsia="Calibri" w:cs="Times New Roman"/>
          <w:sz w:val="28"/>
        </w:rPr>
        <w:t xml:space="preserve"> – </w:t>
      </w:r>
      <w:r w:rsidRPr="00491593">
        <w:rPr>
          <w:rFonts w:eastAsia="Calibri" w:cs="Times New Roman"/>
          <w:sz w:val="28"/>
        </w:rPr>
        <w:lastRenderedPageBreak/>
        <w:t>Т.13. №3. – С. 513-531.</w:t>
      </w:r>
    </w:p>
    <w:p w:rsidR="00491593" w:rsidRDefault="00491593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Также в работе будут использованы данные открытых источников и отчетов, бюллетеней по исследуемой теме.</w:t>
      </w: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7920CB" w:rsidRDefault="007920CB" w:rsidP="00491593">
      <w:pPr>
        <w:widowControl w:val="0"/>
        <w:spacing w:after="0" w:line="348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jc w:val="center"/>
        <w:outlineLvl w:val="0"/>
        <w:rPr>
          <w:rFonts w:ascii="Arial" w:eastAsia="Times New Roman" w:hAnsi="Arial" w:cs="Times New Roman"/>
          <w:bCs/>
          <w:sz w:val="30"/>
          <w:szCs w:val="28"/>
        </w:rPr>
      </w:pPr>
      <w:bookmarkStart w:id="19" w:name="_Toc201525396"/>
      <w:bookmarkStart w:id="20" w:name="_Toc201589495"/>
      <w:bookmarkStart w:id="21" w:name="_Toc201589519"/>
      <w:r w:rsidRPr="00491593">
        <w:rPr>
          <w:rFonts w:ascii="Arial" w:eastAsia="Times New Roman" w:hAnsi="Arial" w:cs="Times New Roman"/>
          <w:bCs/>
          <w:sz w:val="30"/>
          <w:szCs w:val="28"/>
        </w:rPr>
        <w:lastRenderedPageBreak/>
        <w:t>Заключение</w:t>
      </w:r>
      <w:bookmarkEnd w:id="19"/>
      <w:bookmarkEnd w:id="20"/>
      <w:bookmarkEnd w:id="21"/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Государственное регулирование энергетической политики в Российской Федерации определяется стратегией развития экономики и всех аспектов обеспечения экономической безопасности. Энергетическая сфера включает объекты критической инфраструктуры, ее состояние влияет на развитие регионов, социально-экономическую стабильность и потенциал регионального развития. Государственное регулирование энергетической политики региона – это часть федеральной политики, которая обеспечивает устойчивость и эффективность развития всей экономической системы государства.</w:t>
      </w:r>
    </w:p>
    <w:p w:rsidR="00491593" w:rsidRP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Спецификой развития энергетической сферы макрорегиона – ДФО является территориальная неравномерность размещения объектов генерации электроэнергии, неопределенность потребления объектами промышленности в условиях неопределенности развития субъектов макрорегиона. В то же время наблюдается дефицит энергомощностей, что определяется выводом из эксплуатации оборудования, устаревания оборудования, неравномерностью роста потребностей в электроэнергии по районам макрорегиона. Существующая структура энергетической сферы характеризуется фрагментарностью включения в единую систему, ряд районов до сих пор использует оборудование и топливо, которое использовалось 40 и более лет назад, а также существуют районы, в которых электроэнергия подключена в условиях нестабильности.</w:t>
      </w:r>
    </w:p>
    <w:p w:rsidR="00491593" w:rsidRDefault="00491593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  <w:r w:rsidRPr="00491593">
        <w:rPr>
          <w:rFonts w:eastAsia="Times New Roman" w:cs="Times New Roman"/>
          <w:sz w:val="28"/>
          <w:lang w:eastAsia="ru-RU"/>
        </w:rPr>
        <w:t>Следует отметить, что система ТЭК в России развивается в условиях естественной монополии, при этом в ДФО – действует единственная компания, которая поставляет электроэнергию. В настоящее время проводится реформирование и планирование новой системы, которая позволит не только модернизировать существующие производственные системы, но и распределить генерацию в соответствии с существующими и прогнозируемыми потребностями</w:t>
      </w:r>
      <w:r w:rsidR="007920CB">
        <w:rPr>
          <w:rFonts w:eastAsia="Times New Roman" w:cs="Times New Roman"/>
          <w:sz w:val="28"/>
          <w:lang w:eastAsia="ru-RU"/>
        </w:rPr>
        <w:t>.</w:t>
      </w:r>
    </w:p>
    <w:p w:rsidR="007920CB" w:rsidRPr="00491593" w:rsidRDefault="007920CB" w:rsidP="00491593">
      <w:pPr>
        <w:widowControl w:val="0"/>
        <w:spacing w:after="0" w:line="360" w:lineRule="auto"/>
        <w:ind w:firstLine="709"/>
        <w:jc w:val="both"/>
        <w:rPr>
          <w:rFonts w:eastAsia="Times New Roman" w:cs="Times New Roman"/>
          <w:sz w:val="28"/>
          <w:lang w:eastAsia="ru-RU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jc w:val="center"/>
        <w:outlineLvl w:val="0"/>
        <w:rPr>
          <w:rFonts w:ascii="Arial" w:eastAsia="Times New Roman" w:hAnsi="Arial" w:cs="Times New Roman"/>
          <w:bCs/>
          <w:sz w:val="30"/>
          <w:szCs w:val="28"/>
        </w:rPr>
      </w:pPr>
      <w:bookmarkStart w:id="22" w:name="_Toc201525397"/>
      <w:bookmarkStart w:id="23" w:name="_Toc201589496"/>
      <w:bookmarkStart w:id="24" w:name="_Toc201589520"/>
      <w:r w:rsidRPr="00491593">
        <w:rPr>
          <w:rFonts w:ascii="Arial" w:eastAsia="Times New Roman" w:hAnsi="Arial" w:cs="Times New Roman"/>
          <w:bCs/>
          <w:sz w:val="30"/>
          <w:szCs w:val="28"/>
        </w:rPr>
        <w:lastRenderedPageBreak/>
        <w:t>Список использованных источников</w:t>
      </w:r>
      <w:bookmarkEnd w:id="22"/>
      <w:bookmarkEnd w:id="23"/>
      <w:bookmarkEnd w:id="24"/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Энергетическая стратегия Российской Федерации на период до 2050 года. Утв. Распоряжение правительства РФ от 12.04.2025 г. №908-р // СПС «Гарант».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https://www.garant.ru/products/ipo/prime/doc/411766542/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Об электроэнергетике. Федеральный закон от 26.03.2003 г. (изм. 25.10.2024) // СПС «Гарант».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https://base.garant.ru/185656/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proofErr w:type="spellStart"/>
      <w:r w:rsidRPr="00491593">
        <w:rPr>
          <w:rFonts w:eastAsia="Calibri" w:cs="Times New Roman"/>
          <w:sz w:val="28"/>
          <w:szCs w:val="24"/>
        </w:rPr>
        <w:t>Символоков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О.А. Развитие рынка электроэнергии и мощности Российской Федерации: антимонопольный аспект / О.А. </w:t>
      </w:r>
      <w:proofErr w:type="spellStart"/>
      <w:r w:rsidRPr="00491593">
        <w:rPr>
          <w:rFonts w:eastAsia="Calibri" w:cs="Times New Roman"/>
          <w:sz w:val="28"/>
          <w:szCs w:val="24"/>
        </w:rPr>
        <w:t>Символоков</w:t>
      </w:r>
      <w:proofErr w:type="spellEnd"/>
      <w:r w:rsidRPr="00491593">
        <w:rPr>
          <w:rFonts w:eastAsia="Calibri" w:cs="Times New Roman"/>
          <w:sz w:val="28"/>
          <w:szCs w:val="24"/>
        </w:rPr>
        <w:t>, В.А. Вальков // Московский юридический журнал. – 2023. – №4. – С. 75-80.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proofErr w:type="spellStart"/>
      <w:r w:rsidRPr="00491593">
        <w:rPr>
          <w:rFonts w:eastAsia="Calibri" w:cs="Times New Roman"/>
          <w:sz w:val="28"/>
          <w:szCs w:val="24"/>
        </w:rPr>
        <w:t>Велиев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В.А. Применение международного опыта государственного регулирования в топливно-энергетическом комплексе России / В.А. </w:t>
      </w:r>
      <w:proofErr w:type="spellStart"/>
      <w:r w:rsidRPr="00491593">
        <w:rPr>
          <w:rFonts w:eastAsia="Calibri" w:cs="Times New Roman"/>
          <w:sz w:val="28"/>
          <w:szCs w:val="24"/>
        </w:rPr>
        <w:t>Велиев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// </w:t>
      </w:r>
      <w:proofErr w:type="spellStart"/>
      <w:r w:rsidRPr="00491593">
        <w:rPr>
          <w:rFonts w:eastAsia="Calibri" w:cs="Times New Roman"/>
          <w:sz w:val="28"/>
          <w:szCs w:val="24"/>
        </w:rPr>
        <w:t>PolitBook</w:t>
      </w:r>
      <w:proofErr w:type="spellEnd"/>
      <w:r w:rsidRPr="00491593">
        <w:rPr>
          <w:rFonts w:eastAsia="Calibri" w:cs="Times New Roman"/>
          <w:sz w:val="28"/>
          <w:szCs w:val="24"/>
        </w:rPr>
        <w:t>. – 2021. – №2. – С. 140-152.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>Строева Г.Н. Топливно-энергетический комплекс Дальнего Востока: трансформация институциональной среды / Г.Н. Строева // Власть и управление на Востоке России. – 2023. – №1 (102). – С. 17-33.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proofErr w:type="spellStart"/>
      <w:r w:rsidRPr="00491593">
        <w:rPr>
          <w:rFonts w:eastAsia="Calibri" w:cs="Times New Roman"/>
          <w:sz w:val="28"/>
          <w:szCs w:val="24"/>
        </w:rPr>
        <w:t>Сказочкин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А.В. О состоянии энергетического машиностроения в России: возможности и пути инновационного развития / А.В. </w:t>
      </w:r>
      <w:proofErr w:type="spellStart"/>
      <w:r w:rsidRPr="00491593">
        <w:rPr>
          <w:rFonts w:eastAsia="Calibri" w:cs="Times New Roman"/>
          <w:sz w:val="28"/>
          <w:szCs w:val="24"/>
        </w:rPr>
        <w:t>Сказочкин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, П.В. </w:t>
      </w:r>
      <w:proofErr w:type="spellStart"/>
      <w:r w:rsidRPr="00491593">
        <w:rPr>
          <w:rFonts w:eastAsia="Calibri" w:cs="Times New Roman"/>
          <w:sz w:val="28"/>
          <w:szCs w:val="24"/>
        </w:rPr>
        <w:t>Балаш</w:t>
      </w:r>
      <w:proofErr w:type="spellEnd"/>
      <w:r w:rsidRPr="00491593">
        <w:rPr>
          <w:rFonts w:eastAsia="Calibri" w:cs="Times New Roman"/>
          <w:sz w:val="28"/>
          <w:szCs w:val="24"/>
        </w:rPr>
        <w:t>, Л.Н. Сережкин, В.Б. Перов // Управление наукой: теория и практика. – 2022. – Т.4. №4. – С. 135-150.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Степнов И.М. </w:t>
      </w:r>
      <w:proofErr w:type="spellStart"/>
      <w:r w:rsidRPr="00491593">
        <w:rPr>
          <w:rFonts w:eastAsia="Calibri" w:cs="Times New Roman"/>
          <w:sz w:val="28"/>
          <w:szCs w:val="24"/>
        </w:rPr>
        <w:t>Энергопереход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и цифровизация экономики: современная повестка и конкуренция стран / И.М. Степнов, Т.В. Колесникова // Научные труды Вольного экономического общества России. – 2023. – №3. – С. 437-449.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Доктрина энергетической безопасности Российской Федерации. Указ Президента РФ от 13.05.2019 г. // СПС «Гарант».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https://base.garant.ru/72240884/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Об энергосбережении и о повышении энергетической эффективности и о внесении изменений в отдельные законодательные акты Российской </w:t>
      </w:r>
      <w:r w:rsidRPr="00491593">
        <w:rPr>
          <w:rFonts w:eastAsia="Calibri" w:cs="Times New Roman"/>
          <w:sz w:val="28"/>
          <w:szCs w:val="24"/>
        </w:rPr>
        <w:lastRenderedPageBreak/>
        <w:t xml:space="preserve">Федерации. Федеральный закон от 23.11.2009 г. №261-ФЗ (изм. 20.03.2025) // СПС «Гарант».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https://base.garant.ru/12171109/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</w:rPr>
        <w:t xml:space="preserve">О национальных целях развития Российской Федерации на период до </w:t>
      </w:r>
      <w:smartTag w:uri="urn:schemas-microsoft-com:office:smarttags" w:element="metricconverter">
        <w:smartTagPr>
          <w:attr w:name="ProductID" w:val="2030 г"/>
        </w:smartTagPr>
        <w:r w:rsidRPr="00491593">
          <w:rPr>
            <w:rFonts w:eastAsia="Calibri" w:cs="Times New Roman"/>
            <w:sz w:val="28"/>
          </w:rPr>
          <w:t>2030 г</w:t>
        </w:r>
      </w:smartTag>
      <w:r w:rsidRPr="00491593">
        <w:rPr>
          <w:rFonts w:eastAsia="Calibri" w:cs="Times New Roman"/>
          <w:sz w:val="28"/>
        </w:rPr>
        <w:t xml:space="preserve">. и на перспективу до 2036 года. Указ Президента РФ от 07.05.2024 г. №309 </w:t>
      </w:r>
      <w:r w:rsidRPr="00491593">
        <w:rPr>
          <w:rFonts w:eastAsia="Calibri" w:cs="Times New Roman"/>
          <w:sz w:val="28"/>
          <w:szCs w:val="24"/>
        </w:rPr>
        <w:t xml:space="preserve">// СПС «Гарант».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https://ivo.garant.ru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Юрий Трутнев провел совещание по развитию электроэнергетического комплекса Дальнего Востока: Текст </w:t>
      </w:r>
      <w:proofErr w:type="spellStart"/>
      <w:r w:rsidRPr="00491593">
        <w:rPr>
          <w:rFonts w:eastAsia="Calibri" w:cs="Times New Roman"/>
          <w:sz w:val="28"/>
          <w:szCs w:val="24"/>
        </w:rPr>
        <w:t>электонный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: Корпорация развития Дальнего Востока и Арктики. – 16.05.2025.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https://erdc.ru/news/yuriy-trutnev-provel-soveshchanie-po-razvitiyu-elektroenergeticheskogo-kompleksa-dalnego-vostoka/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Рынок электроэнергии Дальневосточного федерального округа. 2024: [сайт].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https://www.mcbamk.ru/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Развитие конкуренции на рынке электроэнергии в ДФО: Текст электронный / Энергетика и промышленность России. – 11.05.2023.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https://www.eprussia.ru/market-and-analytics/3794535.htm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proofErr w:type="spellStart"/>
      <w:r w:rsidRPr="00491593">
        <w:rPr>
          <w:rFonts w:eastAsia="Calibri" w:cs="Times New Roman"/>
          <w:sz w:val="28"/>
          <w:szCs w:val="24"/>
        </w:rPr>
        <w:t>Туровский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Р.Ф. Бюллетень </w:t>
      </w:r>
      <w:proofErr w:type="spellStart"/>
      <w:r w:rsidRPr="00491593">
        <w:rPr>
          <w:rFonts w:eastAsia="Calibri" w:cs="Times New Roman"/>
          <w:sz w:val="28"/>
          <w:szCs w:val="24"/>
        </w:rPr>
        <w:t>EastRussia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: аналитический обзор электроэнергетики ДФО – осень 2024: Текст электронный / Р.Ф. </w:t>
      </w:r>
      <w:proofErr w:type="spellStart"/>
      <w:r w:rsidRPr="00491593">
        <w:rPr>
          <w:rFonts w:eastAsia="Calibri" w:cs="Times New Roman"/>
          <w:sz w:val="28"/>
          <w:szCs w:val="24"/>
        </w:rPr>
        <w:t>Туровский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 // </w:t>
      </w:r>
      <w:proofErr w:type="spellStart"/>
      <w:r w:rsidRPr="00491593">
        <w:rPr>
          <w:rFonts w:eastAsia="Calibri" w:cs="Times New Roman"/>
          <w:sz w:val="28"/>
          <w:szCs w:val="24"/>
          <w:lang w:val="en-US"/>
        </w:rPr>
        <w:t>EastRussia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. – 04.10.2024.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https://eastrussia.ru/material/byulleten-eastrussia-analiticheskiy-obzor-elektroenergetiki-dfo-osen-2024/#11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 xml:space="preserve">Первый шаг к рынку: Текст электронный / Вестник </w:t>
      </w:r>
      <w:proofErr w:type="spellStart"/>
      <w:r w:rsidRPr="00491593">
        <w:rPr>
          <w:rFonts w:eastAsia="Calibri" w:cs="Times New Roman"/>
          <w:sz w:val="28"/>
          <w:szCs w:val="24"/>
        </w:rPr>
        <w:t>Русгидро</w:t>
      </w:r>
      <w:proofErr w:type="spellEnd"/>
      <w:r w:rsidRPr="00491593">
        <w:rPr>
          <w:rFonts w:eastAsia="Calibri" w:cs="Times New Roman"/>
          <w:sz w:val="28"/>
          <w:szCs w:val="24"/>
        </w:rPr>
        <w:t xml:space="preserve">. – 2024. – №1. – </w:t>
      </w:r>
      <w:r w:rsidRPr="00491593">
        <w:rPr>
          <w:rFonts w:eastAsia="Calibri" w:cs="Times New Roman"/>
          <w:sz w:val="28"/>
          <w:szCs w:val="24"/>
          <w:lang w:val="en-US"/>
        </w:rPr>
        <w:t>URL</w:t>
      </w:r>
      <w:r w:rsidRPr="00491593">
        <w:rPr>
          <w:rFonts w:eastAsia="Calibri" w:cs="Times New Roman"/>
          <w:sz w:val="28"/>
          <w:szCs w:val="24"/>
        </w:rPr>
        <w:t>: https://vestnik-rushydro.ru/articles/11-noyabr-2024/krupnym-planom/pervyy-shag-k-rynku/ (дата обращения: 02.06.2025).</w:t>
      </w:r>
    </w:p>
    <w:p w:rsidR="00491593" w:rsidRPr="00491593" w:rsidRDefault="00491593" w:rsidP="00491593">
      <w:pPr>
        <w:widowControl w:val="0"/>
        <w:numPr>
          <w:ilvl w:val="0"/>
          <w:numId w:val="6"/>
        </w:numPr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  <w:r w:rsidRPr="00491593">
        <w:rPr>
          <w:rFonts w:eastAsia="Calibri" w:cs="Times New Roman"/>
          <w:sz w:val="28"/>
          <w:szCs w:val="24"/>
        </w:rPr>
        <w:t>Бучнев А.О. Геоэкономические факторы развития энергетики Дальнего Востока в контексте национальных и мировых тенденций / А.О. Бучнев, О.А. Бучнев // Государственная служба. – 2023. – Т.25. №6. – С. 53-60.</w:t>
      </w:r>
    </w:p>
    <w:p w:rsidR="00491593" w:rsidRPr="00491593" w:rsidRDefault="00491593" w:rsidP="00491593">
      <w:pPr>
        <w:widowControl w:val="0"/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</w:p>
    <w:p w:rsidR="00491593" w:rsidRPr="00491593" w:rsidRDefault="00491593" w:rsidP="00491593">
      <w:pPr>
        <w:widowControl w:val="0"/>
        <w:spacing w:after="0" w:line="360" w:lineRule="auto"/>
        <w:contextualSpacing/>
        <w:jc w:val="both"/>
        <w:rPr>
          <w:rFonts w:eastAsia="Calibri" w:cs="Times New Roman"/>
          <w:sz w:val="28"/>
          <w:szCs w:val="24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jc w:val="center"/>
        <w:outlineLvl w:val="0"/>
        <w:rPr>
          <w:rFonts w:ascii="Arial" w:eastAsia="Times New Roman" w:hAnsi="Arial" w:cs="Times New Roman"/>
          <w:bCs/>
          <w:sz w:val="30"/>
          <w:szCs w:val="28"/>
        </w:rPr>
      </w:pPr>
      <w:bookmarkStart w:id="25" w:name="_Toc201525398"/>
      <w:bookmarkStart w:id="26" w:name="_Toc201589497"/>
      <w:bookmarkStart w:id="27" w:name="_Toc201589521"/>
      <w:r w:rsidRPr="00491593">
        <w:rPr>
          <w:rFonts w:ascii="Arial" w:eastAsia="Times New Roman" w:hAnsi="Arial" w:cs="Times New Roman"/>
          <w:bCs/>
          <w:sz w:val="30"/>
          <w:szCs w:val="28"/>
        </w:rPr>
        <w:lastRenderedPageBreak/>
        <w:t>Приложение</w:t>
      </w:r>
      <w:proofErr w:type="gramStart"/>
      <w:r w:rsidRPr="00491593">
        <w:rPr>
          <w:rFonts w:ascii="Arial" w:eastAsia="Times New Roman" w:hAnsi="Arial" w:cs="Times New Roman"/>
          <w:bCs/>
          <w:sz w:val="30"/>
          <w:szCs w:val="28"/>
        </w:rPr>
        <w:t xml:space="preserve"> А</w:t>
      </w:r>
      <w:bookmarkEnd w:id="25"/>
      <w:bookmarkEnd w:id="26"/>
      <w:bookmarkEnd w:id="27"/>
      <w:proofErr w:type="gramEnd"/>
    </w:p>
    <w:p w:rsidR="00491593" w:rsidRPr="00491593" w:rsidRDefault="00491593" w:rsidP="00491593">
      <w:pPr>
        <w:widowControl w:val="0"/>
        <w:spacing w:after="0" w:line="360" w:lineRule="auto"/>
        <w:jc w:val="center"/>
        <w:rPr>
          <w:rFonts w:ascii="Arial" w:eastAsia="Times New Roman" w:hAnsi="Arial" w:cs="Arial"/>
          <w:sz w:val="28"/>
        </w:rPr>
      </w:pPr>
      <w:r w:rsidRPr="00491593">
        <w:rPr>
          <w:rFonts w:ascii="Arial" w:eastAsia="Times New Roman" w:hAnsi="Arial" w:cs="Arial"/>
          <w:sz w:val="28"/>
        </w:rPr>
        <w:t xml:space="preserve">Территории ценовых зон оптового рынка электроэнергии РФ, </w:t>
      </w:r>
      <w:smartTag w:uri="urn:schemas-microsoft-com:office:smarttags" w:element="metricconverter">
        <w:smartTagPr>
          <w:attr w:name="ProductID" w:val="2024 г"/>
        </w:smartTagPr>
        <w:r w:rsidRPr="00491593">
          <w:rPr>
            <w:rFonts w:ascii="Arial" w:eastAsia="Times New Roman" w:hAnsi="Arial" w:cs="Arial"/>
            <w:sz w:val="28"/>
          </w:rPr>
          <w:t>2024 г</w:t>
        </w:r>
      </w:smartTag>
      <w:r w:rsidRPr="00491593">
        <w:rPr>
          <w:rFonts w:ascii="Arial" w:eastAsia="Times New Roman" w:hAnsi="Arial" w:cs="Arial"/>
          <w:sz w:val="28"/>
        </w:rPr>
        <w:t>.</w:t>
      </w:r>
    </w:p>
    <w:p w:rsidR="00491593" w:rsidRPr="00491593" w:rsidRDefault="00491593" w:rsidP="00491593">
      <w:pPr>
        <w:widowControl w:val="0"/>
        <w:spacing w:after="0" w:line="48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6124575" cy="3763645"/>
            <wp:effectExtent l="0" t="0" r="9525" b="8255"/>
            <wp:docPr id="22" name="Рисунок 22" descr="Описание: https://vestnik-rushydro.ru/upload/medialibrary/158/asjgr6vvv9gdeq6xuxi5vi2fbtmcx41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https://vestnik-rushydro.ru/upload/medialibrary/158/asjgr6vvv9gdeq6xuxi5vi2fbtmcx41z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А.1 – Территории ценовых зон оптового рынка электроэнергии РФ, </w:t>
      </w:r>
      <w:smartTag w:uri="urn:schemas-microsoft-com:office:smarttags" w:element="metricconverter">
        <w:smartTagPr>
          <w:attr w:name="ProductID" w:val="2024 г"/>
        </w:smartTagPr>
        <w:r w:rsidRPr="00491593">
          <w:rPr>
            <w:rFonts w:eastAsia="Times New Roman" w:cs="Times New Roman"/>
            <w:sz w:val="28"/>
          </w:rPr>
          <w:t>2024 г</w:t>
        </w:r>
      </w:smartTag>
      <w:r w:rsidRPr="00491593">
        <w:rPr>
          <w:rFonts w:eastAsia="Times New Roman" w:cs="Times New Roman"/>
          <w:sz w:val="28"/>
        </w:rPr>
        <w:t>.</w:t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p w:rsidR="00491593" w:rsidRPr="00491593" w:rsidRDefault="00491593" w:rsidP="00491593">
      <w:pPr>
        <w:widowControl w:val="0"/>
        <w:spacing w:after="240" w:line="240" w:lineRule="auto"/>
        <w:ind w:left="851" w:hanging="142"/>
        <w:jc w:val="center"/>
        <w:outlineLvl w:val="0"/>
        <w:rPr>
          <w:rFonts w:ascii="Arial" w:eastAsia="Times New Roman" w:hAnsi="Arial" w:cs="Times New Roman"/>
          <w:bCs/>
          <w:sz w:val="30"/>
          <w:szCs w:val="28"/>
        </w:rPr>
      </w:pPr>
      <w:bookmarkStart w:id="28" w:name="_Toc201525399"/>
      <w:bookmarkStart w:id="29" w:name="_Toc201589498"/>
      <w:bookmarkStart w:id="30" w:name="_Toc201589522"/>
      <w:r w:rsidRPr="00491593">
        <w:rPr>
          <w:rFonts w:ascii="Arial" w:eastAsia="Times New Roman" w:hAnsi="Arial" w:cs="Times New Roman"/>
          <w:bCs/>
          <w:sz w:val="30"/>
          <w:szCs w:val="28"/>
        </w:rPr>
        <w:lastRenderedPageBreak/>
        <w:t>Приложение</w:t>
      </w:r>
      <w:proofErr w:type="gramStart"/>
      <w:r w:rsidRPr="00491593">
        <w:rPr>
          <w:rFonts w:ascii="Arial" w:eastAsia="Times New Roman" w:hAnsi="Arial" w:cs="Times New Roman"/>
          <w:bCs/>
          <w:sz w:val="30"/>
          <w:szCs w:val="28"/>
        </w:rPr>
        <w:t xml:space="preserve"> Б</w:t>
      </w:r>
      <w:bookmarkEnd w:id="28"/>
      <w:bookmarkEnd w:id="29"/>
      <w:bookmarkEnd w:id="30"/>
      <w:proofErr w:type="gramEnd"/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8"/>
        </w:rPr>
      </w:pPr>
      <w:r w:rsidRPr="00491593">
        <w:rPr>
          <w:rFonts w:ascii="Arial" w:eastAsia="Times New Roman" w:hAnsi="Arial" w:cs="Arial"/>
          <w:sz w:val="28"/>
        </w:rPr>
        <w:t xml:space="preserve">Установленная мощность возобновляемых источников </w:t>
      </w:r>
      <w:r w:rsidRPr="00491593">
        <w:rPr>
          <w:rFonts w:ascii="Arial" w:eastAsia="Times New Roman" w:hAnsi="Arial" w:cs="Arial"/>
          <w:sz w:val="28"/>
        </w:rPr>
        <w:br/>
        <w:t>энергии в регионах ДФО</w:t>
      </w:r>
    </w:p>
    <w:p w:rsidR="00491593" w:rsidRPr="00491593" w:rsidRDefault="00491593" w:rsidP="00491593">
      <w:pPr>
        <w:widowControl w:val="0"/>
        <w:spacing w:after="0" w:line="480" w:lineRule="auto"/>
        <w:jc w:val="center"/>
        <w:rPr>
          <w:rFonts w:eastAsia="Times New Roman" w:cs="Times New Roman"/>
          <w:sz w:val="28"/>
        </w:rPr>
      </w:pPr>
      <w:r>
        <w:rPr>
          <w:rFonts w:eastAsia="Times New Roman" w:cs="Times New Roman"/>
          <w:noProof/>
          <w:sz w:val="28"/>
          <w:lang w:eastAsia="ru-RU"/>
        </w:rPr>
        <w:drawing>
          <wp:inline distT="0" distB="0" distL="0" distR="0">
            <wp:extent cx="6124575" cy="4083050"/>
            <wp:effectExtent l="0" t="0" r="9525" b="0"/>
            <wp:docPr id="21" name="Рисунок 21" descr="Описание: https://cdnstatic.rg.ru/crop1000x667/uploads/images/2022/11/17/konkurenty-mazutu-16-p-1000h667_3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https://cdnstatic.rg.ru/crop1000x667/uploads/images/2022/11/17/konkurenty-mazutu-16-p-1000h667_3ca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  <w:r w:rsidRPr="00491593">
        <w:rPr>
          <w:rFonts w:eastAsia="Times New Roman" w:cs="Times New Roman"/>
          <w:sz w:val="28"/>
        </w:rPr>
        <w:t xml:space="preserve">Рисунок Б.1 – Установленная мощность возобновляемых источников энергии в регионах ДФО, </w:t>
      </w:r>
      <w:smartTag w:uri="urn:schemas-microsoft-com:office:smarttags" w:element="metricconverter">
        <w:smartTagPr>
          <w:attr w:name="ProductID" w:val="2022 г"/>
        </w:smartTagPr>
        <w:r w:rsidRPr="00491593">
          <w:rPr>
            <w:rFonts w:eastAsia="Times New Roman" w:cs="Times New Roman"/>
            <w:sz w:val="28"/>
          </w:rPr>
          <w:t>2022 г</w:t>
        </w:r>
      </w:smartTag>
      <w:r w:rsidRPr="00491593">
        <w:rPr>
          <w:rFonts w:eastAsia="Times New Roman" w:cs="Times New Roman"/>
          <w:sz w:val="28"/>
        </w:rPr>
        <w:t>.</w:t>
      </w:r>
    </w:p>
    <w:p w:rsidR="00491593" w:rsidRPr="00491593" w:rsidRDefault="00491593" w:rsidP="00491593">
      <w:pPr>
        <w:widowControl w:val="0"/>
        <w:spacing w:after="0" w:line="240" w:lineRule="auto"/>
        <w:jc w:val="center"/>
        <w:rPr>
          <w:rFonts w:eastAsia="Times New Roman" w:cs="Times New Roman"/>
          <w:sz w:val="28"/>
        </w:rPr>
      </w:pPr>
    </w:p>
    <w:bookmarkEnd w:id="1"/>
    <w:p w:rsidR="00491593" w:rsidRDefault="00491593" w:rsidP="00985A10">
      <w:pPr>
        <w:widowControl w:val="0"/>
        <w:spacing w:after="0" w:line="360" w:lineRule="auto"/>
        <w:ind w:right="1117"/>
        <w:jc w:val="both"/>
        <w:rPr>
          <w:rFonts w:eastAsia="Times New Roman" w:cs="Times New Roman"/>
          <w:sz w:val="28"/>
          <w:lang w:eastAsia="ru-RU"/>
        </w:rPr>
      </w:pPr>
    </w:p>
    <w:sectPr w:rsidR="00491593" w:rsidSect="007920CB">
      <w:headerReference w:type="default" r:id="rId18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A88" w:rsidRDefault="00FD4A88" w:rsidP="00985A10">
      <w:pPr>
        <w:spacing w:after="0" w:line="240" w:lineRule="auto"/>
      </w:pPr>
      <w:r>
        <w:separator/>
      </w:r>
    </w:p>
  </w:endnote>
  <w:endnote w:type="continuationSeparator" w:id="0">
    <w:p w:rsidR="00FD4A88" w:rsidRDefault="00FD4A88" w:rsidP="00985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A88" w:rsidRDefault="00FD4A88" w:rsidP="00985A10">
      <w:pPr>
        <w:spacing w:after="0" w:line="240" w:lineRule="auto"/>
      </w:pPr>
      <w:r>
        <w:separator/>
      </w:r>
    </w:p>
  </w:footnote>
  <w:footnote w:type="continuationSeparator" w:id="0">
    <w:p w:rsidR="00FD4A88" w:rsidRDefault="00FD4A88" w:rsidP="00985A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166644"/>
      <w:docPartObj>
        <w:docPartGallery w:val="Page Numbers (Top of Page)"/>
        <w:docPartUnique/>
      </w:docPartObj>
    </w:sdtPr>
    <w:sdtEndPr>
      <w:rPr>
        <w:sz w:val="28"/>
      </w:rPr>
    </w:sdtEndPr>
    <w:sdtContent>
      <w:p w:rsidR="00491593" w:rsidRPr="007920CB" w:rsidRDefault="00491593">
        <w:pPr>
          <w:pStyle w:val="a3"/>
          <w:jc w:val="right"/>
          <w:rPr>
            <w:sz w:val="28"/>
          </w:rPr>
        </w:pPr>
        <w:r w:rsidRPr="007920CB">
          <w:rPr>
            <w:sz w:val="28"/>
          </w:rPr>
          <w:fldChar w:fldCharType="begin"/>
        </w:r>
        <w:r w:rsidRPr="007920CB">
          <w:rPr>
            <w:sz w:val="28"/>
          </w:rPr>
          <w:instrText>PAGE   \* MERGEFORMAT</w:instrText>
        </w:r>
        <w:r w:rsidRPr="007920CB">
          <w:rPr>
            <w:sz w:val="28"/>
          </w:rPr>
          <w:fldChar w:fldCharType="separate"/>
        </w:r>
        <w:r w:rsidR="000D51C4">
          <w:rPr>
            <w:noProof/>
            <w:sz w:val="28"/>
          </w:rPr>
          <w:t>2</w:t>
        </w:r>
        <w:r w:rsidRPr="007920CB">
          <w:rPr>
            <w:sz w:val="28"/>
          </w:rPr>
          <w:fldChar w:fldCharType="end"/>
        </w:r>
      </w:p>
    </w:sdtContent>
  </w:sdt>
  <w:p w:rsidR="00491593" w:rsidRDefault="0049159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65386"/>
    <w:multiLevelType w:val="hybridMultilevel"/>
    <w:tmpl w:val="D962466E"/>
    <w:lvl w:ilvl="0" w:tplc="B756D0D4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41D0CD6"/>
    <w:multiLevelType w:val="hybridMultilevel"/>
    <w:tmpl w:val="54083B90"/>
    <w:lvl w:ilvl="0" w:tplc="666A70D6">
      <w:start w:val="1"/>
      <w:numFmt w:val="decimal"/>
      <w:suff w:val="space"/>
      <w:lvlText w:val="%1"/>
      <w:lvlJc w:val="left"/>
      <w:pPr>
        <w:ind w:left="0" w:firstLine="709"/>
      </w:pPr>
      <w:rPr>
        <w:rFonts w:ascii="Times New Roman" w:hAnsi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B35AD"/>
    <w:multiLevelType w:val="hybridMultilevel"/>
    <w:tmpl w:val="FB98B1F2"/>
    <w:lvl w:ilvl="0" w:tplc="844AAA40">
      <w:start w:val="1"/>
      <w:numFmt w:val="decimal"/>
      <w:suff w:val="space"/>
      <w:lvlText w:val="%1"/>
      <w:lvlJc w:val="left"/>
      <w:pPr>
        <w:ind w:left="0" w:firstLine="709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CF70E9"/>
    <w:multiLevelType w:val="hybridMultilevel"/>
    <w:tmpl w:val="95AC4F32"/>
    <w:lvl w:ilvl="0" w:tplc="F2507A7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5B4653"/>
    <w:multiLevelType w:val="hybridMultilevel"/>
    <w:tmpl w:val="09124A32"/>
    <w:lvl w:ilvl="0" w:tplc="B972036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0010FD"/>
    <w:multiLevelType w:val="hybridMultilevel"/>
    <w:tmpl w:val="6B1A3BDC"/>
    <w:lvl w:ilvl="0" w:tplc="A5A09B62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8E7E18"/>
    <w:multiLevelType w:val="hybridMultilevel"/>
    <w:tmpl w:val="53987AAC"/>
    <w:lvl w:ilvl="0" w:tplc="8C12105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73D04C06"/>
    <w:multiLevelType w:val="hybridMultilevel"/>
    <w:tmpl w:val="C53AEE36"/>
    <w:lvl w:ilvl="0" w:tplc="B756D0D4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0C2"/>
    <w:rsid w:val="000D51C4"/>
    <w:rsid w:val="000E43A7"/>
    <w:rsid w:val="00491593"/>
    <w:rsid w:val="00504847"/>
    <w:rsid w:val="0065769A"/>
    <w:rsid w:val="007920CB"/>
    <w:rsid w:val="00863030"/>
    <w:rsid w:val="00951E01"/>
    <w:rsid w:val="00970438"/>
    <w:rsid w:val="00985A10"/>
    <w:rsid w:val="00A21F01"/>
    <w:rsid w:val="00C005F8"/>
    <w:rsid w:val="00E720C2"/>
    <w:rsid w:val="00FD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5A10"/>
    <w:pPr>
      <w:widowControl w:val="0"/>
      <w:spacing w:after="240" w:line="240" w:lineRule="auto"/>
      <w:jc w:val="center"/>
      <w:outlineLvl w:val="0"/>
    </w:pPr>
    <w:rPr>
      <w:rFonts w:ascii="Arial" w:eastAsia="Times New Roman" w:hAnsi="Arial" w:cs="Times New Roman"/>
      <w:bCs/>
      <w:sz w:val="30"/>
      <w:szCs w:val="28"/>
    </w:rPr>
  </w:style>
  <w:style w:type="paragraph" w:styleId="2">
    <w:name w:val="heading 2"/>
    <w:basedOn w:val="a"/>
    <w:next w:val="a"/>
    <w:link w:val="20"/>
    <w:uiPriority w:val="9"/>
    <w:qFormat/>
    <w:rsid w:val="00985A10"/>
    <w:pPr>
      <w:widowControl w:val="0"/>
      <w:suppressAutoHyphens/>
      <w:spacing w:before="120" w:after="240" w:line="240" w:lineRule="auto"/>
      <w:ind w:left="993" w:hanging="284"/>
      <w:outlineLvl w:val="1"/>
    </w:pPr>
    <w:rPr>
      <w:rFonts w:ascii="Arial" w:eastAsia="Times New Roman" w:hAnsi="Arial" w:cs="Times New Roman"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qFormat/>
    <w:rsid w:val="00985A10"/>
    <w:pPr>
      <w:widowControl w:val="0"/>
      <w:suppressAutoHyphens/>
      <w:spacing w:before="120" w:after="240" w:line="240" w:lineRule="auto"/>
      <w:ind w:left="1106" w:hanging="397"/>
      <w:outlineLvl w:val="2"/>
    </w:pPr>
    <w:rPr>
      <w:rFonts w:ascii="Arial" w:eastAsia="Times New Roman" w:hAnsi="Arial" w:cs="Times New Roman"/>
      <w:bCs/>
      <w:sz w:val="28"/>
    </w:rPr>
  </w:style>
  <w:style w:type="paragraph" w:styleId="4">
    <w:name w:val="heading 4"/>
    <w:basedOn w:val="a"/>
    <w:next w:val="a"/>
    <w:link w:val="40"/>
    <w:uiPriority w:val="9"/>
    <w:qFormat/>
    <w:rsid w:val="00985A10"/>
    <w:pPr>
      <w:keepNext/>
      <w:keepLines/>
      <w:widowControl w:val="0"/>
      <w:spacing w:after="0" w:line="360" w:lineRule="auto"/>
      <w:jc w:val="center"/>
      <w:outlineLvl w:val="3"/>
    </w:pPr>
    <w:rPr>
      <w:rFonts w:ascii="Arial" w:eastAsia="Times New Roman" w:hAnsi="Arial" w:cs="Times New Roman"/>
      <w:iCs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85A10"/>
  </w:style>
  <w:style w:type="paragraph" w:styleId="a5">
    <w:name w:val="footer"/>
    <w:basedOn w:val="a"/>
    <w:link w:val="a6"/>
    <w:uiPriority w:val="99"/>
    <w:unhideWhenUsed/>
    <w:rsid w:val="00985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85A10"/>
  </w:style>
  <w:style w:type="character" w:customStyle="1" w:styleId="10">
    <w:name w:val="Заголовок 1 Знак"/>
    <w:basedOn w:val="a0"/>
    <w:link w:val="1"/>
    <w:uiPriority w:val="9"/>
    <w:rsid w:val="00985A10"/>
    <w:rPr>
      <w:rFonts w:ascii="Arial" w:eastAsia="Times New Roman" w:hAnsi="Arial" w:cs="Times New Roman"/>
      <w:bCs/>
      <w:sz w:val="30"/>
      <w:szCs w:val="28"/>
    </w:rPr>
  </w:style>
  <w:style w:type="character" w:customStyle="1" w:styleId="20">
    <w:name w:val="Заголовок 2 Знак"/>
    <w:basedOn w:val="a0"/>
    <w:link w:val="2"/>
    <w:uiPriority w:val="9"/>
    <w:rsid w:val="00985A10"/>
    <w:rPr>
      <w:rFonts w:ascii="Arial" w:eastAsia="Times New Roman" w:hAnsi="Arial" w:cs="Times New Roman"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85A10"/>
    <w:rPr>
      <w:rFonts w:ascii="Arial" w:eastAsia="Times New Roman" w:hAnsi="Arial" w:cs="Times New Roman"/>
      <w:bCs/>
      <w:sz w:val="28"/>
    </w:rPr>
  </w:style>
  <w:style w:type="character" w:customStyle="1" w:styleId="40">
    <w:name w:val="Заголовок 4 Знак"/>
    <w:basedOn w:val="a0"/>
    <w:link w:val="4"/>
    <w:uiPriority w:val="9"/>
    <w:rsid w:val="00985A10"/>
    <w:rPr>
      <w:rFonts w:ascii="Arial" w:eastAsia="Times New Roman" w:hAnsi="Arial" w:cs="Times New Roman"/>
      <w:iCs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85A10"/>
  </w:style>
  <w:style w:type="paragraph" w:styleId="a7">
    <w:name w:val="List Paragraph"/>
    <w:basedOn w:val="a"/>
    <w:link w:val="a8"/>
    <w:uiPriority w:val="34"/>
    <w:qFormat/>
    <w:rsid w:val="00985A10"/>
    <w:pPr>
      <w:widowControl w:val="0"/>
      <w:spacing w:after="0" w:line="360" w:lineRule="auto"/>
      <w:contextualSpacing/>
      <w:jc w:val="both"/>
    </w:pPr>
    <w:rPr>
      <w:rFonts w:eastAsia="Calibri" w:cs="Times New Roman"/>
      <w:sz w:val="28"/>
    </w:rPr>
  </w:style>
  <w:style w:type="paragraph" w:styleId="a9">
    <w:name w:val="TOC Heading"/>
    <w:basedOn w:val="1"/>
    <w:next w:val="a"/>
    <w:uiPriority w:val="39"/>
    <w:qFormat/>
    <w:rsid w:val="00985A10"/>
    <w:pPr>
      <w:spacing w:before="240" w:after="0" w:line="259" w:lineRule="auto"/>
      <w:jc w:val="left"/>
      <w:outlineLvl w:val="9"/>
    </w:pPr>
    <w:rPr>
      <w:rFonts w:ascii="Calibri Light" w:hAnsi="Calibri Light"/>
      <w:bCs w:val="0"/>
      <w:color w:val="2E74B5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985A10"/>
    <w:pPr>
      <w:widowControl w:val="0"/>
      <w:tabs>
        <w:tab w:val="right" w:pos="9628"/>
      </w:tabs>
      <w:spacing w:after="0" w:line="360" w:lineRule="auto"/>
      <w:ind w:left="851" w:hanging="284"/>
      <w:jc w:val="both"/>
    </w:pPr>
    <w:rPr>
      <w:rFonts w:eastAsia="Times New Roman" w:cs="Times New Roman"/>
      <w:sz w:val="28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985A10"/>
    <w:pPr>
      <w:widowControl w:val="0"/>
      <w:tabs>
        <w:tab w:val="right" w:pos="9628"/>
      </w:tabs>
      <w:spacing w:after="120" w:line="240" w:lineRule="auto"/>
      <w:ind w:left="851" w:right="1117" w:hanging="284"/>
      <w:jc w:val="both"/>
    </w:pPr>
    <w:rPr>
      <w:rFonts w:eastAsia="Times New Roman" w:cs="Times New Roman"/>
      <w:sz w:val="28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985A10"/>
    <w:pPr>
      <w:widowControl w:val="0"/>
      <w:tabs>
        <w:tab w:val="right" w:pos="9628"/>
      </w:tabs>
      <w:spacing w:after="120" w:line="240" w:lineRule="auto"/>
      <w:ind w:left="1418" w:right="1117" w:hanging="709"/>
      <w:jc w:val="both"/>
    </w:pPr>
    <w:rPr>
      <w:rFonts w:eastAsia="Times New Roman" w:cs="Times New Roman"/>
      <w:sz w:val="28"/>
      <w:lang w:eastAsia="ru-RU"/>
    </w:rPr>
  </w:style>
  <w:style w:type="character" w:styleId="aa">
    <w:name w:val="Hyperlink"/>
    <w:uiPriority w:val="99"/>
    <w:unhideWhenUsed/>
    <w:rsid w:val="00985A10"/>
    <w:rPr>
      <w:color w:val="0563C1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85A10"/>
    <w:pPr>
      <w:widowControl w:val="0"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985A10"/>
    <w:rPr>
      <w:rFonts w:ascii="Tahoma" w:eastAsia="Times New Roman" w:hAnsi="Tahoma" w:cs="Tahoma"/>
      <w:sz w:val="16"/>
      <w:szCs w:val="16"/>
      <w:lang w:eastAsia="ru-RU"/>
    </w:rPr>
  </w:style>
  <w:style w:type="table" w:styleId="ad">
    <w:name w:val="Table Grid"/>
    <w:basedOn w:val="a1"/>
    <w:uiPriority w:val="39"/>
    <w:rsid w:val="00985A10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uiPriority w:val="34"/>
    <w:rsid w:val="00985A10"/>
    <w:rPr>
      <w:rFonts w:eastAsia="Calibri" w:cs="Times New Roman"/>
      <w:sz w:val="28"/>
    </w:rPr>
  </w:style>
  <w:style w:type="numbering" w:customStyle="1" w:styleId="22">
    <w:name w:val="Нет списка2"/>
    <w:next w:val="a2"/>
    <w:uiPriority w:val="99"/>
    <w:semiHidden/>
    <w:unhideWhenUsed/>
    <w:rsid w:val="00491593"/>
  </w:style>
  <w:style w:type="numbering" w:customStyle="1" w:styleId="32">
    <w:name w:val="Нет списка3"/>
    <w:next w:val="a2"/>
    <w:uiPriority w:val="99"/>
    <w:semiHidden/>
    <w:unhideWhenUsed/>
    <w:rsid w:val="004915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5A10"/>
    <w:pPr>
      <w:widowControl w:val="0"/>
      <w:spacing w:after="240" w:line="240" w:lineRule="auto"/>
      <w:jc w:val="center"/>
      <w:outlineLvl w:val="0"/>
    </w:pPr>
    <w:rPr>
      <w:rFonts w:ascii="Arial" w:eastAsia="Times New Roman" w:hAnsi="Arial" w:cs="Times New Roman"/>
      <w:bCs/>
      <w:sz w:val="30"/>
      <w:szCs w:val="28"/>
    </w:rPr>
  </w:style>
  <w:style w:type="paragraph" w:styleId="2">
    <w:name w:val="heading 2"/>
    <w:basedOn w:val="a"/>
    <w:next w:val="a"/>
    <w:link w:val="20"/>
    <w:uiPriority w:val="9"/>
    <w:qFormat/>
    <w:rsid w:val="00985A10"/>
    <w:pPr>
      <w:widowControl w:val="0"/>
      <w:suppressAutoHyphens/>
      <w:spacing w:before="120" w:after="240" w:line="240" w:lineRule="auto"/>
      <w:ind w:left="993" w:hanging="284"/>
      <w:outlineLvl w:val="1"/>
    </w:pPr>
    <w:rPr>
      <w:rFonts w:ascii="Arial" w:eastAsia="Times New Roman" w:hAnsi="Arial" w:cs="Times New Roman"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qFormat/>
    <w:rsid w:val="00985A10"/>
    <w:pPr>
      <w:widowControl w:val="0"/>
      <w:suppressAutoHyphens/>
      <w:spacing w:before="120" w:after="240" w:line="240" w:lineRule="auto"/>
      <w:ind w:left="1106" w:hanging="397"/>
      <w:outlineLvl w:val="2"/>
    </w:pPr>
    <w:rPr>
      <w:rFonts w:ascii="Arial" w:eastAsia="Times New Roman" w:hAnsi="Arial" w:cs="Times New Roman"/>
      <w:bCs/>
      <w:sz w:val="28"/>
    </w:rPr>
  </w:style>
  <w:style w:type="paragraph" w:styleId="4">
    <w:name w:val="heading 4"/>
    <w:basedOn w:val="a"/>
    <w:next w:val="a"/>
    <w:link w:val="40"/>
    <w:uiPriority w:val="9"/>
    <w:qFormat/>
    <w:rsid w:val="00985A10"/>
    <w:pPr>
      <w:keepNext/>
      <w:keepLines/>
      <w:widowControl w:val="0"/>
      <w:spacing w:after="0" w:line="360" w:lineRule="auto"/>
      <w:jc w:val="center"/>
      <w:outlineLvl w:val="3"/>
    </w:pPr>
    <w:rPr>
      <w:rFonts w:ascii="Arial" w:eastAsia="Times New Roman" w:hAnsi="Arial" w:cs="Times New Roman"/>
      <w:iCs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85A10"/>
  </w:style>
  <w:style w:type="paragraph" w:styleId="a5">
    <w:name w:val="footer"/>
    <w:basedOn w:val="a"/>
    <w:link w:val="a6"/>
    <w:uiPriority w:val="99"/>
    <w:unhideWhenUsed/>
    <w:rsid w:val="00985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85A10"/>
  </w:style>
  <w:style w:type="character" w:customStyle="1" w:styleId="10">
    <w:name w:val="Заголовок 1 Знак"/>
    <w:basedOn w:val="a0"/>
    <w:link w:val="1"/>
    <w:uiPriority w:val="9"/>
    <w:rsid w:val="00985A10"/>
    <w:rPr>
      <w:rFonts w:ascii="Arial" w:eastAsia="Times New Roman" w:hAnsi="Arial" w:cs="Times New Roman"/>
      <w:bCs/>
      <w:sz w:val="30"/>
      <w:szCs w:val="28"/>
    </w:rPr>
  </w:style>
  <w:style w:type="character" w:customStyle="1" w:styleId="20">
    <w:name w:val="Заголовок 2 Знак"/>
    <w:basedOn w:val="a0"/>
    <w:link w:val="2"/>
    <w:uiPriority w:val="9"/>
    <w:rsid w:val="00985A10"/>
    <w:rPr>
      <w:rFonts w:ascii="Arial" w:eastAsia="Times New Roman" w:hAnsi="Arial" w:cs="Times New Roman"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85A10"/>
    <w:rPr>
      <w:rFonts w:ascii="Arial" w:eastAsia="Times New Roman" w:hAnsi="Arial" w:cs="Times New Roman"/>
      <w:bCs/>
      <w:sz w:val="28"/>
    </w:rPr>
  </w:style>
  <w:style w:type="character" w:customStyle="1" w:styleId="40">
    <w:name w:val="Заголовок 4 Знак"/>
    <w:basedOn w:val="a0"/>
    <w:link w:val="4"/>
    <w:uiPriority w:val="9"/>
    <w:rsid w:val="00985A10"/>
    <w:rPr>
      <w:rFonts w:ascii="Arial" w:eastAsia="Times New Roman" w:hAnsi="Arial" w:cs="Times New Roman"/>
      <w:iCs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85A10"/>
  </w:style>
  <w:style w:type="paragraph" w:styleId="a7">
    <w:name w:val="List Paragraph"/>
    <w:basedOn w:val="a"/>
    <w:link w:val="a8"/>
    <w:uiPriority w:val="34"/>
    <w:qFormat/>
    <w:rsid w:val="00985A10"/>
    <w:pPr>
      <w:widowControl w:val="0"/>
      <w:spacing w:after="0" w:line="360" w:lineRule="auto"/>
      <w:contextualSpacing/>
      <w:jc w:val="both"/>
    </w:pPr>
    <w:rPr>
      <w:rFonts w:eastAsia="Calibri" w:cs="Times New Roman"/>
      <w:sz w:val="28"/>
    </w:rPr>
  </w:style>
  <w:style w:type="paragraph" w:styleId="a9">
    <w:name w:val="TOC Heading"/>
    <w:basedOn w:val="1"/>
    <w:next w:val="a"/>
    <w:uiPriority w:val="39"/>
    <w:qFormat/>
    <w:rsid w:val="00985A10"/>
    <w:pPr>
      <w:spacing w:before="240" w:after="0" w:line="259" w:lineRule="auto"/>
      <w:jc w:val="left"/>
      <w:outlineLvl w:val="9"/>
    </w:pPr>
    <w:rPr>
      <w:rFonts w:ascii="Calibri Light" w:hAnsi="Calibri Light"/>
      <w:bCs w:val="0"/>
      <w:color w:val="2E74B5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985A10"/>
    <w:pPr>
      <w:widowControl w:val="0"/>
      <w:tabs>
        <w:tab w:val="right" w:pos="9628"/>
      </w:tabs>
      <w:spacing w:after="0" w:line="360" w:lineRule="auto"/>
      <w:ind w:left="851" w:hanging="284"/>
      <w:jc w:val="both"/>
    </w:pPr>
    <w:rPr>
      <w:rFonts w:eastAsia="Times New Roman" w:cs="Times New Roman"/>
      <w:sz w:val="28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985A10"/>
    <w:pPr>
      <w:widowControl w:val="0"/>
      <w:tabs>
        <w:tab w:val="right" w:pos="9628"/>
      </w:tabs>
      <w:spacing w:after="120" w:line="240" w:lineRule="auto"/>
      <w:ind w:left="851" w:right="1117" w:hanging="284"/>
      <w:jc w:val="both"/>
    </w:pPr>
    <w:rPr>
      <w:rFonts w:eastAsia="Times New Roman" w:cs="Times New Roman"/>
      <w:sz w:val="28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985A10"/>
    <w:pPr>
      <w:widowControl w:val="0"/>
      <w:tabs>
        <w:tab w:val="right" w:pos="9628"/>
      </w:tabs>
      <w:spacing w:after="120" w:line="240" w:lineRule="auto"/>
      <w:ind w:left="1418" w:right="1117" w:hanging="709"/>
      <w:jc w:val="both"/>
    </w:pPr>
    <w:rPr>
      <w:rFonts w:eastAsia="Times New Roman" w:cs="Times New Roman"/>
      <w:sz w:val="28"/>
      <w:lang w:eastAsia="ru-RU"/>
    </w:rPr>
  </w:style>
  <w:style w:type="character" w:styleId="aa">
    <w:name w:val="Hyperlink"/>
    <w:uiPriority w:val="99"/>
    <w:unhideWhenUsed/>
    <w:rsid w:val="00985A10"/>
    <w:rPr>
      <w:color w:val="0563C1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85A10"/>
    <w:pPr>
      <w:widowControl w:val="0"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985A10"/>
    <w:rPr>
      <w:rFonts w:ascii="Tahoma" w:eastAsia="Times New Roman" w:hAnsi="Tahoma" w:cs="Tahoma"/>
      <w:sz w:val="16"/>
      <w:szCs w:val="16"/>
      <w:lang w:eastAsia="ru-RU"/>
    </w:rPr>
  </w:style>
  <w:style w:type="table" w:styleId="ad">
    <w:name w:val="Table Grid"/>
    <w:basedOn w:val="a1"/>
    <w:uiPriority w:val="39"/>
    <w:rsid w:val="00985A10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uiPriority w:val="34"/>
    <w:rsid w:val="00985A10"/>
    <w:rPr>
      <w:rFonts w:eastAsia="Calibri" w:cs="Times New Roman"/>
      <w:sz w:val="28"/>
    </w:rPr>
  </w:style>
  <w:style w:type="numbering" w:customStyle="1" w:styleId="22">
    <w:name w:val="Нет списка2"/>
    <w:next w:val="a2"/>
    <w:uiPriority w:val="99"/>
    <w:semiHidden/>
    <w:unhideWhenUsed/>
    <w:rsid w:val="00491593"/>
  </w:style>
  <w:style w:type="numbering" w:customStyle="1" w:styleId="32">
    <w:name w:val="Нет списка3"/>
    <w:next w:val="a2"/>
    <w:uiPriority w:val="99"/>
    <w:semiHidden/>
    <w:unhideWhenUsed/>
    <w:rsid w:val="00491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10" Type="http://schemas.openxmlformats.org/officeDocument/2006/relationships/chart" Target="charts/chart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59;&#1095;&#1080;&#1089;&#1100;%20&#1083;&#1077;&#1075;&#1082;&#1086;\01.06%20&#1056;&#1091;&#1073;&#1094;&#1086;&#1074;&#1072;\&#1056;&#1091;&#1073;&#1094;&#1086;&#1074;&#1072;.xlsx" TargetMode="External"/><Relationship Id="rId1" Type="http://schemas.openxmlformats.org/officeDocument/2006/relationships/themeOverride" Target="../theme/themeOverrid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Лист1!$A$30:$A$35</c:f>
              <c:strCache>
                <c:ptCount val="6"/>
                <c:pt idx="0">
                  <c:v>ВИЭ</c:v>
                </c:pt>
                <c:pt idx="1">
                  <c:v>ГЭС</c:v>
                </c:pt>
                <c:pt idx="2">
                  <c:v>АЭС</c:v>
                </c:pt>
                <c:pt idx="3">
                  <c:v>Уголь</c:v>
                </c:pt>
                <c:pt idx="4">
                  <c:v>Нефть</c:v>
                </c:pt>
                <c:pt idx="5">
                  <c:v>Газ</c:v>
                </c:pt>
              </c:strCache>
            </c:strRef>
          </c:cat>
          <c:val>
            <c:numRef>
              <c:f>Лист1!$G$30:$G$35</c:f>
              <c:numCache>
                <c:formatCode>#,##0.0</c:formatCode>
                <c:ptCount val="6"/>
                <c:pt idx="0">
                  <c:v>16.7</c:v>
                </c:pt>
                <c:pt idx="1">
                  <c:v>78.599999999999994</c:v>
                </c:pt>
                <c:pt idx="2">
                  <c:v>123.3</c:v>
                </c:pt>
                <c:pt idx="3">
                  <c:v>172.3</c:v>
                </c:pt>
                <c:pt idx="4">
                  <c:v>389</c:v>
                </c:pt>
                <c:pt idx="5">
                  <c:v>694.7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b"/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Лист1!$A$49:$A$52</c:f>
              <c:strCache>
                <c:ptCount val="4"/>
                <c:pt idx="0">
                  <c:v>ТЭС</c:v>
                </c:pt>
                <c:pt idx="1">
                  <c:v>ГЭС</c:v>
                </c:pt>
                <c:pt idx="2">
                  <c:v>ВИЭ</c:v>
                </c:pt>
                <c:pt idx="3">
                  <c:v>АЭС</c:v>
                </c:pt>
              </c:strCache>
            </c:strRef>
          </c:cat>
          <c:val>
            <c:numRef>
              <c:f>Лист1!$B$49:$B$52</c:f>
              <c:numCache>
                <c:formatCode>General</c:formatCode>
                <c:ptCount val="4"/>
                <c:pt idx="0">
                  <c:v>69</c:v>
                </c:pt>
                <c:pt idx="1">
                  <c:v>29.1</c:v>
                </c:pt>
                <c:pt idx="2">
                  <c:v>1.4</c:v>
                </c:pt>
                <c:pt idx="3">
                  <c:v>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b"/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explosion val="25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Лист1!$A$56:$A$61</c:f>
              <c:strCache>
                <c:ptCount val="6"/>
                <c:pt idx="0">
                  <c:v>Промышленность</c:v>
                </c:pt>
                <c:pt idx="1">
                  <c:v>Транспорт</c:v>
                </c:pt>
                <c:pt idx="2">
                  <c:v>Население</c:v>
                </c:pt>
                <c:pt idx="3">
                  <c:v>Торговля</c:v>
                </c:pt>
                <c:pt idx="4">
                  <c:v>Потери в сетях</c:v>
                </c:pt>
                <c:pt idx="5">
                  <c:v>Прочее</c:v>
                </c:pt>
              </c:strCache>
            </c:strRef>
          </c:cat>
          <c:val>
            <c:numRef>
              <c:f>Лист1!$B$56:$B$61</c:f>
              <c:numCache>
                <c:formatCode>General</c:formatCode>
                <c:ptCount val="6"/>
                <c:pt idx="0">
                  <c:v>37.1</c:v>
                </c:pt>
                <c:pt idx="1">
                  <c:v>18.600000000000001</c:v>
                </c:pt>
                <c:pt idx="2">
                  <c:v>17.7</c:v>
                </c:pt>
                <c:pt idx="3">
                  <c:v>3.8</c:v>
                </c:pt>
                <c:pt idx="4">
                  <c:v>12.399999999999999</c:v>
                </c:pt>
                <c:pt idx="5">
                  <c:v>10.4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b"/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Лист1!$A$67</c:f>
              <c:strCache>
                <c:ptCount val="1"/>
                <c:pt idx="0">
                  <c:v>Производство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Лист1!$B$66:$G$66</c:f>
              <c:strCache>
                <c:ptCount val="6"/>
                <c:pt idx="0">
                  <c:v>2014 г.</c:v>
                </c:pt>
                <c:pt idx="1">
                  <c:v>2016 г.</c:v>
                </c:pt>
                <c:pt idx="2">
                  <c:v>2018 г.</c:v>
                </c:pt>
                <c:pt idx="3">
                  <c:v>2020 г.</c:v>
                </c:pt>
                <c:pt idx="4">
                  <c:v>2022 г.</c:v>
                </c:pt>
                <c:pt idx="5">
                  <c:v>2023 г.</c:v>
                </c:pt>
              </c:strCache>
            </c:strRef>
          </c:cat>
          <c:val>
            <c:numRef>
              <c:f>Лист1!$B$67:$G$67</c:f>
              <c:numCache>
                <c:formatCode>General</c:formatCode>
                <c:ptCount val="6"/>
                <c:pt idx="0">
                  <c:v>63</c:v>
                </c:pt>
                <c:pt idx="1">
                  <c:v>66</c:v>
                </c:pt>
                <c:pt idx="2">
                  <c:v>67</c:v>
                </c:pt>
                <c:pt idx="3">
                  <c:v>69</c:v>
                </c:pt>
                <c:pt idx="4">
                  <c:v>77</c:v>
                </c:pt>
                <c:pt idx="5">
                  <c:v>78</c:v>
                </c:pt>
              </c:numCache>
            </c:numRef>
          </c:val>
        </c:ser>
        <c:ser>
          <c:idx val="1"/>
          <c:order val="1"/>
          <c:tx>
            <c:strRef>
              <c:f>Лист1!$A$68</c:f>
              <c:strCache>
                <c:ptCount val="1"/>
                <c:pt idx="0">
                  <c:v>Потребление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Лист1!$B$66:$G$66</c:f>
              <c:strCache>
                <c:ptCount val="6"/>
                <c:pt idx="0">
                  <c:v>2014 г.</c:v>
                </c:pt>
                <c:pt idx="1">
                  <c:v>2016 г.</c:v>
                </c:pt>
                <c:pt idx="2">
                  <c:v>2018 г.</c:v>
                </c:pt>
                <c:pt idx="3">
                  <c:v>2020 г.</c:v>
                </c:pt>
                <c:pt idx="4">
                  <c:v>2022 г.</c:v>
                </c:pt>
                <c:pt idx="5">
                  <c:v>2023 г.</c:v>
                </c:pt>
              </c:strCache>
            </c:strRef>
          </c:cat>
          <c:val>
            <c:numRef>
              <c:f>Лист1!$B$68:$G$68</c:f>
              <c:numCache>
                <c:formatCode>General</c:formatCode>
                <c:ptCount val="6"/>
                <c:pt idx="0">
                  <c:v>59</c:v>
                </c:pt>
                <c:pt idx="1">
                  <c:v>62</c:v>
                </c:pt>
                <c:pt idx="2">
                  <c:v>65</c:v>
                </c:pt>
                <c:pt idx="3">
                  <c:v>66</c:v>
                </c:pt>
                <c:pt idx="4">
                  <c:v>72</c:v>
                </c:pt>
                <c:pt idx="5">
                  <c:v>74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42830976"/>
        <c:axId val="142853248"/>
      </c:barChart>
      <c:catAx>
        <c:axId val="142830976"/>
        <c:scaling>
          <c:orientation val="minMax"/>
        </c:scaling>
        <c:delete val="0"/>
        <c:axPos val="b"/>
        <c:majorTickMark val="none"/>
        <c:minorTickMark val="none"/>
        <c:tickLblPos val="nextTo"/>
        <c:crossAx val="142853248"/>
        <c:crosses val="autoZero"/>
        <c:auto val="1"/>
        <c:lblAlgn val="ctr"/>
        <c:lblOffset val="100"/>
        <c:noMultiLvlLbl val="0"/>
      </c:catAx>
      <c:valAx>
        <c:axId val="14285324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142830976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Лист1!$A$40:$A$43</c:f>
              <c:strCache>
                <c:ptCount val="4"/>
                <c:pt idx="0">
                  <c:v>1 полугодие 2021 г.</c:v>
                </c:pt>
                <c:pt idx="1">
                  <c:v>2 полугодие 2021 г.</c:v>
                </c:pt>
                <c:pt idx="2">
                  <c:v>1 полугодие 2022 г.</c:v>
                </c:pt>
                <c:pt idx="3">
                  <c:v>2 полугодие 2022 г.</c:v>
                </c:pt>
              </c:strCache>
            </c:strRef>
          </c:cat>
          <c:val>
            <c:numRef>
              <c:f>Лист1!$B$40:$B$43</c:f>
              <c:numCache>
                <c:formatCode>General</c:formatCode>
                <c:ptCount val="4"/>
                <c:pt idx="0">
                  <c:v>634</c:v>
                </c:pt>
                <c:pt idx="1">
                  <c:v>734</c:v>
                </c:pt>
                <c:pt idx="2">
                  <c:v>583</c:v>
                </c:pt>
                <c:pt idx="3">
                  <c:v>572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2877824"/>
        <c:axId val="142879360"/>
      </c:barChart>
      <c:catAx>
        <c:axId val="14287782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900"/>
            </a:pPr>
            <a:endParaRPr lang="ru-RU"/>
          </a:p>
        </c:txPr>
        <c:crossAx val="142879360"/>
        <c:crosses val="autoZero"/>
        <c:auto val="1"/>
        <c:lblAlgn val="ctr"/>
        <c:lblOffset val="100"/>
        <c:noMultiLvlLbl val="0"/>
      </c:catAx>
      <c:valAx>
        <c:axId val="1428793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2877824"/>
        <c:crosses val="autoZero"/>
        <c:crossBetween val="between"/>
      </c:valAx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Лист1!$A$77</c:f>
              <c:strCache>
                <c:ptCount val="1"/>
                <c:pt idx="0">
                  <c:v>Р. Саха (Якутия)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Лист1!$B$76:$H$76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Лист1!$B$77:$H$77</c:f>
              <c:numCache>
                <c:formatCode>General</c:formatCode>
                <c:ptCount val="7"/>
                <c:pt idx="0">
                  <c:v>14.5</c:v>
                </c:pt>
                <c:pt idx="1">
                  <c:v>17.3</c:v>
                </c:pt>
                <c:pt idx="2">
                  <c:v>12.5</c:v>
                </c:pt>
                <c:pt idx="3">
                  <c:v>12.6</c:v>
                </c:pt>
                <c:pt idx="4">
                  <c:v>11.8</c:v>
                </c:pt>
                <c:pt idx="5">
                  <c:v>11</c:v>
                </c:pt>
                <c:pt idx="6">
                  <c:v>8.8000000000000007</c:v>
                </c:pt>
              </c:numCache>
            </c:numRef>
          </c:val>
        </c:ser>
        <c:ser>
          <c:idx val="1"/>
          <c:order val="1"/>
          <c:tx>
            <c:strRef>
              <c:f>Лист1!$A$78</c:f>
              <c:strCache>
                <c:ptCount val="1"/>
                <c:pt idx="0">
                  <c:v>Камчатский край</c:v>
                </c:pt>
              </c:strCache>
            </c:strRef>
          </c:tx>
          <c:invertIfNegative val="0"/>
          <c:cat>
            <c:strRef>
              <c:f>Лист1!$B$76:$H$76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Лист1!$B$78:$H$78</c:f>
              <c:numCache>
                <c:formatCode>General</c:formatCode>
                <c:ptCount val="7"/>
                <c:pt idx="0">
                  <c:v>2.2000000000000002</c:v>
                </c:pt>
                <c:pt idx="1">
                  <c:v>5.4</c:v>
                </c:pt>
                <c:pt idx="2">
                  <c:v>7.3</c:v>
                </c:pt>
                <c:pt idx="3">
                  <c:v>8</c:v>
                </c:pt>
                <c:pt idx="4">
                  <c:v>9.8000000000000007</c:v>
                </c:pt>
                <c:pt idx="5">
                  <c:v>8.8000000000000007</c:v>
                </c:pt>
                <c:pt idx="6">
                  <c:v>9.5</c:v>
                </c:pt>
              </c:numCache>
            </c:numRef>
          </c:val>
        </c:ser>
        <c:ser>
          <c:idx val="2"/>
          <c:order val="2"/>
          <c:tx>
            <c:strRef>
              <c:f>Лист1!$A$79</c:f>
              <c:strCache>
                <c:ptCount val="1"/>
                <c:pt idx="0">
                  <c:v>Магаданская обл.</c:v>
                </c:pt>
              </c:strCache>
            </c:strRef>
          </c:tx>
          <c:invertIfNegative val="0"/>
          <c:cat>
            <c:strRef>
              <c:f>Лист1!$B$76:$H$76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Лист1!$B$79:$H$79</c:f>
              <c:numCache>
                <c:formatCode>General</c:formatCode>
                <c:ptCount val="7"/>
                <c:pt idx="0">
                  <c:v>2.3999999999999986</c:v>
                </c:pt>
                <c:pt idx="1">
                  <c:v>3</c:v>
                </c:pt>
                <c:pt idx="2">
                  <c:v>3.6000000000000014</c:v>
                </c:pt>
                <c:pt idx="3">
                  <c:v>2.8000000000000043</c:v>
                </c:pt>
                <c:pt idx="4">
                  <c:v>2.7000000000000028</c:v>
                </c:pt>
                <c:pt idx="5">
                  <c:v>2.9000000000000021</c:v>
                </c:pt>
                <c:pt idx="6">
                  <c:v>4.0999999999999979</c:v>
                </c:pt>
              </c:numCache>
            </c:numRef>
          </c:val>
        </c:ser>
        <c:ser>
          <c:idx val="3"/>
          <c:order val="3"/>
          <c:tx>
            <c:strRef>
              <c:f>Лист1!$A$80</c:f>
              <c:strCache>
                <c:ptCount val="1"/>
                <c:pt idx="0">
                  <c:v>Сахалинская обл.</c:v>
                </c:pt>
              </c:strCache>
            </c:strRef>
          </c:tx>
          <c:invertIfNegative val="0"/>
          <c:cat>
            <c:strRef>
              <c:f>Лист1!$B$76:$H$76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Лист1!$B$80:$H$80</c:f>
              <c:numCache>
                <c:formatCode>General</c:formatCode>
                <c:ptCount val="7"/>
                <c:pt idx="0">
                  <c:v>2.6</c:v>
                </c:pt>
                <c:pt idx="1">
                  <c:v>5.8</c:v>
                </c:pt>
                <c:pt idx="2">
                  <c:v>4.8</c:v>
                </c:pt>
                <c:pt idx="3">
                  <c:v>8.9</c:v>
                </c:pt>
                <c:pt idx="4">
                  <c:v>8.4</c:v>
                </c:pt>
                <c:pt idx="5">
                  <c:v>8.8000000000000007</c:v>
                </c:pt>
                <c:pt idx="6">
                  <c:v>10.3</c:v>
                </c:pt>
              </c:numCache>
            </c:numRef>
          </c:val>
        </c:ser>
        <c:ser>
          <c:idx val="4"/>
          <c:order val="4"/>
          <c:tx>
            <c:strRef>
              <c:f>Лист1!$A$81</c:f>
              <c:strCache>
                <c:ptCount val="1"/>
                <c:pt idx="0">
                  <c:v>ЧАО</c:v>
                </c:pt>
              </c:strCache>
            </c:strRef>
          </c:tx>
          <c:invertIfNegative val="0"/>
          <c:cat>
            <c:strRef>
              <c:f>Лист1!$B$76:$H$76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Лист1!$B$81:$H$81</c:f>
              <c:numCache>
                <c:formatCode>General</c:formatCode>
                <c:ptCount val="7"/>
                <c:pt idx="0">
                  <c:v>2.2999999999999998</c:v>
                </c:pt>
                <c:pt idx="1">
                  <c:v>3.5</c:v>
                </c:pt>
                <c:pt idx="2">
                  <c:v>3.9</c:v>
                </c:pt>
                <c:pt idx="3">
                  <c:v>5.3</c:v>
                </c:pt>
                <c:pt idx="4">
                  <c:v>5.4</c:v>
                </c:pt>
                <c:pt idx="5">
                  <c:v>2.1</c:v>
                </c:pt>
                <c:pt idx="6">
                  <c:v>2.7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42928896"/>
        <c:axId val="148574976"/>
      </c:barChart>
      <c:lineChart>
        <c:grouping val="standard"/>
        <c:varyColors val="0"/>
        <c:ser>
          <c:idx val="5"/>
          <c:order val="5"/>
          <c:tx>
            <c:strRef>
              <c:f>Лист1!$A$82</c:f>
              <c:strCache>
                <c:ptCount val="1"/>
                <c:pt idx="0">
                  <c:v>Всего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Лист1!$B$76:$H$76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Лист1!$B$82:$H$82</c:f>
              <c:numCache>
                <c:formatCode>General</c:formatCode>
                <c:ptCount val="7"/>
                <c:pt idx="0">
                  <c:v>24</c:v>
                </c:pt>
                <c:pt idx="1">
                  <c:v>35</c:v>
                </c:pt>
                <c:pt idx="2">
                  <c:v>32.1</c:v>
                </c:pt>
                <c:pt idx="3">
                  <c:v>37.6</c:v>
                </c:pt>
                <c:pt idx="4">
                  <c:v>38.1</c:v>
                </c:pt>
                <c:pt idx="5">
                  <c:v>33.6</c:v>
                </c:pt>
                <c:pt idx="6">
                  <c:v>35.400000000000006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2928896"/>
        <c:axId val="148574976"/>
      </c:lineChart>
      <c:catAx>
        <c:axId val="142928896"/>
        <c:scaling>
          <c:orientation val="minMax"/>
        </c:scaling>
        <c:delete val="0"/>
        <c:axPos val="b"/>
        <c:majorTickMark val="none"/>
        <c:minorTickMark val="none"/>
        <c:tickLblPos val="nextTo"/>
        <c:crossAx val="148574976"/>
        <c:crosses val="autoZero"/>
        <c:auto val="1"/>
        <c:lblAlgn val="ctr"/>
        <c:lblOffset val="100"/>
        <c:noMultiLvlLbl val="0"/>
      </c:catAx>
      <c:valAx>
        <c:axId val="14857497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142928896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Лист1!$A$87</c:f>
              <c:strCache>
                <c:ptCount val="1"/>
                <c:pt idx="0">
                  <c:v>РФ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Лист1!$B$86:$H$86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Лист1!$B$87:$H$87</c:f>
              <c:numCache>
                <c:formatCode>General</c:formatCode>
                <c:ptCount val="7"/>
                <c:pt idx="0">
                  <c:v>105</c:v>
                </c:pt>
                <c:pt idx="1">
                  <c:v>104</c:v>
                </c:pt>
                <c:pt idx="2">
                  <c:v>105</c:v>
                </c:pt>
                <c:pt idx="3">
                  <c:v>104</c:v>
                </c:pt>
                <c:pt idx="4">
                  <c:v>105</c:v>
                </c:pt>
                <c:pt idx="5">
                  <c:v>113</c:v>
                </c:pt>
                <c:pt idx="6">
                  <c:v>110</c:v>
                </c:pt>
              </c:numCache>
            </c:numRef>
          </c:val>
        </c:ser>
        <c:ser>
          <c:idx val="1"/>
          <c:order val="1"/>
          <c:tx>
            <c:strRef>
              <c:f>Лист1!$A$88</c:f>
              <c:strCache>
                <c:ptCount val="1"/>
                <c:pt idx="0">
                  <c:v>ДФО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Лист1!$B$86:$H$86</c:f>
              <c:strCache>
                <c:ptCount val="7"/>
                <c:pt idx="0">
                  <c:v>2017 г.</c:v>
                </c:pt>
                <c:pt idx="1">
                  <c:v>2018 г.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</c:strCache>
            </c:strRef>
          </c:cat>
          <c:val>
            <c:numRef>
              <c:f>Лист1!$B$88:$H$88</c:f>
              <c:numCache>
                <c:formatCode>General</c:formatCode>
                <c:ptCount val="7"/>
                <c:pt idx="0">
                  <c:v>103</c:v>
                </c:pt>
                <c:pt idx="1">
                  <c:v>103</c:v>
                </c:pt>
                <c:pt idx="2">
                  <c:v>103</c:v>
                </c:pt>
                <c:pt idx="3">
                  <c:v>103</c:v>
                </c:pt>
                <c:pt idx="4">
                  <c:v>104</c:v>
                </c:pt>
                <c:pt idx="5">
                  <c:v>112</c:v>
                </c:pt>
                <c:pt idx="6">
                  <c:v>109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48608896"/>
        <c:axId val="148610432"/>
      </c:barChart>
      <c:catAx>
        <c:axId val="148608896"/>
        <c:scaling>
          <c:orientation val="minMax"/>
        </c:scaling>
        <c:delete val="0"/>
        <c:axPos val="b"/>
        <c:majorTickMark val="none"/>
        <c:minorTickMark val="none"/>
        <c:tickLblPos val="nextTo"/>
        <c:crossAx val="148610432"/>
        <c:crosses val="autoZero"/>
        <c:auto val="1"/>
        <c:lblAlgn val="ctr"/>
        <c:lblOffset val="100"/>
        <c:noMultiLvlLbl val="0"/>
      </c:catAx>
      <c:valAx>
        <c:axId val="14861043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148608896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34</Pages>
  <Words>6914</Words>
  <Characters>39415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Рубцова Алёна Николаевна</dc:creator>
  <cp:keywords/>
  <dc:description/>
  <cp:lastModifiedBy>Рубцова Алёна Николаевна</cp:lastModifiedBy>
  <cp:revision>4</cp:revision>
  <dcterms:created xsi:type="dcterms:W3CDTF">2025-06-24T01:28:00Z</dcterms:created>
  <dcterms:modified xsi:type="dcterms:W3CDTF">2025-06-24T01:48:00Z</dcterms:modified>
</cp:coreProperties>
</file>