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E33" w:rsidRPr="00F14047" w:rsidRDefault="00F14047" w:rsidP="007A4AF3">
      <w:pPr>
        <w:widowControl w:val="0"/>
        <w:suppressAutoHyphens/>
        <w:jc w:val="center"/>
        <w:rPr>
          <w:sz w:val="28"/>
          <w:szCs w:val="28"/>
          <w:lang w:eastAsia="ar-SA"/>
        </w:rPr>
      </w:pPr>
      <w:r w:rsidRPr="00F14047">
        <w:rPr>
          <w:sz w:val="28"/>
          <w:szCs w:val="28"/>
          <w:lang w:eastAsia="ar-SA"/>
        </w:rPr>
        <w:t xml:space="preserve">МИНИСТЕРСТВО НАУКИ </w:t>
      </w:r>
      <w:r w:rsidR="00321E49">
        <w:rPr>
          <w:sz w:val="28"/>
          <w:szCs w:val="28"/>
          <w:lang w:eastAsia="ar-SA"/>
        </w:rPr>
        <w:t xml:space="preserve">И ВЫСШЕГО ОБРАЗОВАНИЯ        </w:t>
      </w:r>
      <w:r w:rsidRPr="00F14047">
        <w:rPr>
          <w:sz w:val="28"/>
          <w:szCs w:val="28"/>
          <w:lang w:eastAsia="ar-SA"/>
        </w:rPr>
        <w:t>РОССИЙСКОЙ ФЕДЕРАЦИИ</w:t>
      </w:r>
    </w:p>
    <w:p w:rsidR="00820E33" w:rsidRPr="00F14047" w:rsidRDefault="00820E33" w:rsidP="007A4AF3">
      <w:pPr>
        <w:widowControl w:val="0"/>
        <w:suppressAutoHyphens/>
        <w:spacing w:before="120"/>
        <w:jc w:val="center"/>
        <w:rPr>
          <w:sz w:val="28"/>
          <w:szCs w:val="28"/>
        </w:rPr>
      </w:pPr>
      <w:r w:rsidRPr="00F14047">
        <w:rPr>
          <w:sz w:val="28"/>
          <w:szCs w:val="28"/>
        </w:rPr>
        <w:t xml:space="preserve">ВЛАДИВОСТОКСКИЙ ГОСУДАРСТВЕННЫЙ УНИВЕРСИТЕТ </w:t>
      </w:r>
    </w:p>
    <w:p w:rsidR="007B09D6" w:rsidRDefault="007B09D6" w:rsidP="007A4AF3">
      <w:pPr>
        <w:widowControl w:val="0"/>
        <w:suppressAutoHyphens/>
        <w:spacing w:before="120"/>
        <w:jc w:val="center"/>
        <w:rPr>
          <w:caps/>
          <w:sz w:val="28"/>
        </w:rPr>
      </w:pPr>
      <w:r w:rsidRPr="005D15ED">
        <w:rPr>
          <w:caps/>
          <w:sz w:val="28"/>
        </w:rPr>
        <w:t xml:space="preserve">Институт международного бизнеса, </w:t>
      </w:r>
    </w:p>
    <w:p w:rsidR="007B09D6" w:rsidRPr="005D15ED" w:rsidRDefault="007B09D6" w:rsidP="007A4AF3">
      <w:pPr>
        <w:widowControl w:val="0"/>
        <w:suppressAutoHyphens/>
        <w:jc w:val="center"/>
        <w:rPr>
          <w:caps/>
          <w:sz w:val="28"/>
        </w:rPr>
      </w:pPr>
      <w:r w:rsidRPr="005D15ED">
        <w:rPr>
          <w:caps/>
          <w:sz w:val="28"/>
        </w:rPr>
        <w:t>экономики и управления</w:t>
      </w:r>
    </w:p>
    <w:p w:rsidR="00820E33" w:rsidRPr="00F14047" w:rsidRDefault="000A72BE" w:rsidP="007A4AF3">
      <w:pPr>
        <w:widowControl w:val="0"/>
        <w:suppressAutoHyphens/>
        <w:spacing w:before="120"/>
        <w:jc w:val="center"/>
        <w:rPr>
          <w:sz w:val="28"/>
          <w:szCs w:val="28"/>
        </w:rPr>
      </w:pPr>
      <w:r w:rsidRPr="00F14047">
        <w:rPr>
          <w:sz w:val="28"/>
          <w:szCs w:val="28"/>
        </w:rPr>
        <w:t xml:space="preserve">КАФЕДРА </w:t>
      </w:r>
      <w:r w:rsidR="00321E49">
        <w:rPr>
          <w:sz w:val="28"/>
          <w:szCs w:val="28"/>
        </w:rPr>
        <w:t>ЭКОНОМИКИ И</w:t>
      </w:r>
      <w:r w:rsidR="00D812CA" w:rsidRPr="007B09D6">
        <w:rPr>
          <w:sz w:val="28"/>
          <w:szCs w:val="28"/>
        </w:rPr>
        <w:t xml:space="preserve"> </w:t>
      </w:r>
      <w:r w:rsidR="00F72D71">
        <w:rPr>
          <w:sz w:val="28"/>
          <w:szCs w:val="28"/>
        </w:rPr>
        <w:t>УПРАВЛЕНИЯ</w:t>
      </w:r>
    </w:p>
    <w:p w:rsidR="00820E33" w:rsidRDefault="00820E33" w:rsidP="007A4AF3">
      <w:pPr>
        <w:widowControl w:val="0"/>
        <w:suppressAutoHyphens/>
        <w:rPr>
          <w:sz w:val="28"/>
        </w:rPr>
      </w:pPr>
    </w:p>
    <w:p w:rsidR="00820E33" w:rsidRDefault="00820E33" w:rsidP="007A4AF3">
      <w:pPr>
        <w:widowControl w:val="0"/>
        <w:suppressAutoHyphens/>
      </w:pPr>
    </w:p>
    <w:p w:rsidR="000A72BE" w:rsidRDefault="000A72BE" w:rsidP="007A4AF3">
      <w:pPr>
        <w:widowControl w:val="0"/>
        <w:suppressAutoHyphens/>
      </w:pPr>
    </w:p>
    <w:p w:rsidR="00FC0503" w:rsidRDefault="00FC0503" w:rsidP="007A4AF3">
      <w:pPr>
        <w:widowControl w:val="0"/>
        <w:suppressAutoHyphens/>
        <w:ind w:left="6372"/>
      </w:pPr>
    </w:p>
    <w:p w:rsidR="00FC0503" w:rsidRDefault="00FC0503" w:rsidP="007A4AF3">
      <w:pPr>
        <w:widowControl w:val="0"/>
        <w:suppressAutoHyphens/>
        <w:ind w:left="6372"/>
      </w:pPr>
    </w:p>
    <w:p w:rsidR="005D40D0" w:rsidRDefault="005D40D0" w:rsidP="007A4AF3">
      <w:pPr>
        <w:widowControl w:val="0"/>
        <w:suppressAutoHyphens/>
        <w:jc w:val="right"/>
        <w:rPr>
          <w:sz w:val="28"/>
        </w:rPr>
      </w:pPr>
    </w:p>
    <w:p w:rsidR="00F92B15" w:rsidRDefault="00F92B15" w:rsidP="007A4AF3">
      <w:pPr>
        <w:widowControl w:val="0"/>
        <w:suppressAutoHyphens/>
        <w:jc w:val="right"/>
        <w:rPr>
          <w:sz w:val="28"/>
        </w:rPr>
      </w:pPr>
    </w:p>
    <w:p w:rsidR="00FB657C" w:rsidRPr="0099685B" w:rsidRDefault="00FB657C" w:rsidP="007A4AF3">
      <w:pPr>
        <w:pStyle w:val="1"/>
        <w:keepNext w:val="0"/>
        <w:widowControl w:val="0"/>
        <w:suppressAutoHyphens/>
        <w:jc w:val="center"/>
        <w:rPr>
          <w:rFonts w:ascii="Times New Roman" w:hAnsi="Times New Roman" w:cs="Times New Roman"/>
          <w:sz w:val="48"/>
        </w:rPr>
      </w:pPr>
      <w:r w:rsidRPr="0099685B">
        <w:rPr>
          <w:rFonts w:ascii="Times New Roman" w:hAnsi="Times New Roman" w:cs="Times New Roman"/>
          <w:sz w:val="48"/>
        </w:rPr>
        <w:t>ОТЧЕТ</w:t>
      </w:r>
    </w:p>
    <w:p w:rsidR="00820E33" w:rsidRPr="00015A38" w:rsidRDefault="0099685B" w:rsidP="007A4AF3">
      <w:pPr>
        <w:widowControl w:val="0"/>
        <w:suppressAutoHyphens/>
        <w:spacing w:after="240"/>
        <w:jc w:val="center"/>
        <w:rPr>
          <w:sz w:val="44"/>
          <w:szCs w:val="44"/>
        </w:rPr>
      </w:pPr>
      <w:r>
        <w:rPr>
          <w:sz w:val="44"/>
          <w:szCs w:val="44"/>
        </w:rPr>
        <w:t>п</w:t>
      </w:r>
      <w:r w:rsidR="00FB657C">
        <w:rPr>
          <w:sz w:val="44"/>
          <w:szCs w:val="44"/>
        </w:rPr>
        <w:t>о</w:t>
      </w:r>
      <w:r>
        <w:rPr>
          <w:sz w:val="44"/>
          <w:szCs w:val="44"/>
        </w:rPr>
        <w:t xml:space="preserve"> </w:t>
      </w:r>
      <w:r w:rsidRPr="00015A38">
        <w:rPr>
          <w:sz w:val="44"/>
          <w:szCs w:val="44"/>
        </w:rPr>
        <w:t xml:space="preserve">производственной </w:t>
      </w:r>
      <w:r w:rsidR="00AE5E29">
        <w:rPr>
          <w:sz w:val="44"/>
          <w:szCs w:val="44"/>
        </w:rPr>
        <w:t>организационно-управленческой</w:t>
      </w:r>
      <w:r w:rsidR="00015A38" w:rsidRPr="00015A38">
        <w:rPr>
          <w:sz w:val="44"/>
          <w:szCs w:val="44"/>
        </w:rPr>
        <w:t xml:space="preserve"> практике</w:t>
      </w:r>
    </w:p>
    <w:p w:rsidR="00813444" w:rsidRPr="00EC3720" w:rsidRDefault="00EC3720" w:rsidP="007A4AF3">
      <w:pPr>
        <w:pStyle w:val="a3"/>
        <w:widowControl w:val="0"/>
        <w:suppressAutoHyphens/>
        <w:ind w:left="0" w:right="-72"/>
        <w:jc w:val="center"/>
        <w:rPr>
          <w:sz w:val="44"/>
          <w:szCs w:val="44"/>
        </w:rPr>
      </w:pPr>
      <w:r>
        <w:rPr>
          <w:color w:val="222222"/>
          <w:sz w:val="44"/>
          <w:szCs w:val="44"/>
          <w:shd w:val="clear" w:color="auto" w:fill="FFFFFF"/>
        </w:rPr>
        <w:t>Администрация</w:t>
      </w:r>
      <w:r w:rsidRPr="00EC3720">
        <w:rPr>
          <w:color w:val="222222"/>
          <w:sz w:val="44"/>
          <w:szCs w:val="44"/>
          <w:shd w:val="clear" w:color="auto" w:fill="FFFFFF"/>
        </w:rPr>
        <w:t xml:space="preserve"> Чугуевского муниципального округа, с. Чугуевка</w:t>
      </w:r>
    </w:p>
    <w:p w:rsidR="00820E33" w:rsidRDefault="00820E33" w:rsidP="007A4AF3">
      <w:pPr>
        <w:pStyle w:val="a3"/>
        <w:widowControl w:val="0"/>
        <w:suppressAutoHyphens/>
        <w:spacing w:before="240"/>
        <w:ind w:left="0" w:right="-74"/>
        <w:jc w:val="center"/>
        <w:rPr>
          <w:sz w:val="44"/>
        </w:rPr>
      </w:pPr>
    </w:p>
    <w:p w:rsidR="00F14047" w:rsidRDefault="00F14047" w:rsidP="007A4AF3">
      <w:pPr>
        <w:pStyle w:val="a3"/>
        <w:widowControl w:val="0"/>
        <w:suppressAutoHyphens/>
        <w:spacing w:before="240"/>
        <w:ind w:left="0" w:right="-74"/>
        <w:jc w:val="center"/>
        <w:rPr>
          <w:sz w:val="44"/>
        </w:rPr>
      </w:pP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4077"/>
        <w:gridCol w:w="2386"/>
        <w:gridCol w:w="3228"/>
      </w:tblGrid>
      <w:tr w:rsidR="00820E33" w:rsidTr="008F6C3E">
        <w:tc>
          <w:tcPr>
            <w:tcW w:w="4077" w:type="dxa"/>
          </w:tcPr>
          <w:p w:rsidR="00820E33" w:rsidRPr="00F14047" w:rsidRDefault="00820E33" w:rsidP="007A4AF3">
            <w:pPr>
              <w:pStyle w:val="a3"/>
              <w:widowControl w:val="0"/>
              <w:suppressAutoHyphens/>
              <w:ind w:left="0" w:right="963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Студент</w:t>
            </w:r>
          </w:p>
        </w:tc>
        <w:tc>
          <w:tcPr>
            <w:tcW w:w="2386" w:type="dxa"/>
          </w:tcPr>
          <w:p w:rsidR="00820E33" w:rsidRPr="00F14047" w:rsidRDefault="00820E33" w:rsidP="007A4AF3">
            <w:pPr>
              <w:pStyle w:val="a3"/>
              <w:widowControl w:val="0"/>
              <w:suppressAutoHyphens/>
              <w:ind w:left="0" w:right="144"/>
              <w:rPr>
                <w:sz w:val="28"/>
                <w:szCs w:val="28"/>
              </w:rPr>
            </w:pPr>
          </w:p>
        </w:tc>
        <w:tc>
          <w:tcPr>
            <w:tcW w:w="3228" w:type="dxa"/>
          </w:tcPr>
          <w:p w:rsidR="00820E33" w:rsidRPr="00F14047" w:rsidRDefault="00820E33" w:rsidP="007A4AF3">
            <w:pPr>
              <w:pStyle w:val="a3"/>
              <w:widowControl w:val="0"/>
              <w:suppressAutoHyphens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8F6C3E" w:rsidTr="008F6C3E">
        <w:tc>
          <w:tcPr>
            <w:tcW w:w="4077" w:type="dxa"/>
          </w:tcPr>
          <w:p w:rsidR="008F6C3E" w:rsidRPr="00F14047" w:rsidRDefault="008F6C3E" w:rsidP="007A4AF3">
            <w:pPr>
              <w:pStyle w:val="a3"/>
              <w:widowControl w:val="0"/>
              <w:suppressAutoHyphens/>
              <w:ind w:left="0" w:right="963"/>
              <w:rPr>
                <w:sz w:val="28"/>
                <w:szCs w:val="28"/>
                <w:lang w:val="en-US"/>
              </w:rPr>
            </w:pPr>
            <w:r w:rsidRPr="00F14047">
              <w:rPr>
                <w:sz w:val="28"/>
                <w:szCs w:val="28"/>
              </w:rPr>
              <w:t xml:space="preserve">группы </w:t>
            </w:r>
            <w:r w:rsidR="00352B88" w:rsidRPr="00352B88">
              <w:rPr>
                <w:sz w:val="28"/>
                <w:szCs w:val="28"/>
              </w:rPr>
              <w:t>БГУ-23-УР1</w:t>
            </w:r>
          </w:p>
        </w:tc>
        <w:tc>
          <w:tcPr>
            <w:tcW w:w="2386" w:type="dxa"/>
          </w:tcPr>
          <w:p w:rsidR="008F6C3E" w:rsidRPr="00F14047" w:rsidRDefault="008F6C3E" w:rsidP="007A4AF3">
            <w:pPr>
              <w:pStyle w:val="a3"/>
              <w:widowControl w:val="0"/>
              <w:suppressAutoHyphens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:rsidR="008F6C3E" w:rsidRPr="00352B88" w:rsidRDefault="00352B88" w:rsidP="007A4AF3">
            <w:pPr>
              <w:pStyle w:val="a3"/>
              <w:widowControl w:val="0"/>
              <w:suppressAutoHyphens/>
              <w:ind w:left="0" w:right="0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А.Н. Серышева</w:t>
            </w:r>
          </w:p>
        </w:tc>
      </w:tr>
      <w:tr w:rsidR="00554E8C" w:rsidRPr="00554E8C" w:rsidTr="008F6C3E">
        <w:tc>
          <w:tcPr>
            <w:tcW w:w="4077" w:type="dxa"/>
          </w:tcPr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963"/>
              <w:rPr>
                <w:sz w:val="28"/>
                <w:szCs w:val="28"/>
              </w:rPr>
            </w:pPr>
          </w:p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963"/>
              <w:rPr>
                <w:sz w:val="28"/>
                <w:szCs w:val="28"/>
              </w:rPr>
            </w:pPr>
            <w:r w:rsidRPr="00554E8C">
              <w:rPr>
                <w:sz w:val="28"/>
                <w:szCs w:val="28"/>
              </w:rPr>
              <w:t>Руководитель</w:t>
            </w:r>
          </w:p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708"/>
              <w:jc w:val="left"/>
              <w:rPr>
                <w:sz w:val="28"/>
                <w:szCs w:val="28"/>
              </w:rPr>
            </w:pPr>
            <w:r w:rsidRPr="00554E8C">
              <w:rPr>
                <w:sz w:val="28"/>
                <w:szCs w:val="28"/>
              </w:rPr>
              <w:t xml:space="preserve">канд. </w:t>
            </w:r>
            <w:r w:rsidR="00554E8C" w:rsidRPr="00554E8C">
              <w:rPr>
                <w:sz w:val="28"/>
                <w:szCs w:val="28"/>
              </w:rPr>
              <w:t>полит</w:t>
            </w:r>
            <w:r w:rsidRPr="00554E8C">
              <w:rPr>
                <w:sz w:val="28"/>
                <w:szCs w:val="28"/>
              </w:rPr>
              <w:t>. наук, доцент</w:t>
            </w:r>
          </w:p>
        </w:tc>
        <w:tc>
          <w:tcPr>
            <w:tcW w:w="2386" w:type="dxa"/>
          </w:tcPr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144"/>
              <w:rPr>
                <w:sz w:val="28"/>
                <w:szCs w:val="28"/>
              </w:rPr>
            </w:pPr>
          </w:p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144"/>
              <w:rPr>
                <w:sz w:val="28"/>
                <w:szCs w:val="28"/>
              </w:rPr>
            </w:pPr>
          </w:p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144"/>
              <w:rPr>
                <w:sz w:val="28"/>
                <w:szCs w:val="28"/>
              </w:rPr>
            </w:pPr>
            <w:r w:rsidRPr="00554E8C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0"/>
              <w:rPr>
                <w:sz w:val="28"/>
                <w:szCs w:val="28"/>
              </w:rPr>
            </w:pPr>
          </w:p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0"/>
              <w:rPr>
                <w:sz w:val="28"/>
                <w:szCs w:val="28"/>
              </w:rPr>
            </w:pPr>
          </w:p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0"/>
              <w:rPr>
                <w:sz w:val="28"/>
                <w:szCs w:val="28"/>
              </w:rPr>
            </w:pPr>
            <w:r w:rsidRPr="00554E8C">
              <w:rPr>
                <w:sz w:val="28"/>
                <w:szCs w:val="28"/>
              </w:rPr>
              <w:t xml:space="preserve">     </w:t>
            </w:r>
            <w:r w:rsidR="00554E8C" w:rsidRPr="00554E8C">
              <w:rPr>
                <w:sz w:val="28"/>
                <w:szCs w:val="28"/>
              </w:rPr>
              <w:t>Е.С. Кошевая</w:t>
            </w:r>
          </w:p>
        </w:tc>
      </w:tr>
      <w:tr w:rsidR="008F6C3E" w:rsidTr="008F6C3E">
        <w:tc>
          <w:tcPr>
            <w:tcW w:w="4077" w:type="dxa"/>
          </w:tcPr>
          <w:p w:rsidR="008F6C3E" w:rsidRPr="00F14047" w:rsidRDefault="008F6C3E" w:rsidP="007A4AF3">
            <w:pPr>
              <w:pStyle w:val="a3"/>
              <w:widowControl w:val="0"/>
              <w:suppressAutoHyphens/>
              <w:ind w:left="0" w:right="34"/>
              <w:rPr>
                <w:sz w:val="28"/>
                <w:szCs w:val="28"/>
              </w:rPr>
            </w:pPr>
          </w:p>
          <w:p w:rsidR="008F6C3E" w:rsidRPr="00F14047" w:rsidRDefault="008F6C3E" w:rsidP="007A4AF3">
            <w:pPr>
              <w:pStyle w:val="a3"/>
              <w:widowControl w:val="0"/>
              <w:suppressAutoHyphens/>
              <w:ind w:left="0" w:right="3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Руководитель от предприятия</w:t>
            </w:r>
          </w:p>
          <w:p w:rsidR="008F6C3E" w:rsidRPr="00EC3720" w:rsidRDefault="00EC3720" w:rsidP="007A4AF3">
            <w:pPr>
              <w:pStyle w:val="a3"/>
              <w:widowControl w:val="0"/>
              <w:suppressAutoHyphens/>
              <w:ind w:left="0" w:right="34"/>
              <w:rPr>
                <w:sz w:val="28"/>
                <w:szCs w:val="28"/>
              </w:rPr>
            </w:pPr>
            <w:r w:rsidRPr="00EC3720">
              <w:rPr>
                <w:sz w:val="28"/>
                <w:szCs w:val="28"/>
              </w:rPr>
              <w:t>Руководитель</w:t>
            </w:r>
            <w:r>
              <w:rPr>
                <w:sz w:val="28"/>
                <w:szCs w:val="28"/>
              </w:rPr>
              <w:t xml:space="preserve"> аппарата администрации</w:t>
            </w:r>
          </w:p>
        </w:tc>
        <w:tc>
          <w:tcPr>
            <w:tcW w:w="2386" w:type="dxa"/>
          </w:tcPr>
          <w:p w:rsidR="008F6C3E" w:rsidRDefault="008F6C3E" w:rsidP="007A4AF3">
            <w:pPr>
              <w:pStyle w:val="a3"/>
              <w:widowControl w:val="0"/>
              <w:suppressAutoHyphens/>
              <w:ind w:left="0" w:right="144"/>
              <w:rPr>
                <w:sz w:val="28"/>
                <w:szCs w:val="28"/>
              </w:rPr>
            </w:pPr>
          </w:p>
          <w:p w:rsidR="008F6C3E" w:rsidRPr="00F14047" w:rsidRDefault="008F6C3E" w:rsidP="007A4AF3">
            <w:pPr>
              <w:pStyle w:val="a3"/>
              <w:widowControl w:val="0"/>
              <w:suppressAutoHyphens/>
              <w:ind w:left="0" w:right="144"/>
              <w:rPr>
                <w:sz w:val="28"/>
                <w:szCs w:val="28"/>
              </w:rPr>
            </w:pPr>
          </w:p>
          <w:p w:rsidR="008F6C3E" w:rsidRPr="00F14047" w:rsidRDefault="008F6C3E" w:rsidP="007A4AF3">
            <w:pPr>
              <w:pStyle w:val="a3"/>
              <w:widowControl w:val="0"/>
              <w:suppressAutoHyphens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:rsidR="008F6C3E" w:rsidRDefault="008F6C3E" w:rsidP="007A4AF3">
            <w:pPr>
              <w:pStyle w:val="a3"/>
              <w:widowControl w:val="0"/>
              <w:suppressAutoHyphens/>
              <w:ind w:left="0" w:right="963"/>
              <w:rPr>
                <w:sz w:val="28"/>
                <w:szCs w:val="28"/>
              </w:rPr>
            </w:pPr>
          </w:p>
          <w:p w:rsidR="008F6C3E" w:rsidRPr="00F14047" w:rsidRDefault="008F6C3E" w:rsidP="007A4AF3">
            <w:pPr>
              <w:pStyle w:val="a3"/>
              <w:widowControl w:val="0"/>
              <w:suppressAutoHyphens/>
              <w:ind w:left="0" w:right="963"/>
              <w:rPr>
                <w:sz w:val="28"/>
                <w:szCs w:val="28"/>
              </w:rPr>
            </w:pPr>
          </w:p>
          <w:p w:rsidR="008F6C3E" w:rsidRPr="00F14047" w:rsidRDefault="008F6C3E" w:rsidP="007A4AF3">
            <w:pPr>
              <w:pStyle w:val="a3"/>
              <w:widowControl w:val="0"/>
              <w:suppressAutoHyphens/>
              <w:ind w:left="0" w:right="963"/>
              <w:rPr>
                <w:color w:val="FF0000"/>
                <w:sz w:val="28"/>
                <w:szCs w:val="28"/>
              </w:rPr>
            </w:pPr>
            <w:r w:rsidRPr="00F14047">
              <w:rPr>
                <w:color w:val="FF0000"/>
                <w:sz w:val="28"/>
                <w:szCs w:val="28"/>
              </w:rPr>
              <w:t xml:space="preserve">     </w:t>
            </w:r>
            <w:r w:rsidR="00EC3720">
              <w:rPr>
                <w:sz w:val="28"/>
                <w:szCs w:val="28"/>
              </w:rPr>
              <w:t>Т.В. Коваль</w:t>
            </w:r>
          </w:p>
        </w:tc>
      </w:tr>
      <w:tr w:rsidR="00554E8C" w:rsidRPr="00554E8C" w:rsidTr="008F6C3E">
        <w:tc>
          <w:tcPr>
            <w:tcW w:w="4077" w:type="dxa"/>
          </w:tcPr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34"/>
              <w:rPr>
                <w:sz w:val="28"/>
                <w:szCs w:val="28"/>
              </w:rPr>
            </w:pPr>
          </w:p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34"/>
              <w:rPr>
                <w:sz w:val="28"/>
                <w:szCs w:val="28"/>
              </w:rPr>
            </w:pPr>
            <w:r w:rsidRPr="00554E8C">
              <w:rPr>
                <w:sz w:val="28"/>
                <w:szCs w:val="28"/>
              </w:rPr>
              <w:t>Нормоконтролер</w:t>
            </w:r>
          </w:p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34"/>
              <w:rPr>
                <w:sz w:val="28"/>
                <w:szCs w:val="28"/>
              </w:rPr>
            </w:pPr>
            <w:r w:rsidRPr="00554E8C">
              <w:rPr>
                <w:sz w:val="28"/>
                <w:szCs w:val="28"/>
              </w:rPr>
              <w:t xml:space="preserve">канд. </w:t>
            </w:r>
            <w:r w:rsidR="00554E8C" w:rsidRPr="00554E8C">
              <w:rPr>
                <w:sz w:val="28"/>
                <w:szCs w:val="28"/>
              </w:rPr>
              <w:t>полит</w:t>
            </w:r>
            <w:r w:rsidRPr="00554E8C">
              <w:rPr>
                <w:sz w:val="28"/>
                <w:szCs w:val="28"/>
              </w:rPr>
              <w:t xml:space="preserve">. наук, доцент </w:t>
            </w:r>
          </w:p>
        </w:tc>
        <w:tc>
          <w:tcPr>
            <w:tcW w:w="2386" w:type="dxa"/>
          </w:tcPr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144"/>
              <w:rPr>
                <w:sz w:val="28"/>
                <w:szCs w:val="28"/>
              </w:rPr>
            </w:pPr>
          </w:p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144"/>
              <w:rPr>
                <w:sz w:val="28"/>
                <w:szCs w:val="28"/>
              </w:rPr>
            </w:pPr>
          </w:p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144"/>
              <w:rPr>
                <w:sz w:val="28"/>
                <w:szCs w:val="28"/>
              </w:rPr>
            </w:pPr>
            <w:r w:rsidRPr="00554E8C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963"/>
              <w:rPr>
                <w:sz w:val="28"/>
                <w:szCs w:val="28"/>
              </w:rPr>
            </w:pPr>
          </w:p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963"/>
              <w:rPr>
                <w:sz w:val="28"/>
                <w:szCs w:val="28"/>
              </w:rPr>
            </w:pPr>
          </w:p>
          <w:p w:rsidR="008F6C3E" w:rsidRPr="00554E8C" w:rsidRDefault="008F6C3E" w:rsidP="007A4AF3">
            <w:pPr>
              <w:pStyle w:val="a3"/>
              <w:widowControl w:val="0"/>
              <w:suppressAutoHyphens/>
              <w:ind w:left="0" w:right="963"/>
              <w:rPr>
                <w:sz w:val="28"/>
                <w:szCs w:val="28"/>
              </w:rPr>
            </w:pPr>
            <w:r w:rsidRPr="00554E8C">
              <w:rPr>
                <w:sz w:val="28"/>
                <w:szCs w:val="28"/>
              </w:rPr>
              <w:t xml:space="preserve">    </w:t>
            </w:r>
            <w:r w:rsidR="007B09D6" w:rsidRPr="00554E8C">
              <w:rPr>
                <w:sz w:val="28"/>
                <w:szCs w:val="28"/>
              </w:rPr>
              <w:t xml:space="preserve"> </w:t>
            </w:r>
            <w:r w:rsidR="00554E8C" w:rsidRPr="00554E8C">
              <w:rPr>
                <w:sz w:val="28"/>
                <w:szCs w:val="28"/>
              </w:rPr>
              <w:t>Е.С. Кошевая</w:t>
            </w:r>
          </w:p>
        </w:tc>
      </w:tr>
    </w:tbl>
    <w:p w:rsidR="00820E33" w:rsidRDefault="00820E33" w:rsidP="007A4AF3">
      <w:pPr>
        <w:pStyle w:val="a3"/>
        <w:widowControl w:val="0"/>
        <w:suppressAutoHyphens/>
        <w:ind w:left="0" w:right="963"/>
        <w:jc w:val="center"/>
        <w:rPr>
          <w:sz w:val="20"/>
        </w:rPr>
      </w:pPr>
    </w:p>
    <w:p w:rsidR="00820E33" w:rsidRDefault="00820E33" w:rsidP="007A4AF3">
      <w:pPr>
        <w:pStyle w:val="a3"/>
        <w:widowControl w:val="0"/>
        <w:suppressAutoHyphens/>
        <w:ind w:left="0" w:right="963"/>
        <w:jc w:val="center"/>
      </w:pPr>
    </w:p>
    <w:p w:rsidR="008F6C3E" w:rsidRDefault="008F6C3E" w:rsidP="007A4AF3">
      <w:pPr>
        <w:pStyle w:val="a3"/>
        <w:widowControl w:val="0"/>
        <w:suppressAutoHyphens/>
        <w:ind w:left="0" w:right="963"/>
        <w:jc w:val="center"/>
      </w:pPr>
    </w:p>
    <w:p w:rsidR="00EC3720" w:rsidRDefault="00820E33" w:rsidP="007A4AF3">
      <w:pPr>
        <w:pStyle w:val="a3"/>
        <w:widowControl w:val="0"/>
        <w:suppressAutoHyphens/>
        <w:ind w:left="0" w:right="0"/>
        <w:jc w:val="center"/>
        <w:rPr>
          <w:sz w:val="28"/>
          <w:szCs w:val="28"/>
        </w:rPr>
      </w:pPr>
      <w:r w:rsidRPr="0099685B">
        <w:rPr>
          <w:sz w:val="28"/>
          <w:szCs w:val="28"/>
        </w:rPr>
        <w:t>Владивосток 20</w:t>
      </w:r>
      <w:r w:rsidR="008F6C3E">
        <w:rPr>
          <w:sz w:val="28"/>
          <w:szCs w:val="28"/>
        </w:rPr>
        <w:t>2</w:t>
      </w:r>
      <w:r w:rsidR="00352B88">
        <w:rPr>
          <w:sz w:val="28"/>
          <w:szCs w:val="28"/>
        </w:rPr>
        <w:t>6</w:t>
      </w:r>
    </w:p>
    <w:p w:rsidR="0043058F" w:rsidRDefault="00EC3720" w:rsidP="007A4AF3">
      <w:pPr>
        <w:widowControl w:val="0"/>
        <w:suppressAutoHyphens/>
        <w:spacing w:after="120"/>
        <w:jc w:val="center"/>
        <w:rPr>
          <w:rFonts w:ascii="Arial" w:hAnsi="Arial" w:cs="Arial"/>
          <w:sz w:val="30"/>
          <w:szCs w:val="30"/>
          <w:lang w:eastAsia="ar-SA"/>
        </w:rPr>
      </w:pPr>
      <w:r>
        <w:rPr>
          <w:sz w:val="28"/>
          <w:szCs w:val="28"/>
        </w:rPr>
        <w:br w:type="page"/>
      </w:r>
      <w:r w:rsidR="00F953E2" w:rsidRPr="00955DA2">
        <w:rPr>
          <w:rFonts w:ascii="Arial" w:hAnsi="Arial" w:cs="Arial"/>
          <w:sz w:val="30"/>
          <w:szCs w:val="30"/>
          <w:lang w:eastAsia="ar-SA"/>
        </w:rPr>
        <w:lastRenderedPageBreak/>
        <w:t xml:space="preserve"> </w:t>
      </w:r>
      <w:r w:rsidR="00955DA2" w:rsidRPr="00955DA2">
        <w:rPr>
          <w:rFonts w:ascii="Arial" w:hAnsi="Arial" w:cs="Arial"/>
          <w:sz w:val="30"/>
          <w:szCs w:val="30"/>
          <w:lang w:eastAsia="ar-SA"/>
        </w:rPr>
        <w:t>Содержание</w:t>
      </w:r>
    </w:p>
    <w:p w:rsidR="00616161" w:rsidRPr="005B3232" w:rsidRDefault="00616161" w:rsidP="007A4AF3">
      <w:pPr>
        <w:widowControl w:val="0"/>
        <w:suppressAutoHyphens/>
        <w:spacing w:line="360" w:lineRule="auto"/>
        <w:jc w:val="both"/>
        <w:rPr>
          <w:sz w:val="28"/>
          <w:szCs w:val="28"/>
        </w:rPr>
      </w:pPr>
      <w:r w:rsidRPr="005B3232">
        <w:rPr>
          <w:sz w:val="28"/>
          <w:szCs w:val="28"/>
        </w:rPr>
        <w:t>Введение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F953E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</w:t>
      </w:r>
      <w:r w:rsidR="00F953E2">
        <w:rPr>
          <w:sz w:val="28"/>
          <w:szCs w:val="28"/>
        </w:rPr>
        <w:t>3</w:t>
      </w:r>
    </w:p>
    <w:p w:rsidR="00616161" w:rsidRPr="001F2A4B" w:rsidRDefault="00616161" w:rsidP="007A4AF3">
      <w:pPr>
        <w:widowControl w:val="0"/>
        <w:suppressAutoHyphens/>
        <w:spacing w:line="360" w:lineRule="auto"/>
        <w:jc w:val="center"/>
        <w:rPr>
          <w:sz w:val="28"/>
          <w:szCs w:val="28"/>
        </w:rPr>
      </w:pPr>
      <w:r w:rsidRPr="005B3232">
        <w:rPr>
          <w:sz w:val="28"/>
          <w:szCs w:val="28"/>
        </w:rPr>
        <w:t>1</w:t>
      </w:r>
      <w:r>
        <w:rPr>
          <w:sz w:val="28"/>
          <w:szCs w:val="28"/>
        </w:rPr>
        <w:t xml:space="preserve"> Общая характеристика организации</w:t>
      </w:r>
      <w:r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</w:t>
      </w:r>
      <w:r w:rsidR="004C7910">
        <w:rPr>
          <w:sz w:val="28"/>
          <w:szCs w:val="28"/>
        </w:rPr>
        <w:t xml:space="preserve"> 4</w:t>
      </w:r>
    </w:p>
    <w:p w:rsidR="00616161" w:rsidRPr="00616161" w:rsidRDefault="00616161" w:rsidP="007A4AF3">
      <w:pPr>
        <w:pStyle w:val="ab"/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6161">
        <w:rPr>
          <w:rFonts w:ascii="Times New Roman" w:hAnsi="Times New Roman" w:cs="Times New Roman"/>
          <w:sz w:val="28"/>
          <w:szCs w:val="28"/>
        </w:rPr>
        <w:t xml:space="preserve">Краткая характеристика администрации Чугуевского </w:t>
      </w:r>
      <w:r w:rsidR="007A4AF3" w:rsidRPr="007A4AF3">
        <w:rPr>
          <w:rFonts w:ascii="Times New Roman" w:hAnsi="Times New Roman" w:cs="Times New Roman"/>
          <w:sz w:val="28"/>
          <w:szCs w:val="28"/>
        </w:rPr>
        <w:t xml:space="preserve">  </w:t>
      </w:r>
      <w:r w:rsidR="007A4AF3" w:rsidRPr="007A4AF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16161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16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7910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616161" w:rsidRDefault="00616161" w:rsidP="007A4AF3">
      <w:pPr>
        <w:pStyle w:val="ab"/>
        <w:widowControl w:val="0"/>
        <w:tabs>
          <w:tab w:val="left" w:pos="0"/>
          <w:tab w:val="left" w:pos="1134"/>
        </w:tabs>
        <w:suppressAutoHyphens/>
        <w:spacing w:before="12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2A4B">
        <w:rPr>
          <w:rFonts w:ascii="Times New Roman" w:hAnsi="Times New Roman" w:cs="Times New Roman"/>
          <w:sz w:val="28"/>
          <w:szCs w:val="28"/>
        </w:rPr>
        <w:t xml:space="preserve">1.2 </w:t>
      </w:r>
      <w:r w:rsidRPr="001F2A4B">
        <w:rPr>
          <w:rFonts w:ascii="Times New Roman" w:hAnsi="Times New Roman" w:cs="Times New Roman"/>
          <w:sz w:val="28"/>
          <w:szCs w:val="28"/>
        </w:rPr>
        <w:tab/>
      </w:r>
      <w:r w:rsidRPr="00616161">
        <w:rPr>
          <w:rFonts w:ascii="Times New Roman" w:hAnsi="Times New Roman" w:cs="Times New Roman"/>
          <w:sz w:val="28"/>
          <w:szCs w:val="28"/>
        </w:rPr>
        <w:t>Организационно-управленческая структура организации</w:t>
      </w:r>
      <w:r>
        <w:rPr>
          <w:rFonts w:ascii="Times New Roman" w:hAnsi="Times New Roman" w:cs="Times New Roman"/>
          <w:sz w:val="28"/>
          <w:szCs w:val="28"/>
        </w:rPr>
        <w:tab/>
      </w:r>
      <w:r w:rsidR="00A673C7">
        <w:rPr>
          <w:rFonts w:ascii="Times New Roman" w:hAnsi="Times New Roman" w:cs="Times New Roman"/>
          <w:sz w:val="28"/>
          <w:szCs w:val="28"/>
        </w:rPr>
        <w:t xml:space="preserve">    </w:t>
      </w:r>
      <w:r w:rsidR="00A673C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4C7910">
        <w:rPr>
          <w:rFonts w:ascii="Times New Roman" w:hAnsi="Times New Roman" w:cs="Times New Roman"/>
          <w:sz w:val="28"/>
          <w:szCs w:val="28"/>
        </w:rPr>
        <w:t xml:space="preserve">   4</w:t>
      </w:r>
    </w:p>
    <w:p w:rsidR="00616161" w:rsidRDefault="00616161" w:rsidP="007A4AF3">
      <w:pPr>
        <w:pStyle w:val="ab"/>
        <w:widowControl w:val="0"/>
        <w:numPr>
          <w:ilvl w:val="1"/>
          <w:numId w:val="2"/>
        </w:numPr>
        <w:tabs>
          <w:tab w:val="left" w:pos="0"/>
          <w:tab w:val="left" w:pos="1134"/>
        </w:tabs>
        <w:suppressAutoHyphens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2A4B">
        <w:rPr>
          <w:rFonts w:ascii="Times New Roman" w:hAnsi="Times New Roman" w:cs="Times New Roman"/>
          <w:sz w:val="28"/>
          <w:szCs w:val="28"/>
        </w:rPr>
        <w:tab/>
      </w:r>
      <w:r w:rsidR="00A673C7" w:rsidRPr="00A673C7">
        <w:rPr>
          <w:rFonts w:ascii="Times New Roman" w:hAnsi="Times New Roman" w:cs="Times New Roman"/>
          <w:sz w:val="28"/>
          <w:szCs w:val="28"/>
        </w:rPr>
        <w:t>Виды деятельности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73C7">
        <w:rPr>
          <w:rFonts w:ascii="Times New Roman" w:hAnsi="Times New Roman" w:cs="Times New Roman"/>
          <w:sz w:val="28"/>
          <w:szCs w:val="28"/>
        </w:rPr>
        <w:tab/>
      </w:r>
      <w:r w:rsidR="00A673C7">
        <w:rPr>
          <w:rFonts w:ascii="Times New Roman" w:hAnsi="Times New Roman" w:cs="Times New Roman"/>
          <w:sz w:val="28"/>
          <w:szCs w:val="28"/>
        </w:rPr>
        <w:tab/>
      </w:r>
      <w:r w:rsidR="00E46168">
        <w:rPr>
          <w:rFonts w:ascii="Times New Roman" w:hAnsi="Times New Roman" w:cs="Times New Roman"/>
          <w:sz w:val="28"/>
          <w:szCs w:val="28"/>
        </w:rPr>
        <w:tab/>
        <w:t xml:space="preserve">    7</w:t>
      </w:r>
    </w:p>
    <w:p w:rsidR="00A673C7" w:rsidRDefault="00A673C7" w:rsidP="007A4AF3">
      <w:pPr>
        <w:pStyle w:val="ab"/>
        <w:widowControl w:val="0"/>
        <w:numPr>
          <w:ilvl w:val="1"/>
          <w:numId w:val="2"/>
        </w:numPr>
        <w:tabs>
          <w:tab w:val="left" w:pos="0"/>
          <w:tab w:val="left" w:pos="1134"/>
        </w:tabs>
        <w:suppressAutoHyphens/>
        <w:spacing w:after="0" w:line="240" w:lineRule="auto"/>
        <w:ind w:left="1083" w:hanging="37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C7">
        <w:rPr>
          <w:rFonts w:ascii="Times New Roman" w:hAnsi="Times New Roman" w:cs="Times New Roman"/>
          <w:sz w:val="28"/>
          <w:szCs w:val="28"/>
        </w:rPr>
        <w:t xml:space="preserve">Анализ ресурсов организации (финансовые, </w:t>
      </w:r>
      <w:r w:rsidR="007A4AF3">
        <w:rPr>
          <w:rFonts w:ascii="Times New Roman" w:hAnsi="Times New Roman" w:cs="Times New Roman"/>
          <w:sz w:val="28"/>
          <w:szCs w:val="28"/>
        </w:rPr>
        <w:tab/>
      </w:r>
      <w:r w:rsidRPr="00A673C7">
        <w:rPr>
          <w:rFonts w:ascii="Times New Roman" w:hAnsi="Times New Roman" w:cs="Times New Roman"/>
          <w:sz w:val="28"/>
          <w:szCs w:val="28"/>
        </w:rPr>
        <w:t>материальные, человеческие)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E46168">
        <w:rPr>
          <w:rFonts w:ascii="Times New Roman" w:hAnsi="Times New Roman" w:cs="Times New Roman"/>
          <w:sz w:val="28"/>
          <w:szCs w:val="28"/>
        </w:rPr>
        <w:t xml:space="preserve">      8</w:t>
      </w:r>
    </w:p>
    <w:p w:rsidR="00A673C7" w:rsidRPr="00A673C7" w:rsidRDefault="00A673C7" w:rsidP="007A4AF3">
      <w:pPr>
        <w:widowControl w:val="0"/>
        <w:tabs>
          <w:tab w:val="left" w:pos="0"/>
        </w:tabs>
        <w:suppressAutoHyphens/>
        <w:spacing w:before="120" w:line="360" w:lineRule="auto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A673C7">
        <w:rPr>
          <w:sz w:val="28"/>
          <w:szCs w:val="28"/>
        </w:rPr>
        <w:t xml:space="preserve">.1 </w:t>
      </w:r>
      <w:r>
        <w:rPr>
          <w:sz w:val="28"/>
          <w:szCs w:val="28"/>
        </w:rPr>
        <w:t>Финансовые ресурсы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46168">
        <w:rPr>
          <w:sz w:val="28"/>
          <w:szCs w:val="28"/>
        </w:rPr>
        <w:tab/>
      </w:r>
      <w:r w:rsidR="00E46168">
        <w:rPr>
          <w:sz w:val="28"/>
          <w:szCs w:val="28"/>
        </w:rPr>
        <w:tab/>
      </w:r>
      <w:r w:rsidR="00E46168">
        <w:rPr>
          <w:sz w:val="28"/>
          <w:szCs w:val="28"/>
        </w:rPr>
        <w:tab/>
        <w:t xml:space="preserve">    8</w:t>
      </w:r>
    </w:p>
    <w:p w:rsidR="00A673C7" w:rsidRDefault="00A673C7" w:rsidP="007A4AF3">
      <w:pPr>
        <w:widowControl w:val="0"/>
        <w:tabs>
          <w:tab w:val="left" w:pos="0"/>
        </w:tabs>
        <w:suppressAutoHyphens/>
        <w:spacing w:line="360" w:lineRule="auto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A673C7">
        <w:rPr>
          <w:sz w:val="28"/>
          <w:szCs w:val="28"/>
        </w:rPr>
        <w:t>.2</w:t>
      </w:r>
      <w:r>
        <w:rPr>
          <w:sz w:val="28"/>
          <w:szCs w:val="28"/>
        </w:rPr>
        <w:t xml:space="preserve"> Материальные ресурсы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46168">
        <w:rPr>
          <w:sz w:val="28"/>
          <w:szCs w:val="28"/>
        </w:rPr>
        <w:tab/>
      </w:r>
      <w:r w:rsidR="00E46168">
        <w:rPr>
          <w:sz w:val="28"/>
          <w:szCs w:val="28"/>
        </w:rPr>
        <w:tab/>
      </w:r>
      <w:r w:rsidR="00E46168">
        <w:rPr>
          <w:sz w:val="28"/>
          <w:szCs w:val="28"/>
        </w:rPr>
        <w:tab/>
        <w:t xml:space="preserve">  11</w:t>
      </w:r>
    </w:p>
    <w:p w:rsidR="00A673C7" w:rsidRPr="00A673C7" w:rsidRDefault="00A673C7" w:rsidP="007A4AF3">
      <w:pPr>
        <w:widowControl w:val="0"/>
        <w:tabs>
          <w:tab w:val="left" w:pos="0"/>
        </w:tabs>
        <w:suppressAutoHyphens/>
        <w:spacing w:line="360" w:lineRule="auto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 Человеческие ресурсы</w:t>
      </w:r>
      <w:r w:rsidR="00E46168">
        <w:rPr>
          <w:sz w:val="28"/>
          <w:szCs w:val="28"/>
        </w:rPr>
        <w:tab/>
      </w:r>
      <w:r w:rsidR="00E46168">
        <w:rPr>
          <w:sz w:val="28"/>
          <w:szCs w:val="28"/>
        </w:rPr>
        <w:tab/>
      </w:r>
      <w:r w:rsidR="00E46168">
        <w:rPr>
          <w:sz w:val="28"/>
          <w:szCs w:val="28"/>
        </w:rPr>
        <w:tab/>
      </w:r>
      <w:r w:rsidR="00E46168">
        <w:rPr>
          <w:sz w:val="28"/>
          <w:szCs w:val="28"/>
        </w:rPr>
        <w:tab/>
      </w:r>
      <w:r w:rsidR="00E46168">
        <w:rPr>
          <w:sz w:val="28"/>
          <w:szCs w:val="28"/>
        </w:rPr>
        <w:tab/>
      </w:r>
      <w:r w:rsidR="00E46168">
        <w:rPr>
          <w:sz w:val="28"/>
          <w:szCs w:val="28"/>
        </w:rPr>
        <w:tab/>
      </w:r>
      <w:r w:rsidR="00E46168">
        <w:rPr>
          <w:sz w:val="28"/>
          <w:szCs w:val="28"/>
        </w:rPr>
        <w:tab/>
        <w:t xml:space="preserve">  14</w:t>
      </w:r>
    </w:p>
    <w:p w:rsidR="00616161" w:rsidRPr="00F65DA3" w:rsidRDefault="00616161" w:rsidP="007A4AF3">
      <w:pPr>
        <w:pStyle w:val="ab"/>
        <w:widowControl w:val="0"/>
        <w:tabs>
          <w:tab w:val="left" w:pos="0"/>
        </w:tabs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73C7">
        <w:rPr>
          <w:rFonts w:ascii="Times New Roman" w:hAnsi="Times New Roman" w:cs="Times New Roman"/>
          <w:sz w:val="28"/>
          <w:szCs w:val="28"/>
        </w:rPr>
        <w:t xml:space="preserve"> Индивидуальное задание</w:t>
      </w:r>
      <w:r w:rsidR="00A673C7">
        <w:rPr>
          <w:rFonts w:ascii="Times New Roman" w:hAnsi="Times New Roman" w:cs="Times New Roman"/>
          <w:sz w:val="28"/>
          <w:szCs w:val="28"/>
        </w:rPr>
        <w:tab/>
      </w:r>
      <w:r w:rsidRPr="00F65DA3">
        <w:rPr>
          <w:rFonts w:ascii="Times New Roman" w:hAnsi="Times New Roman" w:cs="Times New Roman"/>
          <w:sz w:val="28"/>
          <w:szCs w:val="28"/>
        </w:rPr>
        <w:tab/>
      </w:r>
      <w:r w:rsidRPr="00F65DA3">
        <w:rPr>
          <w:rFonts w:ascii="Times New Roman" w:hAnsi="Times New Roman" w:cs="Times New Roman"/>
          <w:sz w:val="28"/>
          <w:szCs w:val="28"/>
        </w:rPr>
        <w:tab/>
      </w:r>
      <w:r w:rsidRPr="00F65DA3">
        <w:rPr>
          <w:rFonts w:ascii="Times New Roman" w:hAnsi="Times New Roman" w:cs="Times New Roman"/>
          <w:sz w:val="28"/>
          <w:szCs w:val="28"/>
        </w:rPr>
        <w:tab/>
      </w:r>
      <w:r w:rsidRPr="00F65DA3">
        <w:rPr>
          <w:rFonts w:ascii="Times New Roman" w:hAnsi="Times New Roman" w:cs="Times New Roman"/>
          <w:sz w:val="28"/>
          <w:szCs w:val="28"/>
        </w:rPr>
        <w:tab/>
      </w:r>
      <w:r w:rsidRPr="00F65DA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E46168">
        <w:rPr>
          <w:rFonts w:ascii="Times New Roman" w:hAnsi="Times New Roman" w:cs="Times New Roman"/>
          <w:sz w:val="28"/>
          <w:szCs w:val="28"/>
        </w:rPr>
        <w:t>16</w:t>
      </w:r>
    </w:p>
    <w:p w:rsidR="00616161" w:rsidRDefault="00A673C7" w:rsidP="007A4AF3">
      <w:pPr>
        <w:widowControl w:val="0"/>
        <w:tabs>
          <w:tab w:val="left" w:pos="851"/>
        </w:tabs>
        <w:suppressAutoHyphens/>
        <w:spacing w:after="120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Pr="00A673C7">
        <w:rPr>
          <w:sz w:val="28"/>
          <w:szCs w:val="28"/>
        </w:rPr>
        <w:t xml:space="preserve">SWOT-анализ внешней и внутренней среды </w:t>
      </w:r>
      <w:r w:rsidR="007A4AF3" w:rsidRPr="007A4AF3">
        <w:rPr>
          <w:sz w:val="28"/>
          <w:szCs w:val="28"/>
        </w:rPr>
        <w:t xml:space="preserve">  </w:t>
      </w:r>
      <w:r w:rsidR="007A4AF3" w:rsidRPr="007A4AF3">
        <w:rPr>
          <w:sz w:val="28"/>
          <w:szCs w:val="28"/>
        </w:rPr>
        <w:tab/>
        <w:t xml:space="preserve">           </w:t>
      </w:r>
      <w:r w:rsidRPr="00A673C7">
        <w:rPr>
          <w:sz w:val="28"/>
          <w:szCs w:val="28"/>
        </w:rPr>
        <w:t>администрации Чугуевского муниципального округа</w:t>
      </w:r>
      <w:r w:rsidR="00616161" w:rsidRPr="00A45BDA">
        <w:rPr>
          <w:sz w:val="28"/>
          <w:szCs w:val="28"/>
        </w:rPr>
        <w:tab/>
      </w:r>
      <w:r w:rsidR="0061616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16161">
        <w:rPr>
          <w:sz w:val="28"/>
          <w:szCs w:val="28"/>
        </w:rPr>
        <w:t xml:space="preserve">  </w:t>
      </w:r>
      <w:r w:rsidR="00E46168">
        <w:rPr>
          <w:sz w:val="28"/>
          <w:szCs w:val="28"/>
        </w:rPr>
        <w:t>16</w:t>
      </w:r>
    </w:p>
    <w:p w:rsidR="00616161" w:rsidRDefault="00616161" w:rsidP="007A4AF3">
      <w:pPr>
        <w:widowControl w:val="0"/>
        <w:tabs>
          <w:tab w:val="left" w:pos="0"/>
        </w:tabs>
        <w:suppressAutoHyphens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A673C7" w:rsidRPr="00A673C7">
        <w:rPr>
          <w:sz w:val="28"/>
          <w:szCs w:val="28"/>
        </w:rPr>
        <w:t>Оценка эффективности реализации инвестиционных проектов</w:t>
      </w:r>
      <w:r>
        <w:rPr>
          <w:sz w:val="28"/>
          <w:szCs w:val="28"/>
        </w:rPr>
        <w:tab/>
      </w:r>
      <w:r w:rsidR="00A673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46168">
        <w:rPr>
          <w:sz w:val="28"/>
          <w:szCs w:val="28"/>
        </w:rPr>
        <w:t>19</w:t>
      </w:r>
    </w:p>
    <w:p w:rsidR="00616161" w:rsidRPr="00616161" w:rsidRDefault="00A673C7" w:rsidP="007A4AF3">
      <w:pPr>
        <w:pStyle w:val="ab"/>
        <w:widowControl w:val="0"/>
        <w:numPr>
          <w:ilvl w:val="1"/>
          <w:numId w:val="3"/>
        </w:numPr>
        <w:tabs>
          <w:tab w:val="left" w:pos="709"/>
        </w:tabs>
        <w:suppressAutoHyphens/>
        <w:spacing w:before="120" w:after="0" w:line="360" w:lineRule="auto"/>
        <w:ind w:left="1083" w:hanging="37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Варианты финансирования инвестиционных проектов</w:t>
      </w:r>
      <w:r w:rsidR="00616161">
        <w:rPr>
          <w:rFonts w:ascii="Times New Roman" w:hAnsi="Times New Roman" w:cs="Times New Roman"/>
          <w:sz w:val="28"/>
          <w:szCs w:val="28"/>
        </w:rPr>
        <w:tab/>
      </w:r>
      <w:r w:rsidR="00E46168">
        <w:rPr>
          <w:rFonts w:ascii="Times New Roman" w:hAnsi="Times New Roman" w:cs="Times New Roman"/>
          <w:sz w:val="28"/>
          <w:szCs w:val="28"/>
        </w:rPr>
        <w:tab/>
      </w:r>
      <w:r w:rsidR="00E46168">
        <w:rPr>
          <w:rFonts w:ascii="Times New Roman" w:hAnsi="Times New Roman" w:cs="Times New Roman"/>
          <w:sz w:val="28"/>
          <w:szCs w:val="28"/>
        </w:rPr>
        <w:tab/>
        <w:t xml:space="preserve">  23</w:t>
      </w:r>
    </w:p>
    <w:p w:rsidR="00616161" w:rsidRPr="008676EC" w:rsidRDefault="00616161" w:rsidP="007A4AF3">
      <w:pPr>
        <w:widowControl w:val="0"/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676EC">
        <w:rPr>
          <w:sz w:val="28"/>
          <w:szCs w:val="28"/>
        </w:rPr>
        <w:t>Заключение</w:t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  <w:t xml:space="preserve">  </w:t>
      </w:r>
      <w:r w:rsidRPr="008676EC">
        <w:rPr>
          <w:sz w:val="28"/>
          <w:szCs w:val="28"/>
        </w:rPr>
        <w:tab/>
        <w:t xml:space="preserve">  </w:t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  <w:t xml:space="preserve">  </w:t>
      </w:r>
      <w:r w:rsidR="00E46168">
        <w:rPr>
          <w:sz w:val="28"/>
          <w:szCs w:val="28"/>
        </w:rPr>
        <w:t>26</w:t>
      </w:r>
      <w:r w:rsidRPr="008676EC">
        <w:rPr>
          <w:sz w:val="28"/>
          <w:szCs w:val="28"/>
        </w:rPr>
        <w:t xml:space="preserve"> </w:t>
      </w:r>
    </w:p>
    <w:p w:rsidR="00616161" w:rsidRPr="005B3232" w:rsidRDefault="00616161" w:rsidP="007A4AF3">
      <w:pPr>
        <w:widowControl w:val="0"/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B3232">
        <w:rPr>
          <w:sz w:val="28"/>
          <w:szCs w:val="28"/>
        </w:rPr>
        <w:t>С</w:t>
      </w:r>
      <w:r>
        <w:rPr>
          <w:sz w:val="28"/>
          <w:szCs w:val="28"/>
        </w:rPr>
        <w:t>писок использованных источников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</w:t>
      </w:r>
      <w:r w:rsidR="00E46168">
        <w:rPr>
          <w:sz w:val="28"/>
          <w:szCs w:val="28"/>
        </w:rPr>
        <w:t>28</w:t>
      </w:r>
    </w:p>
    <w:p w:rsidR="00A673C7" w:rsidRDefault="00A673C7" w:rsidP="007A4AF3">
      <w:pPr>
        <w:pStyle w:val="a6"/>
        <w:widowControl w:val="0"/>
        <w:suppressAutoHyphens/>
        <w:spacing w:after="0"/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6161">
        <w:rPr>
          <w:rFonts w:ascii="Times New Roman" w:hAnsi="Times New Roman" w:cs="Times New Roman"/>
          <w:sz w:val="28"/>
          <w:szCs w:val="28"/>
        </w:rPr>
        <w:t xml:space="preserve"> </w:t>
      </w:r>
      <w:r w:rsidR="00616161" w:rsidRPr="00EC1854">
        <w:rPr>
          <w:rFonts w:ascii="Times New Roman" w:hAnsi="Times New Roman" w:cs="Times New Roman"/>
          <w:sz w:val="28"/>
          <w:szCs w:val="28"/>
        </w:rPr>
        <w:t>Приложение А</w:t>
      </w:r>
      <w:r w:rsidR="00616161">
        <w:rPr>
          <w:rFonts w:ascii="Times New Roman" w:hAnsi="Times New Roman" w:cs="Times New Roman"/>
          <w:sz w:val="28"/>
          <w:szCs w:val="28"/>
        </w:rPr>
        <w:t>.</w:t>
      </w:r>
      <w:r w:rsidR="00F953E2">
        <w:rPr>
          <w:rFonts w:ascii="Times New Roman" w:hAnsi="Times New Roman" w:cs="Times New Roman"/>
          <w:sz w:val="28"/>
          <w:szCs w:val="28"/>
        </w:rPr>
        <w:t xml:space="preserve"> </w:t>
      </w:r>
      <w:r w:rsidRPr="00A673C7">
        <w:rPr>
          <w:rFonts w:ascii="Times New Roman" w:hAnsi="Times New Roman" w:cs="Times New Roman"/>
          <w:sz w:val="28"/>
          <w:szCs w:val="28"/>
        </w:rPr>
        <w:t>Организационная структура администрации</w:t>
      </w:r>
      <w:r w:rsidR="007A4AF3">
        <w:rPr>
          <w:rFonts w:ascii="Times New Roman" w:hAnsi="Times New Roman" w:cs="Times New Roman"/>
          <w:sz w:val="28"/>
          <w:szCs w:val="28"/>
        </w:rPr>
        <w:tab/>
      </w:r>
      <w:r w:rsidRPr="00A673C7">
        <w:rPr>
          <w:rFonts w:ascii="Times New Roman" w:hAnsi="Times New Roman" w:cs="Times New Roman"/>
          <w:sz w:val="28"/>
          <w:szCs w:val="28"/>
        </w:rPr>
        <w:t xml:space="preserve"> </w:t>
      </w:r>
      <w:r w:rsidR="007A4AF3" w:rsidRPr="007A4AF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673C7">
        <w:rPr>
          <w:rFonts w:ascii="Times New Roman" w:hAnsi="Times New Roman" w:cs="Times New Roman"/>
          <w:sz w:val="28"/>
          <w:szCs w:val="28"/>
        </w:rPr>
        <w:t>Чугуевского округа</w:t>
      </w:r>
      <w:r w:rsidR="00E46168">
        <w:rPr>
          <w:rFonts w:ascii="Times New Roman" w:hAnsi="Times New Roman" w:cs="Times New Roman"/>
          <w:sz w:val="28"/>
          <w:szCs w:val="28"/>
        </w:rPr>
        <w:tab/>
      </w:r>
      <w:r w:rsidR="00E46168">
        <w:rPr>
          <w:rFonts w:ascii="Times New Roman" w:hAnsi="Times New Roman" w:cs="Times New Roman"/>
          <w:sz w:val="28"/>
          <w:szCs w:val="28"/>
        </w:rPr>
        <w:tab/>
      </w:r>
      <w:r w:rsidR="00E46168">
        <w:rPr>
          <w:rFonts w:ascii="Times New Roman" w:hAnsi="Times New Roman" w:cs="Times New Roman"/>
          <w:sz w:val="28"/>
          <w:szCs w:val="28"/>
        </w:rPr>
        <w:tab/>
      </w:r>
      <w:r w:rsidR="00E46168">
        <w:rPr>
          <w:rFonts w:ascii="Times New Roman" w:hAnsi="Times New Roman" w:cs="Times New Roman"/>
          <w:sz w:val="28"/>
          <w:szCs w:val="28"/>
        </w:rPr>
        <w:tab/>
      </w:r>
      <w:r w:rsidR="00E46168">
        <w:rPr>
          <w:rFonts w:ascii="Times New Roman" w:hAnsi="Times New Roman" w:cs="Times New Roman"/>
          <w:sz w:val="28"/>
          <w:szCs w:val="28"/>
        </w:rPr>
        <w:tab/>
      </w:r>
      <w:r w:rsidR="00E46168">
        <w:rPr>
          <w:rFonts w:ascii="Times New Roman" w:hAnsi="Times New Roman" w:cs="Times New Roman"/>
          <w:sz w:val="28"/>
          <w:szCs w:val="28"/>
        </w:rPr>
        <w:tab/>
      </w:r>
      <w:r w:rsidR="00E46168">
        <w:rPr>
          <w:rFonts w:ascii="Times New Roman" w:hAnsi="Times New Roman" w:cs="Times New Roman"/>
          <w:sz w:val="28"/>
          <w:szCs w:val="28"/>
        </w:rPr>
        <w:tab/>
        <w:t xml:space="preserve">  30</w:t>
      </w:r>
    </w:p>
    <w:p w:rsidR="00616161" w:rsidRDefault="00A673C7" w:rsidP="007A4AF3">
      <w:pPr>
        <w:pStyle w:val="a6"/>
        <w:widowControl w:val="0"/>
        <w:suppressAutoHyphens/>
        <w:spacing w:before="1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 В.</w:t>
      </w:r>
      <w:r w:rsidR="00616161">
        <w:rPr>
          <w:rFonts w:ascii="Times New Roman" w:hAnsi="Times New Roman" w:cs="Times New Roman"/>
          <w:sz w:val="28"/>
          <w:szCs w:val="28"/>
        </w:rPr>
        <w:tab/>
      </w:r>
      <w:r w:rsidR="00F953E2">
        <w:rPr>
          <w:rFonts w:ascii="Times New Roman" w:hAnsi="Times New Roman" w:cs="Times New Roman"/>
          <w:sz w:val="28"/>
          <w:szCs w:val="28"/>
        </w:rPr>
        <w:t>Данные бюджета Чугу</w:t>
      </w:r>
      <w:r w:rsidR="00E46168">
        <w:rPr>
          <w:rFonts w:ascii="Times New Roman" w:hAnsi="Times New Roman" w:cs="Times New Roman"/>
          <w:sz w:val="28"/>
          <w:szCs w:val="28"/>
        </w:rPr>
        <w:t>евского округа на 2026 год</w:t>
      </w:r>
      <w:r w:rsidR="00E46168">
        <w:rPr>
          <w:rFonts w:ascii="Times New Roman" w:hAnsi="Times New Roman" w:cs="Times New Roman"/>
          <w:sz w:val="28"/>
          <w:szCs w:val="28"/>
        </w:rPr>
        <w:tab/>
      </w:r>
      <w:r w:rsidR="00E46168">
        <w:rPr>
          <w:rFonts w:ascii="Times New Roman" w:hAnsi="Times New Roman" w:cs="Times New Roman"/>
          <w:sz w:val="28"/>
          <w:szCs w:val="28"/>
        </w:rPr>
        <w:tab/>
        <w:t xml:space="preserve">  31</w:t>
      </w:r>
    </w:p>
    <w:p w:rsidR="00616161" w:rsidRDefault="00616161" w:rsidP="00616161">
      <w:pPr>
        <w:pStyle w:val="a6"/>
        <w:widowControl w:val="0"/>
        <w:rPr>
          <w:rFonts w:ascii="Times New Roman" w:hAnsi="Times New Roman" w:cs="Times New Roman"/>
          <w:sz w:val="28"/>
          <w:szCs w:val="28"/>
        </w:rPr>
      </w:pPr>
    </w:p>
    <w:p w:rsidR="00616161" w:rsidRDefault="00616161" w:rsidP="00616161">
      <w:pPr>
        <w:pStyle w:val="a6"/>
        <w:widowControl w:val="0"/>
        <w:rPr>
          <w:rFonts w:ascii="Times New Roman" w:hAnsi="Times New Roman" w:cs="Times New Roman"/>
          <w:sz w:val="28"/>
          <w:szCs w:val="28"/>
        </w:rPr>
      </w:pPr>
    </w:p>
    <w:p w:rsidR="00616161" w:rsidRDefault="00616161" w:rsidP="00616161">
      <w:pPr>
        <w:pStyle w:val="a6"/>
        <w:widowControl w:val="0"/>
        <w:rPr>
          <w:rFonts w:ascii="Times New Roman" w:hAnsi="Times New Roman" w:cs="Times New Roman"/>
          <w:sz w:val="28"/>
          <w:szCs w:val="28"/>
        </w:rPr>
      </w:pPr>
    </w:p>
    <w:p w:rsidR="00616161" w:rsidRDefault="00616161" w:rsidP="00616161">
      <w:pPr>
        <w:pStyle w:val="a6"/>
        <w:widowControl w:val="0"/>
        <w:rPr>
          <w:rFonts w:ascii="Times New Roman" w:hAnsi="Times New Roman" w:cs="Times New Roman"/>
          <w:sz w:val="28"/>
          <w:szCs w:val="28"/>
        </w:rPr>
      </w:pPr>
    </w:p>
    <w:p w:rsidR="00616161" w:rsidRDefault="00616161" w:rsidP="00616161">
      <w:pPr>
        <w:pStyle w:val="a6"/>
        <w:widowControl w:val="0"/>
        <w:rPr>
          <w:rFonts w:ascii="Times New Roman" w:hAnsi="Times New Roman" w:cs="Times New Roman"/>
          <w:sz w:val="28"/>
          <w:szCs w:val="28"/>
        </w:rPr>
      </w:pPr>
    </w:p>
    <w:p w:rsidR="00616161" w:rsidRDefault="00616161" w:rsidP="00616161">
      <w:pPr>
        <w:pStyle w:val="a6"/>
        <w:widowControl w:val="0"/>
        <w:rPr>
          <w:rFonts w:ascii="Times New Roman" w:hAnsi="Times New Roman" w:cs="Times New Roman"/>
          <w:sz w:val="28"/>
          <w:szCs w:val="28"/>
        </w:rPr>
      </w:pPr>
    </w:p>
    <w:p w:rsidR="00F953E2" w:rsidRDefault="00F953E2" w:rsidP="00F953E2">
      <w:pPr>
        <w:pStyle w:val="a6"/>
        <w:widowControl w:val="0"/>
        <w:jc w:val="left"/>
        <w:rPr>
          <w:rFonts w:ascii="Times New Roman" w:hAnsi="Times New Roman" w:cs="Times New Roman"/>
          <w:sz w:val="28"/>
          <w:szCs w:val="28"/>
        </w:rPr>
      </w:pPr>
    </w:p>
    <w:p w:rsidR="00F953E2" w:rsidRDefault="00F953E2" w:rsidP="00F953E2">
      <w:pPr>
        <w:pStyle w:val="a6"/>
        <w:widowControl w:val="0"/>
        <w:jc w:val="left"/>
        <w:rPr>
          <w:rFonts w:ascii="Times New Roman" w:hAnsi="Times New Roman" w:cs="Times New Roman"/>
          <w:sz w:val="28"/>
          <w:szCs w:val="28"/>
        </w:rPr>
      </w:pPr>
    </w:p>
    <w:p w:rsidR="0043058F" w:rsidRPr="00A001DC" w:rsidRDefault="0043058F" w:rsidP="00F953E2">
      <w:pPr>
        <w:pStyle w:val="a6"/>
        <w:widowControl w:val="0"/>
      </w:pPr>
      <w:r w:rsidRPr="00A001DC">
        <w:lastRenderedPageBreak/>
        <w:t>Введение</w:t>
      </w:r>
    </w:p>
    <w:p w:rsidR="00A001DC" w:rsidRPr="00D869FD" w:rsidRDefault="00A001DC" w:rsidP="005B39CE">
      <w:pPr>
        <w:pStyle w:val="a8"/>
        <w:widowControl w:val="0"/>
      </w:pPr>
      <w:r w:rsidRPr="00D869FD">
        <w:t>Практика является важнейшим элементом профессиональной подготовки, позволяющим применить теоретические знания в условиях реальной управленческой деятельности органов местного самоуправления, сформировать практические навыки анализа и принятия решений, а также собрать необходимый эмпирический материал для выполнения индивидуального задания.</w:t>
      </w:r>
    </w:p>
    <w:p w:rsidR="00A001DC" w:rsidRPr="00D869FD" w:rsidRDefault="00A001DC" w:rsidP="007A4AF3">
      <w:pPr>
        <w:pStyle w:val="a8"/>
        <w:widowControl w:val="0"/>
      </w:pPr>
      <w:r>
        <w:t>Цель практики</w:t>
      </w:r>
      <w:r w:rsidR="007A4AF3">
        <w:t xml:space="preserve"> –</w:t>
      </w:r>
      <w:r w:rsidRPr="00D869FD">
        <w:t xml:space="preserve"> закрепление и углубление теоретических знаний в области государственного и муниципального управления, приобретение практических навыков организационно-управленческой работы, а также выполнение индивидуального задания по анализу деятельности администрации Чугуевского муниципального округа</w:t>
      </w:r>
      <w:r w:rsidR="007A4AF3">
        <w:t xml:space="preserve"> (далее по тексту ЧМО)</w:t>
      </w:r>
      <w:r w:rsidRPr="00D869FD">
        <w:t>.</w:t>
      </w:r>
    </w:p>
    <w:p w:rsidR="00A001DC" w:rsidRPr="00D869FD" w:rsidRDefault="00A001DC" w:rsidP="005B39CE">
      <w:pPr>
        <w:pStyle w:val="a8"/>
        <w:widowControl w:val="0"/>
      </w:pPr>
      <w:r w:rsidRPr="00D869FD">
        <w:t>Для достижения поставленной цели в ход</w:t>
      </w:r>
      <w:r>
        <w:t>е практики решались следующие задачи:</w:t>
      </w:r>
      <w:r w:rsidR="007A4AF3" w:rsidRPr="007A4AF3">
        <w:t xml:space="preserve"> </w:t>
      </w:r>
      <w:r w:rsidR="007A4AF3">
        <w:t>и</w:t>
      </w:r>
      <w:r w:rsidRPr="00D869FD">
        <w:t xml:space="preserve">зучить организационную структуру, основные направления деятельности и ресурсное обеспечение (финансовые, материальные и человеческие ресурсы) администрации </w:t>
      </w:r>
      <w:r w:rsidR="007A4AF3">
        <w:t>ЧМО; о</w:t>
      </w:r>
      <w:r w:rsidRPr="00D869FD">
        <w:t>знакомиться с нормативно-правовой базой, регламентирующей деятельность администрации, и порядком документооборота</w:t>
      </w:r>
      <w:r w:rsidR="007A4AF3">
        <w:t>; п</w:t>
      </w:r>
      <w:r w:rsidRPr="00D869FD">
        <w:t>ровести анализ внешней и внутренней среды организации с использованием метода SWOT-анализа, выявить во</w:t>
      </w:r>
      <w:r w:rsidR="007A4AF3">
        <w:t>зможные угрозы и риски развития; о</w:t>
      </w:r>
      <w:r w:rsidRPr="00D869FD">
        <w:t>ценить эффективность реализации инвестиционных проектов, осуществляемых на территории округа, с учетом изменения ключевых параметров: инвестиционных затрат, объема производства, текущих затрат, а также состояния дебиторской и кредиторской задолженности.</w:t>
      </w:r>
    </w:p>
    <w:p w:rsidR="00892E5B" w:rsidRDefault="00A001DC" w:rsidP="007A4AF3">
      <w:pPr>
        <w:pStyle w:val="a8"/>
        <w:widowControl w:val="0"/>
        <w:rPr>
          <w:lang w:eastAsia="ar-SA"/>
        </w:rPr>
      </w:pPr>
      <w:r>
        <w:t>Методы исследования</w:t>
      </w:r>
      <w:r w:rsidR="007A4AF3">
        <w:t xml:space="preserve"> –</w:t>
      </w:r>
      <w:r w:rsidRPr="00D869FD">
        <w:t xml:space="preserve"> общенаучные методы (анализ, синтез, сравнение, обобщение), метод SWOT-анализа для оценки внутренней и внешней среды, методы экономического и финансового анализа для оценки эффективности инвестиционных проектов, а также методы наблюдения, изучения документов и нормативно-правовых актов администрации. Комплексное применение указанных методов позволило всесторонне изучить деятельность администрации </w:t>
      </w:r>
      <w:r w:rsidR="007A4AF3">
        <w:t>ЧМО</w:t>
      </w:r>
      <w:r w:rsidRPr="00D869FD">
        <w:t>, выполнить индивидуальное задание и сформировать практические навыки, соответс</w:t>
      </w:r>
      <w:r w:rsidR="007A4AF3">
        <w:t>твующие формируемой компетенции.</w:t>
      </w:r>
      <w:r w:rsidR="00892E5B">
        <w:rPr>
          <w:lang w:eastAsia="ar-SA"/>
        </w:rPr>
        <w:br w:type="page"/>
      </w:r>
    </w:p>
    <w:p w:rsidR="007347CF" w:rsidRDefault="00892E5B" w:rsidP="00892E5B">
      <w:pPr>
        <w:pStyle w:val="a6"/>
        <w:ind w:firstLine="709"/>
        <w:jc w:val="left"/>
      </w:pPr>
      <w:r w:rsidRPr="00892E5B">
        <w:lastRenderedPageBreak/>
        <w:t>1 Общая характеристика организации</w:t>
      </w:r>
    </w:p>
    <w:p w:rsidR="00C972DA" w:rsidRPr="00C972DA" w:rsidRDefault="008F638C" w:rsidP="00880D58">
      <w:pPr>
        <w:pStyle w:val="a6"/>
        <w:suppressAutoHyphens/>
        <w:spacing w:after="120"/>
        <w:ind w:left="709"/>
        <w:jc w:val="left"/>
        <w:rPr>
          <w:sz w:val="28"/>
          <w:szCs w:val="28"/>
        </w:rPr>
      </w:pPr>
      <w:r>
        <w:rPr>
          <w:sz w:val="28"/>
          <w:szCs w:val="28"/>
        </w:rPr>
        <w:t>1.1</w:t>
      </w:r>
      <w:r w:rsidR="00C972DA" w:rsidRPr="00C972DA">
        <w:rPr>
          <w:sz w:val="28"/>
          <w:szCs w:val="28"/>
        </w:rPr>
        <w:t xml:space="preserve"> Краткая характеристика администрации Чугуевского </w:t>
      </w:r>
      <w:r w:rsidR="00880D58" w:rsidRPr="00880D58">
        <w:rPr>
          <w:sz w:val="28"/>
          <w:szCs w:val="28"/>
        </w:rPr>
        <w:t xml:space="preserve">   </w:t>
      </w:r>
      <w:r w:rsidR="00880D58" w:rsidRPr="00880D58">
        <w:rPr>
          <w:color w:val="FFFFFF" w:themeColor="background1"/>
          <w:sz w:val="28"/>
          <w:szCs w:val="28"/>
          <w:lang w:val="en-US"/>
        </w:rPr>
        <w:t>ffffff</w:t>
      </w:r>
      <w:r w:rsidR="00C972DA" w:rsidRPr="00C972DA">
        <w:rPr>
          <w:sz w:val="28"/>
          <w:szCs w:val="28"/>
        </w:rPr>
        <w:t>муниципального округа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>Администрация Чугуевского муниципального округа является исполнительно-распорядительным органом местного самоуправления, осуществляющим свою деятельность на территории Чугуевского муниципального округа Приморского края. Администрация расположена по адресу: Приморский край, с. Чугуе</w:t>
      </w:r>
      <w:r w:rsidR="00FE0AD3">
        <w:rPr>
          <w:sz w:val="28"/>
          <w:szCs w:val="28"/>
        </w:rPr>
        <w:t>вка, ул. 50 лет Октября, 193</w:t>
      </w:r>
      <w:r>
        <w:rPr>
          <w:sz w:val="28"/>
          <w:szCs w:val="28"/>
        </w:rPr>
        <w:t>.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>Правовую основу деятельности администрации составляют Конституция Российской Федерации</w:t>
      </w:r>
      <w:r w:rsidR="00A87139">
        <w:rPr>
          <w:sz w:val="28"/>
          <w:szCs w:val="28"/>
        </w:rPr>
        <w:t xml:space="preserve"> </w:t>
      </w:r>
      <w:r w:rsidR="00A87139" w:rsidRPr="00A86EEE">
        <w:rPr>
          <w:sz w:val="28"/>
          <w:szCs w:val="28"/>
        </w:rPr>
        <w:t>[1]</w:t>
      </w:r>
      <w:r w:rsidRPr="00746C74">
        <w:rPr>
          <w:sz w:val="28"/>
          <w:szCs w:val="28"/>
        </w:rPr>
        <w:t xml:space="preserve">, Федеральный закон </w:t>
      </w:r>
      <w:r w:rsidR="00965879" w:rsidRPr="00965879">
        <w:rPr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</w:t>
      </w:r>
      <w:r w:rsidR="00A87139">
        <w:rPr>
          <w:sz w:val="28"/>
          <w:szCs w:val="28"/>
        </w:rPr>
        <w:t xml:space="preserve"> [2</w:t>
      </w:r>
      <w:r w:rsidR="00A87139" w:rsidRPr="00A86EEE">
        <w:rPr>
          <w:sz w:val="28"/>
          <w:szCs w:val="28"/>
        </w:rPr>
        <w:t>]</w:t>
      </w:r>
      <w:r w:rsidRPr="00746C74">
        <w:rPr>
          <w:sz w:val="28"/>
          <w:szCs w:val="28"/>
        </w:rPr>
        <w:t>, Устав Чугуевского муниципального округа, а также иные нормативные правовые акты федерального, регионал</w:t>
      </w:r>
      <w:r>
        <w:rPr>
          <w:sz w:val="28"/>
          <w:szCs w:val="28"/>
        </w:rPr>
        <w:t>ьного и муниципального уровней</w:t>
      </w:r>
      <w:r w:rsidR="00A87139">
        <w:rPr>
          <w:sz w:val="28"/>
          <w:szCs w:val="28"/>
        </w:rPr>
        <w:t xml:space="preserve"> [3</w:t>
      </w:r>
      <w:r w:rsidR="00A87139" w:rsidRPr="00A86EEE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C972DA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>Основными целями деятельности администрации являются: обеспечение жизнедеятельности населения округа, создание условий для социально-экономического развития территории, реализация полномочий по решению вопросов местного значения, эффективное управление муниципальной собствен</w:t>
      </w:r>
      <w:r>
        <w:rPr>
          <w:sz w:val="28"/>
          <w:szCs w:val="28"/>
        </w:rPr>
        <w:t>ностью и бюджетными средствами</w:t>
      </w:r>
      <w:r w:rsidR="00906950" w:rsidRPr="00906950">
        <w:rPr>
          <w:sz w:val="28"/>
          <w:szCs w:val="28"/>
        </w:rPr>
        <w:t xml:space="preserve"> [3]</w:t>
      </w:r>
      <w:r>
        <w:rPr>
          <w:sz w:val="28"/>
          <w:szCs w:val="28"/>
        </w:rPr>
        <w:t>.</w:t>
      </w:r>
    </w:p>
    <w:p w:rsidR="00C972DA" w:rsidRPr="0091486C" w:rsidRDefault="0091486C" w:rsidP="00906950">
      <w:pPr>
        <w:widowControl w:val="0"/>
        <w:spacing w:before="240" w:after="12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1.2</w:t>
      </w:r>
      <w:r w:rsidR="00C972DA" w:rsidRPr="0091486C">
        <w:rPr>
          <w:rFonts w:ascii="Arial" w:hAnsi="Arial" w:cs="Arial"/>
          <w:sz w:val="28"/>
          <w:szCs w:val="28"/>
        </w:rPr>
        <w:t xml:space="preserve"> Организационно-управленческая структура организации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>Администрация Чугуевского муниципального округа построена по линейно-функциональному типу, что позволяет обеспечить сочетание единоначалия с функциональной специализацией структурных подразделений. Структура администрации утверждена решением Думы Чугуевского муниципального округа и включа</w:t>
      </w:r>
      <w:r>
        <w:rPr>
          <w:sz w:val="28"/>
          <w:szCs w:val="28"/>
        </w:rPr>
        <w:t>ет следующие основные элементы: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6EB3">
        <w:rPr>
          <w:sz w:val="28"/>
          <w:szCs w:val="28"/>
        </w:rPr>
        <w:t>г</w:t>
      </w:r>
      <w:r w:rsidRPr="00746C74">
        <w:rPr>
          <w:sz w:val="28"/>
          <w:szCs w:val="28"/>
        </w:rPr>
        <w:t>лава Чуг</w:t>
      </w:r>
      <w:r>
        <w:rPr>
          <w:sz w:val="28"/>
          <w:szCs w:val="28"/>
        </w:rPr>
        <w:t>уевского муниципального округа</w:t>
      </w:r>
      <w:r w:rsidRPr="00746C74">
        <w:rPr>
          <w:sz w:val="28"/>
          <w:szCs w:val="28"/>
        </w:rPr>
        <w:t xml:space="preserve"> — высшее должностное лицо, осуществляющее общее руководство деятельностью администрации и назначаемое на должность по результатам выборов.</w:t>
      </w:r>
      <w:r w:rsidR="0091486C">
        <w:rPr>
          <w:sz w:val="28"/>
          <w:szCs w:val="28"/>
        </w:rPr>
        <w:t xml:space="preserve"> С 25.10.2024 года действующим главой является Щенёв Иван Владимирович</w:t>
      </w:r>
      <w:r w:rsidR="003E6EB3">
        <w:rPr>
          <w:sz w:val="28"/>
          <w:szCs w:val="28"/>
        </w:rPr>
        <w:t>;</w:t>
      </w:r>
    </w:p>
    <w:p w:rsidR="00C972DA" w:rsidRPr="00746C74" w:rsidRDefault="003E6EB3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="00C972DA">
        <w:rPr>
          <w:sz w:val="28"/>
          <w:szCs w:val="28"/>
        </w:rPr>
        <w:t>ервый заместитель главы</w:t>
      </w:r>
      <w:r w:rsidR="00C972DA" w:rsidRPr="00746C74">
        <w:rPr>
          <w:sz w:val="28"/>
          <w:szCs w:val="28"/>
        </w:rPr>
        <w:t xml:space="preserve"> — курирует вопросы экономического развития, инвестиционной деятельности и финансов.</w:t>
      </w:r>
      <w:r w:rsidR="0091486C">
        <w:rPr>
          <w:sz w:val="28"/>
          <w:szCs w:val="28"/>
        </w:rPr>
        <w:t xml:space="preserve"> С 2019 года первым заместителем является Кузьменчук Наталья Владимировна</w:t>
      </w:r>
      <w:r>
        <w:rPr>
          <w:sz w:val="28"/>
          <w:szCs w:val="28"/>
        </w:rPr>
        <w:t>;</w:t>
      </w:r>
    </w:p>
    <w:p w:rsidR="0091486C" w:rsidRDefault="003E6EB3" w:rsidP="0091486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C972DA">
        <w:rPr>
          <w:sz w:val="28"/>
          <w:szCs w:val="28"/>
        </w:rPr>
        <w:t>аместители главы</w:t>
      </w:r>
      <w:r w:rsidR="00C972DA" w:rsidRPr="00746C74">
        <w:rPr>
          <w:sz w:val="28"/>
          <w:szCs w:val="28"/>
        </w:rPr>
        <w:t xml:space="preserve"> — курируют отдельные сферы деятельности (социальная политика, ЖКХ, строительство, сельское хозяйство, организационная работа).</w:t>
      </w:r>
    </w:p>
    <w:p w:rsidR="00C972DA" w:rsidRPr="00746C74" w:rsidRDefault="00C972DA" w:rsidP="0091486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6C74">
        <w:rPr>
          <w:sz w:val="28"/>
          <w:szCs w:val="28"/>
        </w:rPr>
        <w:t>Структурные подра</w:t>
      </w:r>
      <w:r>
        <w:rPr>
          <w:sz w:val="28"/>
          <w:szCs w:val="28"/>
        </w:rPr>
        <w:t>зделения (отделы и управления)</w:t>
      </w:r>
      <w:r w:rsidRPr="00746C74">
        <w:rPr>
          <w:sz w:val="28"/>
          <w:szCs w:val="28"/>
        </w:rPr>
        <w:t>: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 xml:space="preserve">  - Финансовое управление;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 xml:space="preserve">  - Отдел экономического развития и инвестиций;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 xml:space="preserve">  - Управление образования;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 xml:space="preserve">  - Управление культуры и спорта;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 xml:space="preserve">  - Отдел ЖКХ и благоустройства;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 xml:space="preserve">  - Отдел сельского хозяйства и природопользования;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 xml:space="preserve">  - Юридический отдел;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 xml:space="preserve">  - Организационный отдел (делопроизводство, кадры, муниципальная служба);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 xml:space="preserve">  - Отдел по делам гражданской об</w:t>
      </w:r>
      <w:r>
        <w:rPr>
          <w:sz w:val="28"/>
          <w:szCs w:val="28"/>
        </w:rPr>
        <w:t>ороны и чрезвычайным ситуациям.</w:t>
      </w:r>
    </w:p>
    <w:p w:rsidR="009F6065" w:rsidRPr="00035A7D" w:rsidRDefault="00C972DA" w:rsidP="000B3B4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 xml:space="preserve">Возглавляет структурные подразделения начальник соответствующего отдела или управления, который подчиняется непосредственно одному из заместителей главы или главе администрации. Общая численность муниципальных служащих и технических работников администрации составляет около </w:t>
      </w:r>
      <w:r w:rsidR="0091486C">
        <w:rPr>
          <w:sz w:val="28"/>
          <w:szCs w:val="28"/>
        </w:rPr>
        <w:t>110</w:t>
      </w:r>
      <w:r w:rsidRPr="00746C74">
        <w:rPr>
          <w:sz w:val="28"/>
          <w:szCs w:val="28"/>
        </w:rPr>
        <w:t xml:space="preserve"> человек</w:t>
      </w:r>
      <w:r w:rsidR="009F6065">
        <w:rPr>
          <w:sz w:val="28"/>
          <w:szCs w:val="28"/>
        </w:rPr>
        <w:t xml:space="preserve"> по данным за 1 квартал 2026 года</w:t>
      </w:r>
      <w:r w:rsidR="00035A7D">
        <w:rPr>
          <w:sz w:val="28"/>
          <w:szCs w:val="28"/>
        </w:rPr>
        <w:t xml:space="preserve"> [</w:t>
      </w:r>
      <w:r w:rsidR="00035A7D" w:rsidRPr="00035A7D">
        <w:rPr>
          <w:sz w:val="28"/>
          <w:szCs w:val="28"/>
        </w:rPr>
        <w:t>7].</w:t>
      </w:r>
    </w:p>
    <w:p w:rsidR="00937667" w:rsidRPr="00240B07" w:rsidRDefault="000B3B4C" w:rsidP="009376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А на рисунке А.</w:t>
      </w:r>
      <w:r w:rsidR="00035A7D">
        <w:rPr>
          <w:sz w:val="28"/>
          <w:szCs w:val="28"/>
        </w:rPr>
        <w:t xml:space="preserve">1 </w:t>
      </w:r>
      <w:r w:rsidR="00035A7D" w:rsidRPr="00240B07">
        <w:rPr>
          <w:sz w:val="28"/>
          <w:szCs w:val="28"/>
        </w:rPr>
        <w:t>представлена</w:t>
      </w:r>
      <w:r w:rsidR="00937667" w:rsidRPr="00240B07">
        <w:rPr>
          <w:sz w:val="28"/>
          <w:szCs w:val="28"/>
        </w:rPr>
        <w:t xml:space="preserve"> иерархическая структура органов местного самоуправления Чугуевского муниципального округа. Возглавляет структуру Глава округа, которому непосредственно подчиняется помощник. В систему также входит Дума как представительный орган.</w:t>
      </w:r>
    </w:p>
    <w:p w:rsidR="00937667" w:rsidRPr="00240B07" w:rsidRDefault="00937667" w:rsidP="00937667">
      <w:pPr>
        <w:spacing w:line="360" w:lineRule="auto"/>
        <w:ind w:firstLine="709"/>
        <w:jc w:val="both"/>
        <w:rPr>
          <w:sz w:val="28"/>
          <w:szCs w:val="28"/>
        </w:rPr>
      </w:pPr>
      <w:r w:rsidRPr="00240B07">
        <w:rPr>
          <w:sz w:val="28"/>
          <w:szCs w:val="28"/>
        </w:rPr>
        <w:t>Исполнительным органом является Администрация, в составе которой выделены следу</w:t>
      </w:r>
      <w:r>
        <w:rPr>
          <w:sz w:val="28"/>
          <w:szCs w:val="28"/>
        </w:rPr>
        <w:t>ющие ключевые должностные лица:</w:t>
      </w:r>
    </w:p>
    <w:p w:rsidR="00937667" w:rsidRPr="00240B07" w:rsidRDefault="00937667" w:rsidP="009376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0B07">
        <w:rPr>
          <w:sz w:val="28"/>
          <w:szCs w:val="28"/>
        </w:rPr>
        <w:t>первый з</w:t>
      </w:r>
      <w:r>
        <w:rPr>
          <w:sz w:val="28"/>
          <w:szCs w:val="28"/>
        </w:rPr>
        <w:t>аместитель главы администрации;</w:t>
      </w:r>
    </w:p>
    <w:p w:rsidR="00937667" w:rsidRPr="00240B07" w:rsidRDefault="00937667" w:rsidP="009376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0B07">
        <w:rPr>
          <w:sz w:val="28"/>
          <w:szCs w:val="28"/>
        </w:rPr>
        <w:t>заместитель главы – на</w:t>
      </w:r>
      <w:r>
        <w:rPr>
          <w:sz w:val="28"/>
          <w:szCs w:val="28"/>
        </w:rPr>
        <w:t>чальник финансового управления;</w:t>
      </w:r>
    </w:p>
    <w:p w:rsidR="00937667" w:rsidRPr="00240B07" w:rsidRDefault="00937667" w:rsidP="009376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40B07">
        <w:rPr>
          <w:sz w:val="28"/>
          <w:szCs w:val="28"/>
        </w:rPr>
        <w:t>заместитель главы – начальник управления социально-культурной деятельности</w:t>
      </w:r>
      <w:r>
        <w:rPr>
          <w:sz w:val="28"/>
          <w:szCs w:val="28"/>
        </w:rPr>
        <w:t>.</w:t>
      </w:r>
    </w:p>
    <w:p w:rsidR="00937667" w:rsidRPr="00240B07" w:rsidRDefault="00937667" w:rsidP="00937667">
      <w:pPr>
        <w:spacing w:line="360" w:lineRule="auto"/>
        <w:ind w:firstLine="709"/>
        <w:jc w:val="both"/>
        <w:rPr>
          <w:sz w:val="28"/>
          <w:szCs w:val="28"/>
        </w:rPr>
      </w:pPr>
      <w:r w:rsidRPr="00240B07">
        <w:rPr>
          <w:sz w:val="28"/>
          <w:szCs w:val="28"/>
        </w:rPr>
        <w:t>В ведении управления социально-культурной деятельности находятся несколько структур</w:t>
      </w:r>
      <w:r>
        <w:rPr>
          <w:sz w:val="28"/>
          <w:szCs w:val="28"/>
        </w:rPr>
        <w:t>ных подразделений, в том числе:</w:t>
      </w:r>
    </w:p>
    <w:p w:rsidR="00937667" w:rsidRPr="00240B07" w:rsidRDefault="00937667" w:rsidP="009376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0B07">
        <w:rPr>
          <w:sz w:val="28"/>
          <w:szCs w:val="28"/>
        </w:rPr>
        <w:t>отдел по делам образования</w:t>
      </w:r>
      <w:r>
        <w:rPr>
          <w:sz w:val="28"/>
          <w:szCs w:val="28"/>
        </w:rPr>
        <w:t>;</w:t>
      </w:r>
    </w:p>
    <w:p w:rsidR="00937667" w:rsidRPr="00240B07" w:rsidRDefault="00937667" w:rsidP="009376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отдел организационной работы;</w:t>
      </w:r>
    </w:p>
    <w:p w:rsidR="00937667" w:rsidRPr="00240B07" w:rsidRDefault="00937667" w:rsidP="009376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отдел по делам службы и кадров;</w:t>
      </w:r>
    </w:p>
    <w:p w:rsidR="00937667" w:rsidRPr="00240B07" w:rsidRDefault="00937667" w:rsidP="009376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0B07">
        <w:rPr>
          <w:sz w:val="28"/>
          <w:szCs w:val="28"/>
        </w:rPr>
        <w:t>отдел по делам несов</w:t>
      </w:r>
      <w:r>
        <w:rPr>
          <w:sz w:val="28"/>
          <w:szCs w:val="28"/>
        </w:rPr>
        <w:t>ершеннолетних и защите их прав;</w:t>
      </w:r>
    </w:p>
    <w:p w:rsidR="00937667" w:rsidRDefault="00937667" w:rsidP="009376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0B07">
        <w:rPr>
          <w:sz w:val="28"/>
          <w:szCs w:val="28"/>
        </w:rPr>
        <w:t>отдел опеки и попечительства.</w:t>
      </w:r>
    </w:p>
    <w:p w:rsidR="00035A7D" w:rsidRDefault="00035A7D" w:rsidP="00937667">
      <w:pPr>
        <w:spacing w:line="360" w:lineRule="auto"/>
        <w:ind w:firstLine="709"/>
        <w:jc w:val="both"/>
        <w:rPr>
          <w:sz w:val="28"/>
          <w:szCs w:val="28"/>
        </w:rPr>
      </w:pPr>
      <w:r w:rsidRPr="00035A7D">
        <w:rPr>
          <w:sz w:val="28"/>
          <w:szCs w:val="28"/>
        </w:rPr>
        <w:t>Организационно-управленческая структура администрации обеспечивает чёткое распределение полномочий, сочетание единоначалия и функциональной специализации. Наличие специализированных отделов и управлений позволяет эффективно реализовывать полномочия в соответствии с федеральным и муниципальным законодательством. Общая численно</w:t>
      </w:r>
      <w:r w:rsidR="00156C6A">
        <w:rPr>
          <w:sz w:val="28"/>
          <w:szCs w:val="28"/>
        </w:rPr>
        <w:t>сть сотрудников составляет более 10</w:t>
      </w:r>
      <w:r w:rsidRPr="00035A7D">
        <w:rPr>
          <w:sz w:val="28"/>
          <w:szCs w:val="28"/>
        </w:rPr>
        <w:t>0 человек, что соответствует масштабу задач муниципального округа.</w:t>
      </w:r>
    </w:p>
    <w:p w:rsidR="00906950" w:rsidRPr="00906950" w:rsidRDefault="00906950" w:rsidP="00906950">
      <w:pPr>
        <w:spacing w:line="360" w:lineRule="auto"/>
        <w:ind w:firstLine="709"/>
        <w:jc w:val="both"/>
        <w:rPr>
          <w:sz w:val="28"/>
          <w:szCs w:val="28"/>
        </w:rPr>
      </w:pPr>
      <w:r w:rsidRPr="00906950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ЧМО </w:t>
      </w:r>
      <w:r w:rsidRPr="00906950">
        <w:rPr>
          <w:sz w:val="28"/>
          <w:szCs w:val="28"/>
        </w:rPr>
        <w:t>построена по линейно-функциональному типу, что обусловлено необходимостью четкого распределения полномочий в условиях ограниченных финансовых и кадровых ресурсов.</w:t>
      </w:r>
    </w:p>
    <w:p w:rsidR="00906950" w:rsidRPr="00906950" w:rsidRDefault="00906950" w:rsidP="00906950">
      <w:pPr>
        <w:spacing w:line="360" w:lineRule="auto"/>
        <w:ind w:firstLine="709"/>
        <w:jc w:val="both"/>
        <w:rPr>
          <w:sz w:val="28"/>
          <w:szCs w:val="28"/>
        </w:rPr>
      </w:pPr>
      <w:r w:rsidRPr="00906950">
        <w:rPr>
          <w:sz w:val="28"/>
          <w:szCs w:val="28"/>
        </w:rPr>
        <w:t>Преимущества сложившейся структуры для администрации</w:t>
      </w:r>
      <w:r>
        <w:rPr>
          <w:sz w:val="28"/>
          <w:szCs w:val="28"/>
        </w:rPr>
        <w:t>.</w:t>
      </w:r>
    </w:p>
    <w:p w:rsidR="00906950" w:rsidRPr="00906950" w:rsidRDefault="00906950" w:rsidP="009069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Pr="00906950">
        <w:rPr>
          <w:sz w:val="28"/>
          <w:szCs w:val="28"/>
        </w:rPr>
        <w:t>Четкая вертикаль власти — обеспечивает оперативное доведение решений главы округа до каждого структурного подразделения, что критически важно при реализации муниципальных программ с жесткими сроками (более 90% расходов бюджета программно-целевые).</w:t>
      </w:r>
    </w:p>
    <w:p w:rsidR="00906950" w:rsidRPr="00906950" w:rsidRDefault="00906950" w:rsidP="009069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Pr="00906950">
        <w:rPr>
          <w:sz w:val="28"/>
          <w:szCs w:val="28"/>
        </w:rPr>
        <w:t>Функциональная спе</w:t>
      </w:r>
      <w:r>
        <w:rPr>
          <w:sz w:val="28"/>
          <w:szCs w:val="28"/>
        </w:rPr>
        <w:t xml:space="preserve">циализация — наличие профильных </w:t>
      </w:r>
      <w:r w:rsidRPr="00906950">
        <w:rPr>
          <w:sz w:val="28"/>
          <w:szCs w:val="28"/>
        </w:rPr>
        <w:t>позволяет углубленно прорабатывать вопросы в каждой сфере, что особенно важно для образования, на которое приходится более 55% расходов бюджета.</w:t>
      </w:r>
    </w:p>
    <w:p w:rsidR="00906950" w:rsidRPr="00906950" w:rsidRDefault="00906950" w:rsidP="009069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Pr="00906950">
        <w:rPr>
          <w:sz w:val="28"/>
          <w:szCs w:val="28"/>
        </w:rPr>
        <w:t>Управляемость — при численности 110 человек структура с 5-6 прямыми подчиненными у главы и его заместителей сохраняет баланс между контролем и оперативностью.</w:t>
      </w:r>
    </w:p>
    <w:p w:rsidR="00906950" w:rsidRPr="00906950" w:rsidRDefault="00906950" w:rsidP="00906950">
      <w:pPr>
        <w:spacing w:line="360" w:lineRule="auto"/>
        <w:ind w:firstLine="709"/>
        <w:jc w:val="both"/>
        <w:rPr>
          <w:sz w:val="28"/>
          <w:szCs w:val="28"/>
        </w:rPr>
      </w:pPr>
      <w:r w:rsidRPr="00906950">
        <w:rPr>
          <w:sz w:val="28"/>
          <w:szCs w:val="28"/>
        </w:rPr>
        <w:t xml:space="preserve">Недостатки сложившейся </w:t>
      </w:r>
      <w:r>
        <w:rPr>
          <w:sz w:val="28"/>
          <w:szCs w:val="28"/>
        </w:rPr>
        <w:t>структуры для администрации ЧМО.</w:t>
      </w:r>
    </w:p>
    <w:p w:rsidR="00906950" w:rsidRPr="00906950" w:rsidRDefault="00906950" w:rsidP="009069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 </w:t>
      </w:r>
      <w:r w:rsidRPr="00906950">
        <w:rPr>
          <w:sz w:val="28"/>
          <w:szCs w:val="28"/>
        </w:rPr>
        <w:t>Низкая гибкость при принятии решений — длительные процедуры согласования (до 2-3 недель) между отделами замедляют реализацию инвестиционных проектов, что снижает инвестиционную привлекательность округа в условиях конкуренции с соседними муниципалитетами.</w:t>
      </w:r>
    </w:p>
    <w:p w:rsidR="00906950" w:rsidRPr="00906950" w:rsidRDefault="00906950" w:rsidP="009069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Pr="00906950">
        <w:rPr>
          <w:sz w:val="28"/>
          <w:szCs w:val="28"/>
        </w:rPr>
        <w:t>Высокая нагрузка на первых лиц — первый заместитель главы курирует одновременно экономическое развитие, инвестиционную деятельность и финансовый блок, что в условиях дефицита бюджета (69,5 млн руб. в 2025 году) приводит к задержкам в принятии стратегических решений.</w:t>
      </w:r>
    </w:p>
    <w:p w:rsidR="00906950" w:rsidRPr="00906950" w:rsidRDefault="00906950" w:rsidP="009069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Pr="00906950">
        <w:rPr>
          <w:sz w:val="28"/>
          <w:szCs w:val="28"/>
        </w:rPr>
        <w:t>Слабая горизонтальная координация — между Отделом экономического развития (отвечает за инвестиции) и Отделом ЖКХ (отвечает за инфраструктуру) отсутствуют регулярные рабочие группы, что создает риски при реализации комплексных проектов (например, строительство очистных сооружений требует одновременного решения земельных, финансовых и технических вопросов).</w:t>
      </w:r>
    </w:p>
    <w:p w:rsidR="00906950" w:rsidRDefault="00906950" w:rsidP="009069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Pr="00906950">
        <w:rPr>
          <w:sz w:val="28"/>
          <w:szCs w:val="28"/>
        </w:rPr>
        <w:t>Отсутствие отдельного структурного подразделения по цифровизации — при том, что уровень цифровизации муниципальных услуг отстает от городских территорий, это направление «размыто» между организационным отделом и отделом экономики, что снижает эффективность внедрения электронных сервисов.</w:t>
      </w:r>
    </w:p>
    <w:p w:rsidR="00C972DA" w:rsidRPr="009F6065" w:rsidRDefault="009F6065" w:rsidP="00906950">
      <w:pPr>
        <w:widowControl w:val="0"/>
        <w:spacing w:before="240" w:after="12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1.3</w:t>
      </w:r>
      <w:r w:rsidR="00C972DA" w:rsidRPr="009F6065">
        <w:rPr>
          <w:rFonts w:ascii="Arial" w:hAnsi="Arial" w:cs="Arial"/>
          <w:sz w:val="28"/>
          <w:szCs w:val="28"/>
        </w:rPr>
        <w:t xml:space="preserve"> Виды деятельности администрации</w:t>
      </w:r>
    </w:p>
    <w:p w:rsidR="00C972DA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>В соответствии с полномочиями, закреп</w:t>
      </w:r>
      <w:r w:rsidR="00965879">
        <w:rPr>
          <w:sz w:val="28"/>
          <w:szCs w:val="28"/>
        </w:rPr>
        <w:t>лёнными Федеральным законом № 33</w:t>
      </w:r>
      <w:r w:rsidRPr="00746C74">
        <w:rPr>
          <w:sz w:val="28"/>
          <w:szCs w:val="28"/>
        </w:rPr>
        <w:t>-ФЗ и Уставом округа, администрация осуществляет следую</w:t>
      </w:r>
      <w:r w:rsidR="003E6EB3">
        <w:rPr>
          <w:sz w:val="28"/>
          <w:szCs w:val="28"/>
        </w:rPr>
        <w:t xml:space="preserve">щие основные виды </w:t>
      </w:r>
      <w:r w:rsidR="00937667">
        <w:rPr>
          <w:sz w:val="28"/>
          <w:szCs w:val="28"/>
        </w:rPr>
        <w:t>деятельности,</w:t>
      </w:r>
      <w:r w:rsidR="003E6EB3">
        <w:rPr>
          <w:sz w:val="28"/>
          <w:szCs w:val="28"/>
        </w:rPr>
        <w:t xml:space="preserve"> представленные в таблице 1.1.</w:t>
      </w:r>
    </w:p>
    <w:p w:rsidR="003E6EB3" w:rsidRDefault="003E6EB3" w:rsidP="00E7556B">
      <w:pPr>
        <w:widowControl w:val="0"/>
        <w:spacing w:before="240" w:after="120" w:line="360" w:lineRule="auto"/>
        <w:rPr>
          <w:sz w:val="28"/>
          <w:szCs w:val="28"/>
        </w:rPr>
      </w:pPr>
      <w:r>
        <w:rPr>
          <w:sz w:val="28"/>
          <w:szCs w:val="28"/>
        </w:rPr>
        <w:t>Таблица 1.1 – Основные виды деятельности администрации Чугуевского округа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4"/>
        <w:gridCol w:w="4897"/>
      </w:tblGrid>
      <w:tr w:rsidR="00E7556B" w:rsidTr="00E7556B">
        <w:trPr>
          <w:trHeight w:val="454"/>
        </w:trPr>
        <w:tc>
          <w:tcPr>
            <w:tcW w:w="3964" w:type="dxa"/>
          </w:tcPr>
          <w:p w:rsidR="00E7556B" w:rsidRPr="00E7556B" w:rsidRDefault="00E7556B" w:rsidP="000B3B4C">
            <w:pPr>
              <w:jc w:val="center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Направление деятельности</w:t>
            </w:r>
          </w:p>
        </w:tc>
        <w:tc>
          <w:tcPr>
            <w:tcW w:w="4897" w:type="dxa"/>
          </w:tcPr>
          <w:p w:rsidR="00E7556B" w:rsidRPr="00E7556B" w:rsidRDefault="00E7556B" w:rsidP="000B3B4C">
            <w:pPr>
              <w:jc w:val="center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Основные функции</w:t>
            </w:r>
          </w:p>
        </w:tc>
      </w:tr>
      <w:tr w:rsidR="00E7556B" w:rsidTr="00E7556B">
        <w:trPr>
          <w:trHeight w:val="454"/>
        </w:trPr>
        <w:tc>
          <w:tcPr>
            <w:tcW w:w="3964" w:type="dxa"/>
          </w:tcPr>
          <w:p w:rsidR="00E7556B" w:rsidRPr="00E7556B" w:rsidRDefault="00E7556B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Бюджетно-финансовая деятельность</w:t>
            </w:r>
          </w:p>
        </w:tc>
        <w:tc>
          <w:tcPr>
            <w:tcW w:w="4897" w:type="dxa"/>
          </w:tcPr>
          <w:p w:rsidR="00E7556B" w:rsidRPr="00E7556B" w:rsidRDefault="00E7556B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Исполнение местного бюджета, управление муниципальным долгом, финансовый контроль, межбюджетные отношения</w:t>
            </w:r>
          </w:p>
        </w:tc>
      </w:tr>
      <w:tr w:rsidR="00E7556B" w:rsidTr="00E7556B">
        <w:trPr>
          <w:trHeight w:val="454"/>
        </w:trPr>
        <w:tc>
          <w:tcPr>
            <w:tcW w:w="3964" w:type="dxa"/>
          </w:tcPr>
          <w:p w:rsidR="00E7556B" w:rsidRPr="00E7556B" w:rsidRDefault="00E7556B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4897" w:type="dxa"/>
          </w:tcPr>
          <w:p w:rsidR="00E7556B" w:rsidRPr="00E7556B" w:rsidRDefault="00E7556B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Организация образования, культуры, физической культуры и спорта, молодёжной политики, социальная поддержка отдельных категорий граждан</w:t>
            </w:r>
          </w:p>
        </w:tc>
      </w:tr>
      <w:tr w:rsidR="00E7556B" w:rsidTr="00E7556B">
        <w:trPr>
          <w:trHeight w:val="454"/>
        </w:trPr>
        <w:tc>
          <w:tcPr>
            <w:tcW w:w="3964" w:type="dxa"/>
          </w:tcPr>
          <w:p w:rsidR="00E7556B" w:rsidRPr="00E7556B" w:rsidRDefault="00E7556B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Жилищно-коммунальное хозяйство и благоустройство</w:t>
            </w:r>
          </w:p>
        </w:tc>
        <w:tc>
          <w:tcPr>
            <w:tcW w:w="4897" w:type="dxa"/>
          </w:tcPr>
          <w:p w:rsidR="00E7556B" w:rsidRPr="00E7556B" w:rsidRDefault="00E7556B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Организация водоснабжения, водоотведения, теплоснабжения, уличного освещения, благоустройства территории, обращения с ТКО</w:t>
            </w:r>
          </w:p>
        </w:tc>
      </w:tr>
    </w:tbl>
    <w:p w:rsidR="000E2F93" w:rsidRPr="000E2F93" w:rsidRDefault="000E2F93" w:rsidP="000E2F93">
      <w:pPr>
        <w:spacing w:line="360" w:lineRule="auto"/>
        <w:rPr>
          <w:sz w:val="28"/>
          <w:szCs w:val="28"/>
        </w:rPr>
      </w:pPr>
      <w:r w:rsidRPr="000E2F93">
        <w:rPr>
          <w:sz w:val="28"/>
          <w:szCs w:val="28"/>
        </w:rPr>
        <w:lastRenderedPageBreak/>
        <w:t>Продолжение таблицы 1.1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4"/>
        <w:gridCol w:w="4897"/>
      </w:tblGrid>
      <w:tr w:rsidR="00880D58" w:rsidTr="00E7556B">
        <w:trPr>
          <w:trHeight w:val="454"/>
        </w:trPr>
        <w:tc>
          <w:tcPr>
            <w:tcW w:w="3964" w:type="dxa"/>
          </w:tcPr>
          <w:p w:rsidR="00880D58" w:rsidRPr="00E7556B" w:rsidRDefault="00880D58" w:rsidP="00880D58">
            <w:pPr>
              <w:jc w:val="center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Направление деятельности</w:t>
            </w:r>
          </w:p>
        </w:tc>
        <w:tc>
          <w:tcPr>
            <w:tcW w:w="4897" w:type="dxa"/>
          </w:tcPr>
          <w:p w:rsidR="00880D58" w:rsidRPr="00E7556B" w:rsidRDefault="00880D58" w:rsidP="00880D58">
            <w:pPr>
              <w:jc w:val="center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Основные функции</w:t>
            </w:r>
          </w:p>
        </w:tc>
      </w:tr>
      <w:tr w:rsidR="00E7556B" w:rsidTr="00E7556B">
        <w:trPr>
          <w:trHeight w:val="454"/>
        </w:trPr>
        <w:tc>
          <w:tcPr>
            <w:tcW w:w="3964" w:type="dxa"/>
          </w:tcPr>
          <w:p w:rsidR="00E7556B" w:rsidRPr="00E7556B" w:rsidRDefault="00E7556B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Экономическое развитие и инвестиционная деятельность</w:t>
            </w:r>
          </w:p>
        </w:tc>
        <w:tc>
          <w:tcPr>
            <w:tcW w:w="4897" w:type="dxa"/>
          </w:tcPr>
          <w:p w:rsidR="00E7556B" w:rsidRPr="00E7556B" w:rsidRDefault="00E7556B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Создание условий для развития предпринимательства, привлечение инвестиций, разработка и реализация муниципальных программ</w:t>
            </w:r>
          </w:p>
        </w:tc>
      </w:tr>
      <w:tr w:rsidR="00906950" w:rsidTr="00E7556B">
        <w:trPr>
          <w:trHeight w:val="454"/>
        </w:trPr>
        <w:tc>
          <w:tcPr>
            <w:tcW w:w="3964" w:type="dxa"/>
          </w:tcPr>
          <w:p w:rsidR="00906950" w:rsidRPr="00E7556B" w:rsidRDefault="00906950" w:rsidP="0090695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Управление муниципальной собственностью</w:t>
            </w:r>
          </w:p>
        </w:tc>
        <w:tc>
          <w:tcPr>
            <w:tcW w:w="4897" w:type="dxa"/>
          </w:tcPr>
          <w:p w:rsidR="00906950" w:rsidRPr="00E7556B" w:rsidRDefault="00906950" w:rsidP="0090695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Учёт и распоряжение муниципальным имуществом, управление земельными участками, арендные отношения</w:t>
            </w:r>
          </w:p>
        </w:tc>
      </w:tr>
      <w:tr w:rsidR="00906950" w:rsidTr="00E7556B">
        <w:trPr>
          <w:trHeight w:val="454"/>
        </w:trPr>
        <w:tc>
          <w:tcPr>
            <w:tcW w:w="3964" w:type="dxa"/>
          </w:tcPr>
          <w:p w:rsidR="00906950" w:rsidRPr="00E7556B" w:rsidRDefault="00906950" w:rsidP="0090695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Сельское хозяйство и природопользование</w:t>
            </w:r>
          </w:p>
        </w:tc>
        <w:tc>
          <w:tcPr>
            <w:tcW w:w="4897" w:type="dxa"/>
          </w:tcPr>
          <w:p w:rsidR="00906950" w:rsidRPr="00E7556B" w:rsidRDefault="00906950" w:rsidP="0090695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Поддержка сельхозпроизводителей, охрана окружающей среды, регулирование использования природных ресурсов</w:t>
            </w:r>
          </w:p>
        </w:tc>
      </w:tr>
      <w:tr w:rsidR="00906950" w:rsidTr="00E7556B">
        <w:trPr>
          <w:trHeight w:val="454"/>
        </w:trPr>
        <w:tc>
          <w:tcPr>
            <w:tcW w:w="3964" w:type="dxa"/>
          </w:tcPr>
          <w:p w:rsidR="00906950" w:rsidRPr="00E7556B" w:rsidRDefault="00906950" w:rsidP="0090695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Организационно-правовая деятельность</w:t>
            </w:r>
          </w:p>
        </w:tc>
        <w:tc>
          <w:tcPr>
            <w:tcW w:w="4897" w:type="dxa"/>
          </w:tcPr>
          <w:p w:rsidR="00906950" w:rsidRPr="00E7556B" w:rsidRDefault="00906950" w:rsidP="0090695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7556B">
              <w:rPr>
                <w:rFonts w:ascii="Times New Roman" w:hAnsi="Times New Roman" w:cs="Times New Roman"/>
              </w:rPr>
              <w:t>Документооборот, кадровая работа, правовое обеспечение деятельности администрации, взаимодействие с Думой округа</w:t>
            </w:r>
          </w:p>
        </w:tc>
      </w:tr>
    </w:tbl>
    <w:p w:rsidR="00035A7D" w:rsidRPr="00035A7D" w:rsidRDefault="00035A7D" w:rsidP="000B3B4C">
      <w:pPr>
        <w:widowControl w:val="0"/>
        <w:spacing w:before="240" w:after="120" w:line="360" w:lineRule="auto"/>
        <w:ind w:firstLine="709"/>
        <w:jc w:val="both"/>
        <w:rPr>
          <w:sz w:val="28"/>
          <w:szCs w:val="28"/>
        </w:rPr>
      </w:pPr>
      <w:r w:rsidRPr="00035A7D">
        <w:rPr>
          <w:sz w:val="28"/>
          <w:szCs w:val="28"/>
        </w:rPr>
        <w:t xml:space="preserve">Анализ видов деятельности администрации показывает, что </w:t>
      </w:r>
      <w:r>
        <w:rPr>
          <w:sz w:val="28"/>
          <w:szCs w:val="28"/>
        </w:rPr>
        <w:t>объект</w:t>
      </w:r>
      <w:r w:rsidRPr="00035A7D">
        <w:rPr>
          <w:sz w:val="28"/>
          <w:szCs w:val="28"/>
        </w:rPr>
        <w:t xml:space="preserve"> реализует широкий спектр полномочий в бюджетно-финансовой, социальной, жилищно-коммунальной, экономической и организационно-правовой сферах</w:t>
      </w:r>
      <w:r w:rsidR="001F4118" w:rsidRPr="001F4118">
        <w:rPr>
          <w:sz w:val="28"/>
          <w:szCs w:val="28"/>
        </w:rPr>
        <w:t xml:space="preserve"> [5]</w:t>
      </w:r>
      <w:r w:rsidRPr="00035A7D">
        <w:rPr>
          <w:sz w:val="28"/>
          <w:szCs w:val="28"/>
        </w:rPr>
        <w:t>. Наибольший удельный вес в структуре функций занимают социальная политика и бюджетно-финансовая деятельность, что соответствует приоритетам муниципального управления, направленным на повышение качества жизни населения. Важное значение также придаётся созданию условий для экономического развития и привлечения инвестиций, что закреплено в Стратегии социально-экономического развития округа до 2030 года. Реализация данных направлений осуществляется через муниципальные программы и участие в национальных проектах.</w:t>
      </w:r>
    </w:p>
    <w:p w:rsidR="00C972DA" w:rsidRPr="009F6065" w:rsidRDefault="009F6065" w:rsidP="000B3B4C">
      <w:pPr>
        <w:widowControl w:val="0"/>
        <w:spacing w:before="240" w:after="12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F6065">
        <w:rPr>
          <w:rFonts w:ascii="Arial" w:hAnsi="Arial" w:cs="Arial"/>
          <w:sz w:val="28"/>
          <w:szCs w:val="28"/>
        </w:rPr>
        <w:t>1.4</w:t>
      </w:r>
      <w:r w:rsidR="00C972DA" w:rsidRPr="009F6065">
        <w:rPr>
          <w:rFonts w:ascii="Arial" w:hAnsi="Arial" w:cs="Arial"/>
          <w:sz w:val="28"/>
          <w:szCs w:val="28"/>
        </w:rPr>
        <w:t xml:space="preserve"> Анализ ресурсов организации (финансовые, материальные, человеческие)</w:t>
      </w:r>
      <w:bookmarkStart w:id="0" w:name="_GoBack"/>
    </w:p>
    <w:p w:rsidR="00C972DA" w:rsidRPr="00880D58" w:rsidRDefault="009F6065" w:rsidP="00880D58">
      <w:pPr>
        <w:widowControl w:val="0"/>
        <w:spacing w:before="120" w:line="360" w:lineRule="auto"/>
        <w:ind w:firstLine="709"/>
        <w:jc w:val="both"/>
        <w:rPr>
          <w:b/>
          <w:sz w:val="28"/>
          <w:szCs w:val="28"/>
        </w:rPr>
      </w:pPr>
      <w:r w:rsidRPr="00880D58">
        <w:rPr>
          <w:b/>
          <w:sz w:val="28"/>
          <w:szCs w:val="28"/>
        </w:rPr>
        <w:t>1.4.1</w:t>
      </w:r>
      <w:r w:rsidR="00C972DA" w:rsidRPr="00880D58">
        <w:rPr>
          <w:b/>
          <w:sz w:val="28"/>
          <w:szCs w:val="28"/>
        </w:rPr>
        <w:t xml:space="preserve"> Финансовые ресурсы</w:t>
      </w:r>
    </w:p>
    <w:bookmarkEnd w:id="0"/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>Основным источником финансовых ресурсов администрации является бюджет Чугуевского муниципального округ</w:t>
      </w:r>
      <w:r>
        <w:rPr>
          <w:sz w:val="28"/>
          <w:szCs w:val="28"/>
        </w:rPr>
        <w:t>а, который формируется за счёт: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>- собственных доходов (налоговые и неналог</w:t>
      </w:r>
      <w:r w:rsidR="00D354BC">
        <w:rPr>
          <w:sz w:val="28"/>
          <w:szCs w:val="28"/>
        </w:rPr>
        <w:t>овые поступления) — около 35–40 процентов</w:t>
      </w:r>
      <w:r w:rsidRPr="00746C74">
        <w:rPr>
          <w:sz w:val="28"/>
          <w:szCs w:val="28"/>
        </w:rPr>
        <w:t xml:space="preserve"> от общего объёма;</w:t>
      </w:r>
    </w:p>
    <w:p w:rsidR="00C972DA" w:rsidRPr="00746C74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>- межбюджетных трансфертов из краевого бюджета (дотации, субси</w:t>
      </w:r>
      <w:r>
        <w:rPr>
          <w:sz w:val="28"/>
          <w:szCs w:val="28"/>
        </w:rPr>
        <w:t xml:space="preserve">дии, </w:t>
      </w:r>
      <w:r>
        <w:rPr>
          <w:sz w:val="28"/>
          <w:szCs w:val="28"/>
        </w:rPr>
        <w:lastRenderedPageBreak/>
        <w:t>субвенции) — около 60–65</w:t>
      </w:r>
      <w:r w:rsidR="00D354BC">
        <w:rPr>
          <w:sz w:val="28"/>
          <w:szCs w:val="28"/>
        </w:rPr>
        <w:t xml:space="preserve"> процентов</w:t>
      </w:r>
      <w:r>
        <w:rPr>
          <w:sz w:val="28"/>
          <w:szCs w:val="28"/>
        </w:rPr>
        <w:t>.</w:t>
      </w:r>
    </w:p>
    <w:p w:rsidR="00C972DA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 xml:space="preserve">Бюджет округа на 2026 год утверждён решением Думы Чугуевского муниципального округа </w:t>
      </w:r>
      <w:r w:rsidR="00FE3A7C" w:rsidRPr="00746C74">
        <w:rPr>
          <w:sz w:val="28"/>
          <w:szCs w:val="28"/>
        </w:rPr>
        <w:t xml:space="preserve">в </w:t>
      </w:r>
      <w:r w:rsidR="00FE3A7C">
        <w:rPr>
          <w:sz w:val="28"/>
          <w:szCs w:val="28"/>
        </w:rPr>
        <w:t>объёмах</w:t>
      </w:r>
      <w:r w:rsidR="00A87139">
        <w:rPr>
          <w:sz w:val="28"/>
          <w:szCs w:val="28"/>
        </w:rPr>
        <w:t xml:space="preserve"> [4</w:t>
      </w:r>
      <w:r w:rsidR="00A87139" w:rsidRPr="00A86EEE">
        <w:rPr>
          <w:sz w:val="28"/>
          <w:szCs w:val="28"/>
        </w:rPr>
        <w:t>]</w:t>
      </w:r>
      <w:r w:rsidR="00FE3A7C">
        <w:rPr>
          <w:sz w:val="28"/>
          <w:szCs w:val="28"/>
        </w:rPr>
        <w:t>,</w:t>
      </w:r>
      <w:r w:rsidR="00597F44">
        <w:rPr>
          <w:sz w:val="28"/>
          <w:szCs w:val="28"/>
        </w:rPr>
        <w:t xml:space="preserve"> указан</w:t>
      </w:r>
      <w:r w:rsidR="00FE3A7C">
        <w:rPr>
          <w:sz w:val="28"/>
          <w:szCs w:val="28"/>
        </w:rPr>
        <w:t>ных</w:t>
      </w:r>
      <w:r w:rsidR="00937667">
        <w:rPr>
          <w:sz w:val="28"/>
          <w:szCs w:val="28"/>
        </w:rPr>
        <w:t xml:space="preserve"> в таблице 1.2</w:t>
      </w:r>
      <w:r w:rsidR="00FE3A7C">
        <w:rPr>
          <w:sz w:val="28"/>
          <w:szCs w:val="28"/>
        </w:rPr>
        <w:t xml:space="preserve"> (</w:t>
      </w:r>
      <w:r w:rsidR="00F43A85" w:rsidRPr="00F43A85">
        <w:rPr>
          <w:sz w:val="28"/>
          <w:szCs w:val="28"/>
        </w:rPr>
        <w:t>в приложении В представлена копия решения Думы об утверждении бюджета</w:t>
      </w:r>
      <w:r w:rsidR="00FA568A">
        <w:rPr>
          <w:sz w:val="28"/>
          <w:szCs w:val="28"/>
        </w:rPr>
        <w:t xml:space="preserve"> на 2026 год</w:t>
      </w:r>
      <w:r w:rsidR="00FE3A7C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937667" w:rsidRDefault="00937667" w:rsidP="00937667">
      <w:pPr>
        <w:widowControl w:val="0"/>
        <w:spacing w:before="240" w:after="120" w:line="360" w:lineRule="auto"/>
        <w:rPr>
          <w:sz w:val="28"/>
          <w:szCs w:val="28"/>
        </w:rPr>
      </w:pPr>
      <w:r>
        <w:rPr>
          <w:sz w:val="28"/>
          <w:szCs w:val="28"/>
        </w:rPr>
        <w:t>Таблица 1.2 – бюджет Чугуевского округа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972DA" w:rsidTr="003E0E57">
        <w:trPr>
          <w:trHeight w:val="454"/>
        </w:trPr>
        <w:tc>
          <w:tcPr>
            <w:tcW w:w="4672" w:type="dxa"/>
          </w:tcPr>
          <w:p w:rsidR="00C972DA" w:rsidRPr="003E0E57" w:rsidRDefault="00C972DA" w:rsidP="000B3B4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3E0E57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4673" w:type="dxa"/>
          </w:tcPr>
          <w:p w:rsidR="00C972DA" w:rsidRPr="003E0E57" w:rsidRDefault="00C972DA" w:rsidP="000B3B4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3E0E57">
              <w:rPr>
                <w:rFonts w:ascii="Times New Roman" w:hAnsi="Times New Roman" w:cs="Times New Roman"/>
              </w:rPr>
              <w:t>Сумма (млн руб.)</w:t>
            </w:r>
          </w:p>
        </w:tc>
      </w:tr>
      <w:tr w:rsidR="00C972DA" w:rsidTr="003E0E57">
        <w:trPr>
          <w:trHeight w:val="454"/>
        </w:trPr>
        <w:tc>
          <w:tcPr>
            <w:tcW w:w="4672" w:type="dxa"/>
          </w:tcPr>
          <w:p w:rsidR="00C972DA" w:rsidRPr="003E0E57" w:rsidRDefault="00C972DA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3E0E57">
              <w:rPr>
                <w:rFonts w:ascii="Times New Roman" w:hAnsi="Times New Roman" w:cs="Times New Roman"/>
              </w:rPr>
              <w:t xml:space="preserve">Доходы бюджета </w:t>
            </w:r>
          </w:p>
        </w:tc>
        <w:tc>
          <w:tcPr>
            <w:tcW w:w="4673" w:type="dxa"/>
          </w:tcPr>
          <w:p w:rsidR="00C972DA" w:rsidRPr="003E0E57" w:rsidRDefault="00191A6A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3E0E57">
              <w:rPr>
                <w:rFonts w:ascii="Times New Roman" w:hAnsi="Times New Roman" w:cs="Times New Roman"/>
              </w:rPr>
              <w:t>1 874,06</w:t>
            </w:r>
          </w:p>
        </w:tc>
      </w:tr>
      <w:tr w:rsidR="00C972DA" w:rsidTr="003E0E57">
        <w:trPr>
          <w:trHeight w:val="454"/>
        </w:trPr>
        <w:tc>
          <w:tcPr>
            <w:tcW w:w="4672" w:type="dxa"/>
          </w:tcPr>
          <w:p w:rsidR="00C972DA" w:rsidRPr="003E0E57" w:rsidRDefault="00C972DA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3E0E57">
              <w:rPr>
                <w:rFonts w:ascii="Times New Roman" w:hAnsi="Times New Roman" w:cs="Times New Roman"/>
              </w:rPr>
              <w:t xml:space="preserve">Расходы бюджета </w:t>
            </w:r>
          </w:p>
        </w:tc>
        <w:tc>
          <w:tcPr>
            <w:tcW w:w="4673" w:type="dxa"/>
          </w:tcPr>
          <w:p w:rsidR="00C972DA" w:rsidRPr="003E0E57" w:rsidRDefault="00191A6A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3E0E57">
              <w:rPr>
                <w:rFonts w:ascii="Times New Roman" w:hAnsi="Times New Roman" w:cs="Times New Roman"/>
              </w:rPr>
              <w:t>1 899</w:t>
            </w:r>
            <w:r w:rsidR="00C972DA" w:rsidRPr="003E0E57">
              <w:rPr>
                <w:rFonts w:ascii="Times New Roman" w:hAnsi="Times New Roman" w:cs="Times New Roman"/>
              </w:rPr>
              <w:t>,0</w:t>
            </w:r>
            <w:r w:rsidRPr="003E0E57">
              <w:rPr>
                <w:rFonts w:ascii="Times New Roman" w:hAnsi="Times New Roman" w:cs="Times New Roman"/>
              </w:rPr>
              <w:t>6</w:t>
            </w:r>
            <w:r w:rsidR="00C972DA" w:rsidRPr="003E0E5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72DA" w:rsidTr="003E0E57">
        <w:trPr>
          <w:trHeight w:val="454"/>
        </w:trPr>
        <w:tc>
          <w:tcPr>
            <w:tcW w:w="4672" w:type="dxa"/>
          </w:tcPr>
          <w:p w:rsidR="00C972DA" w:rsidRPr="003E0E57" w:rsidRDefault="00C972DA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3E0E57">
              <w:rPr>
                <w:rFonts w:ascii="Times New Roman" w:hAnsi="Times New Roman" w:cs="Times New Roman"/>
              </w:rPr>
              <w:t>Дефицит бюджета</w:t>
            </w:r>
          </w:p>
        </w:tc>
        <w:tc>
          <w:tcPr>
            <w:tcW w:w="4673" w:type="dxa"/>
          </w:tcPr>
          <w:p w:rsidR="00C972DA" w:rsidRPr="003E0E57" w:rsidRDefault="00C972DA" w:rsidP="000B3B4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3E0E57">
              <w:rPr>
                <w:rFonts w:ascii="Times New Roman" w:hAnsi="Times New Roman" w:cs="Times New Roman"/>
              </w:rPr>
              <w:t>25,0</w:t>
            </w:r>
          </w:p>
        </w:tc>
      </w:tr>
    </w:tbl>
    <w:p w:rsidR="00B160BB" w:rsidRDefault="00B160BB" w:rsidP="000B3B4C">
      <w:pPr>
        <w:widowControl w:val="0"/>
        <w:ind w:firstLine="709"/>
        <w:jc w:val="both"/>
        <w:rPr>
          <w:sz w:val="28"/>
          <w:szCs w:val="28"/>
        </w:rPr>
      </w:pPr>
    </w:p>
    <w:p w:rsidR="00FA568A" w:rsidRPr="008E4E78" w:rsidRDefault="00FA568A" w:rsidP="00FA568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E4E78">
        <w:rPr>
          <w:sz w:val="28"/>
          <w:szCs w:val="28"/>
        </w:rPr>
        <w:t>инамика основных бюджетных показателей за последние три г</w:t>
      </w:r>
      <w:r>
        <w:rPr>
          <w:sz w:val="28"/>
          <w:szCs w:val="28"/>
        </w:rPr>
        <w:t>ода представлена в таблице 1.3</w:t>
      </w:r>
      <w:r w:rsidRPr="008E4E78">
        <w:rPr>
          <w:sz w:val="28"/>
          <w:szCs w:val="28"/>
        </w:rPr>
        <w:t>.</w:t>
      </w:r>
    </w:p>
    <w:p w:rsidR="00FA568A" w:rsidRDefault="00FA568A" w:rsidP="00FA568A">
      <w:pPr>
        <w:spacing w:before="240" w:after="120" w:line="360" w:lineRule="auto"/>
        <w:rPr>
          <w:sz w:val="28"/>
          <w:szCs w:val="28"/>
        </w:rPr>
      </w:pPr>
      <w:r w:rsidRPr="008E4E78">
        <w:rPr>
          <w:sz w:val="28"/>
          <w:szCs w:val="28"/>
        </w:rPr>
        <w:t>Таблица</w:t>
      </w:r>
      <w:r>
        <w:rPr>
          <w:sz w:val="28"/>
          <w:szCs w:val="28"/>
        </w:rPr>
        <w:t xml:space="preserve"> 1.3</w:t>
      </w:r>
      <w:r w:rsidRPr="008E4E78">
        <w:rPr>
          <w:sz w:val="28"/>
          <w:szCs w:val="28"/>
        </w:rPr>
        <w:t xml:space="preserve"> — Основные параметры бюджета Чугуевского муниципал</w:t>
      </w:r>
      <w:r>
        <w:rPr>
          <w:sz w:val="28"/>
          <w:szCs w:val="28"/>
        </w:rPr>
        <w:t>ьного округа за 2023–2025 гг.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A568A" w:rsidTr="004341E1">
        <w:tc>
          <w:tcPr>
            <w:tcW w:w="2336" w:type="dxa"/>
          </w:tcPr>
          <w:p w:rsidR="00FA568A" w:rsidRPr="00DF2A60" w:rsidRDefault="00FA568A" w:rsidP="004341E1">
            <w:pPr>
              <w:jc w:val="center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2336" w:type="dxa"/>
          </w:tcPr>
          <w:p w:rsidR="00FA568A" w:rsidRPr="00DF2A60" w:rsidRDefault="00FA568A" w:rsidP="004341E1">
            <w:pPr>
              <w:jc w:val="center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336" w:type="dxa"/>
          </w:tcPr>
          <w:p w:rsidR="00FA568A" w:rsidRPr="00DF2A60" w:rsidRDefault="00FA568A" w:rsidP="004341E1">
            <w:pPr>
              <w:jc w:val="center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337" w:type="dxa"/>
          </w:tcPr>
          <w:p w:rsidR="00FA568A" w:rsidRPr="00DF2A60" w:rsidRDefault="00FA568A" w:rsidP="004341E1">
            <w:pPr>
              <w:jc w:val="center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>2025 год</w:t>
            </w:r>
          </w:p>
        </w:tc>
      </w:tr>
      <w:tr w:rsidR="00FA568A" w:rsidTr="004341E1">
        <w:tc>
          <w:tcPr>
            <w:tcW w:w="2336" w:type="dxa"/>
          </w:tcPr>
          <w:p w:rsidR="00FA568A" w:rsidRPr="00DF2A60" w:rsidRDefault="00FA568A" w:rsidP="004341E1">
            <w:pPr>
              <w:jc w:val="both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>Доходы бюджета, тыс. руб.</w:t>
            </w:r>
          </w:p>
        </w:tc>
        <w:tc>
          <w:tcPr>
            <w:tcW w:w="2336" w:type="dxa"/>
          </w:tcPr>
          <w:p w:rsidR="00FA568A" w:rsidRPr="00DF2A60" w:rsidRDefault="00FA568A" w:rsidP="004341E1">
            <w:pPr>
              <w:jc w:val="both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 xml:space="preserve">1 802 629,65  </w:t>
            </w:r>
          </w:p>
        </w:tc>
        <w:tc>
          <w:tcPr>
            <w:tcW w:w="2336" w:type="dxa"/>
          </w:tcPr>
          <w:p w:rsidR="00FA568A" w:rsidRPr="00DF2A60" w:rsidRDefault="00FA568A" w:rsidP="004341E1">
            <w:pPr>
              <w:jc w:val="both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 xml:space="preserve">1 874 337,38  </w:t>
            </w:r>
          </w:p>
        </w:tc>
        <w:tc>
          <w:tcPr>
            <w:tcW w:w="2337" w:type="dxa"/>
          </w:tcPr>
          <w:p w:rsidR="00FA568A" w:rsidRPr="00DF2A60" w:rsidRDefault="00FA568A" w:rsidP="004341E1">
            <w:pPr>
              <w:jc w:val="both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 xml:space="preserve">1 799 659,00  </w:t>
            </w:r>
          </w:p>
        </w:tc>
      </w:tr>
      <w:tr w:rsidR="00FA568A" w:rsidTr="004341E1">
        <w:tc>
          <w:tcPr>
            <w:tcW w:w="2336" w:type="dxa"/>
          </w:tcPr>
          <w:p w:rsidR="00FA568A" w:rsidRPr="00DF2A60" w:rsidRDefault="00FA568A" w:rsidP="004341E1">
            <w:pPr>
              <w:jc w:val="both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>Расходы бюджета, тыс. руб.</w:t>
            </w:r>
          </w:p>
        </w:tc>
        <w:tc>
          <w:tcPr>
            <w:tcW w:w="2336" w:type="dxa"/>
          </w:tcPr>
          <w:p w:rsidR="00FA568A" w:rsidRPr="00DF2A60" w:rsidRDefault="00FA568A" w:rsidP="004341E1">
            <w:pPr>
              <w:jc w:val="both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 xml:space="preserve">1 888 691,75  </w:t>
            </w:r>
          </w:p>
        </w:tc>
        <w:tc>
          <w:tcPr>
            <w:tcW w:w="2336" w:type="dxa"/>
          </w:tcPr>
          <w:p w:rsidR="00FA568A" w:rsidRPr="00DF2A60" w:rsidRDefault="00FA568A" w:rsidP="004341E1">
            <w:pPr>
              <w:jc w:val="both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 xml:space="preserve">1 883 665,37  </w:t>
            </w:r>
          </w:p>
        </w:tc>
        <w:tc>
          <w:tcPr>
            <w:tcW w:w="2337" w:type="dxa"/>
          </w:tcPr>
          <w:p w:rsidR="00FA568A" w:rsidRPr="00DF2A60" w:rsidRDefault="00FA568A" w:rsidP="004341E1">
            <w:pPr>
              <w:jc w:val="both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 xml:space="preserve">1 821 889,35  </w:t>
            </w:r>
          </w:p>
        </w:tc>
      </w:tr>
      <w:tr w:rsidR="00FA568A" w:rsidTr="004341E1">
        <w:tc>
          <w:tcPr>
            <w:tcW w:w="2336" w:type="dxa"/>
          </w:tcPr>
          <w:p w:rsidR="00FA568A" w:rsidRPr="00DF2A60" w:rsidRDefault="00FA568A" w:rsidP="004341E1">
            <w:pPr>
              <w:jc w:val="both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>Дефицит бюджета, тыс. руб.</w:t>
            </w:r>
          </w:p>
        </w:tc>
        <w:tc>
          <w:tcPr>
            <w:tcW w:w="2336" w:type="dxa"/>
          </w:tcPr>
          <w:p w:rsidR="00FA568A" w:rsidRPr="00DF2A60" w:rsidRDefault="00FA568A" w:rsidP="004341E1">
            <w:pPr>
              <w:jc w:val="both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>-86 062,10</w:t>
            </w:r>
          </w:p>
        </w:tc>
        <w:tc>
          <w:tcPr>
            <w:tcW w:w="2336" w:type="dxa"/>
          </w:tcPr>
          <w:p w:rsidR="00FA568A" w:rsidRPr="00DF2A60" w:rsidRDefault="00FA568A" w:rsidP="004341E1">
            <w:pPr>
              <w:jc w:val="both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>-9 327,99</w:t>
            </w:r>
          </w:p>
        </w:tc>
        <w:tc>
          <w:tcPr>
            <w:tcW w:w="2337" w:type="dxa"/>
          </w:tcPr>
          <w:p w:rsidR="00FA568A" w:rsidRPr="00DF2A60" w:rsidRDefault="00FA568A" w:rsidP="004341E1">
            <w:pPr>
              <w:jc w:val="both"/>
              <w:rPr>
                <w:rFonts w:ascii="Times New Roman" w:hAnsi="Times New Roman" w:cs="Times New Roman"/>
              </w:rPr>
            </w:pPr>
            <w:r w:rsidRPr="00DF2A60">
              <w:rPr>
                <w:rFonts w:ascii="Times New Roman" w:hAnsi="Times New Roman" w:cs="Times New Roman"/>
              </w:rPr>
              <w:t>-69 460,31</w:t>
            </w:r>
          </w:p>
        </w:tc>
      </w:tr>
    </w:tbl>
    <w:p w:rsidR="005B2181" w:rsidRDefault="005B2181" w:rsidP="00E225AA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5B2181">
        <w:rPr>
          <w:sz w:val="28"/>
          <w:szCs w:val="28"/>
        </w:rPr>
        <w:t>Анализ динамики основных параметров бюджета Чугуевского муниципального округа позволяет выявить следующие тенденции:</w:t>
      </w:r>
    </w:p>
    <w:p w:rsidR="005B2181" w:rsidRPr="005B2181" w:rsidRDefault="005B2181" w:rsidP="005B218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5B2181">
        <w:rPr>
          <w:sz w:val="28"/>
          <w:szCs w:val="28"/>
        </w:rPr>
        <w:t>оходы бюджета выросли с 1 802,6 млн руб. в 2023 году до 1 874,3 млн руб. в 2024 году (темп роста — 104,0%), что обусловлено увеличением безвозмездных поступлений из краевого бюджета.</w:t>
      </w:r>
      <w:r>
        <w:rPr>
          <w:sz w:val="28"/>
          <w:szCs w:val="28"/>
        </w:rPr>
        <w:t xml:space="preserve"> </w:t>
      </w:r>
      <w:r w:rsidRPr="005B2181">
        <w:rPr>
          <w:sz w:val="28"/>
          <w:szCs w:val="28"/>
        </w:rPr>
        <w:t>Однако в 2025 году доходы снизились до 1 799,7 млн руб., что на 4,0% меньше уровня 2024 года. Абсолютное снижение составило 74,7 млн руб., что связано с сокращением объема субсидий по ряду государственных программ.</w:t>
      </w:r>
      <w:r>
        <w:rPr>
          <w:sz w:val="28"/>
          <w:szCs w:val="28"/>
        </w:rPr>
        <w:t xml:space="preserve"> </w:t>
      </w:r>
      <w:r w:rsidRPr="005B2181">
        <w:rPr>
          <w:sz w:val="28"/>
          <w:szCs w:val="28"/>
        </w:rPr>
        <w:t>За три года доходы сократились на 2 970,65 тыс. руб. (темп роста 99,8%), что свидетельствует о нестабильности доходной базы.</w:t>
      </w:r>
    </w:p>
    <w:p w:rsidR="005B2181" w:rsidRDefault="005B2181" w:rsidP="005B218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</w:t>
      </w:r>
      <w:r w:rsidRPr="005B2181">
        <w:rPr>
          <w:sz w:val="28"/>
          <w:szCs w:val="28"/>
        </w:rPr>
        <w:t>асходы бюджета демонстрируют устойчивую тенденцию к снижению: с 1 888,7 млн руб. в 2023 году до 1 821,9 млн руб. в 2025 году. Абсолютное сокращение составило 66,8 млн руб. (темп роста — 96,5%).</w:t>
      </w:r>
      <w:r>
        <w:rPr>
          <w:sz w:val="28"/>
          <w:szCs w:val="28"/>
        </w:rPr>
        <w:t xml:space="preserve"> </w:t>
      </w:r>
      <w:r w:rsidRPr="005B2181">
        <w:rPr>
          <w:sz w:val="28"/>
          <w:szCs w:val="28"/>
        </w:rPr>
        <w:t>Снижение расходов в 2025 году на 3,3% по сравнению с 2024 годом связано с оптимизацией бюджетных ассигнований и завершением ряда крупных проектов.</w:t>
      </w:r>
    </w:p>
    <w:p w:rsidR="005B2181" w:rsidRPr="005B2181" w:rsidRDefault="005B2181" w:rsidP="005B218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5B2181">
        <w:rPr>
          <w:sz w:val="28"/>
          <w:szCs w:val="28"/>
        </w:rPr>
        <w:t>ефицит бюджета сократился с 86,1 млн руб. в 2023 году до 9,3 млн руб. в 2024 году, что является положительной тенденцией.</w:t>
      </w:r>
      <w:r>
        <w:rPr>
          <w:sz w:val="28"/>
          <w:szCs w:val="28"/>
        </w:rPr>
        <w:t xml:space="preserve"> </w:t>
      </w:r>
      <w:r w:rsidRPr="005B2181">
        <w:rPr>
          <w:sz w:val="28"/>
          <w:szCs w:val="28"/>
        </w:rPr>
        <w:t>Однако в 2025 году дефицит вновь вырос до 69,5 млн руб. (увеличение на 60,1 млн руб. по сравнению с 2024 годом), что свидетельствует о сохраняющейся напряженности в исполнении бюджета и необходимости привлечения заемных средств.</w:t>
      </w:r>
    </w:p>
    <w:p w:rsidR="005B2181" w:rsidRDefault="005B2181" w:rsidP="005B2181">
      <w:pPr>
        <w:spacing w:line="360" w:lineRule="auto"/>
        <w:ind w:firstLine="709"/>
        <w:jc w:val="both"/>
        <w:rPr>
          <w:sz w:val="28"/>
          <w:szCs w:val="28"/>
        </w:rPr>
      </w:pPr>
      <w:r w:rsidRPr="005B2181">
        <w:rPr>
          <w:sz w:val="28"/>
          <w:szCs w:val="28"/>
        </w:rPr>
        <w:t>Ключевая проблема: темпы снижения расходов (96,5%) превышают темпы снижения доходов (99,8%), что создает риск неисполнения социальных обязательств при дальнейшем ухудшении экономической ситуации. Среднегодовой дефицит за три года составил 55,0 млн руб., что требует постоянного привлечения бюджетных кредитов и коммерческих заимствований.</w:t>
      </w:r>
      <w:r>
        <w:rPr>
          <w:sz w:val="28"/>
          <w:szCs w:val="28"/>
        </w:rPr>
        <w:t xml:space="preserve"> </w:t>
      </w:r>
    </w:p>
    <w:p w:rsidR="00FA568A" w:rsidRPr="008E4E78" w:rsidRDefault="00FA568A" w:rsidP="005B218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 расходов бюджета</w:t>
      </w:r>
      <w:r w:rsidRPr="008E4E78">
        <w:rPr>
          <w:sz w:val="28"/>
          <w:szCs w:val="28"/>
        </w:rPr>
        <w:t xml:space="preserve"> по разделам на 2024–2025 </w:t>
      </w:r>
      <w:r>
        <w:rPr>
          <w:sz w:val="28"/>
          <w:szCs w:val="28"/>
        </w:rPr>
        <w:t>гг. представлена в таблице 1.4.</w:t>
      </w:r>
    </w:p>
    <w:p w:rsidR="00FA568A" w:rsidRDefault="00FA568A" w:rsidP="00FA568A">
      <w:pPr>
        <w:spacing w:before="24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1.4</w:t>
      </w:r>
      <w:r w:rsidRPr="008E4E78">
        <w:rPr>
          <w:sz w:val="28"/>
          <w:szCs w:val="28"/>
        </w:rPr>
        <w:t xml:space="preserve"> — Структура ра</w:t>
      </w:r>
      <w:r>
        <w:rPr>
          <w:sz w:val="28"/>
          <w:szCs w:val="28"/>
        </w:rPr>
        <w:t>сходов бюджета по разделам, в процентах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18"/>
        <w:gridCol w:w="1988"/>
        <w:gridCol w:w="1988"/>
        <w:gridCol w:w="1272"/>
        <w:gridCol w:w="2262"/>
      </w:tblGrid>
      <w:tr w:rsidR="005B2181" w:rsidTr="005B2181">
        <w:tc>
          <w:tcPr>
            <w:tcW w:w="2118" w:type="dxa"/>
          </w:tcPr>
          <w:p w:rsidR="005B2181" w:rsidRPr="00FA568A" w:rsidRDefault="005B2181" w:rsidP="005B2181">
            <w:pPr>
              <w:jc w:val="center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center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center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Изменение, п.п. </w:t>
            </w:r>
            <w:r w:rsidRPr="00D5472E">
              <w:rPr>
                <w:rFonts w:ascii="Times New Roman" w:hAnsi="Times New Roman" w:cs="Times New Roman"/>
              </w:rPr>
              <w:t>(2025-2024)</w:t>
            </w:r>
          </w:p>
        </w:tc>
        <w:tc>
          <w:tcPr>
            <w:tcW w:w="226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D5472E">
              <w:rPr>
                <w:rFonts w:ascii="Times New Roman" w:hAnsi="Times New Roman" w:cs="Times New Roman"/>
              </w:rPr>
              <w:t>Оценка динамики</w:t>
            </w:r>
          </w:p>
        </w:tc>
      </w:tr>
      <w:tr w:rsidR="005B2181" w:rsidTr="005B2181">
        <w:tc>
          <w:tcPr>
            <w:tcW w:w="211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 xml:space="preserve">Общегосударственные вопросы 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27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D5472E">
              <w:rPr>
                <w:rFonts w:ascii="Times New Roman" w:hAnsi="Times New Roman" w:cs="Times New Roman"/>
              </w:rPr>
              <w:t>+2,5</w:t>
            </w:r>
          </w:p>
        </w:tc>
        <w:tc>
          <w:tcPr>
            <w:tcW w:w="226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D5472E">
              <w:rPr>
                <w:rFonts w:ascii="Times New Roman" w:hAnsi="Times New Roman" w:cs="Times New Roman"/>
              </w:rPr>
              <w:t>Рост, что может свидетельствовать об увеличении управленческих расходов</w:t>
            </w:r>
          </w:p>
        </w:tc>
      </w:tr>
      <w:tr w:rsidR="005B2181" w:rsidTr="005B2181">
        <w:tc>
          <w:tcPr>
            <w:tcW w:w="211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 xml:space="preserve">Национальная экономика 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D5472E">
              <w:rPr>
                <w:rFonts w:ascii="Times New Roman" w:hAnsi="Times New Roman" w:cs="Times New Roman"/>
              </w:rPr>
              <w:t>-0,8</w:t>
            </w:r>
          </w:p>
        </w:tc>
        <w:tc>
          <w:tcPr>
            <w:tcW w:w="226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D5472E">
              <w:rPr>
                <w:rFonts w:ascii="Times New Roman" w:hAnsi="Times New Roman" w:cs="Times New Roman"/>
              </w:rPr>
              <w:t>Снижение, что негативно для развития предпринимательства</w:t>
            </w:r>
          </w:p>
        </w:tc>
      </w:tr>
      <w:tr w:rsidR="005B2181" w:rsidTr="005B2181">
        <w:tc>
          <w:tcPr>
            <w:tcW w:w="211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 xml:space="preserve">Жилищно-коммунальное хозяйство 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27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D5472E">
              <w:rPr>
                <w:rFonts w:ascii="Times New Roman" w:hAnsi="Times New Roman" w:cs="Times New Roman"/>
              </w:rPr>
              <w:t>-5,2</w:t>
            </w:r>
          </w:p>
        </w:tc>
        <w:tc>
          <w:tcPr>
            <w:tcW w:w="226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D5472E">
              <w:rPr>
                <w:rFonts w:ascii="Times New Roman" w:hAnsi="Times New Roman" w:cs="Times New Roman"/>
              </w:rPr>
              <w:t>Существенное снижение, критично при износе инфраструктуры 60-70%</w:t>
            </w:r>
          </w:p>
        </w:tc>
      </w:tr>
      <w:tr w:rsidR="005B2181" w:rsidTr="005B2181">
        <w:tc>
          <w:tcPr>
            <w:tcW w:w="211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127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D5472E">
              <w:rPr>
                <w:rFonts w:ascii="Times New Roman" w:hAnsi="Times New Roman" w:cs="Times New Roman"/>
              </w:rPr>
              <w:t>+5,9</w:t>
            </w:r>
          </w:p>
        </w:tc>
        <w:tc>
          <w:tcPr>
            <w:tcW w:w="226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D5472E">
              <w:rPr>
                <w:rFonts w:ascii="Times New Roman" w:hAnsi="Times New Roman" w:cs="Times New Roman"/>
              </w:rPr>
              <w:t>Рост, социально позитивная тенденция</w:t>
            </w:r>
          </w:p>
        </w:tc>
      </w:tr>
    </w:tbl>
    <w:p w:rsidR="000E2F93" w:rsidRPr="000E2F93" w:rsidRDefault="000E2F93" w:rsidP="000E2F93">
      <w:pPr>
        <w:spacing w:line="360" w:lineRule="auto"/>
        <w:rPr>
          <w:sz w:val="28"/>
          <w:szCs w:val="28"/>
        </w:rPr>
      </w:pPr>
      <w:r w:rsidRPr="000E2F93">
        <w:rPr>
          <w:sz w:val="28"/>
          <w:szCs w:val="28"/>
        </w:rPr>
        <w:lastRenderedPageBreak/>
        <w:t>Продолжение таблицы 1.4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18"/>
        <w:gridCol w:w="1988"/>
        <w:gridCol w:w="1988"/>
        <w:gridCol w:w="1272"/>
        <w:gridCol w:w="2262"/>
      </w:tblGrid>
      <w:tr w:rsidR="005B2181" w:rsidTr="005B2181">
        <w:tc>
          <w:tcPr>
            <w:tcW w:w="211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7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D5472E">
              <w:rPr>
                <w:rFonts w:ascii="Times New Roman" w:hAnsi="Times New Roman" w:cs="Times New Roman"/>
              </w:rPr>
              <w:t>-2,3</w:t>
            </w:r>
          </w:p>
        </w:tc>
        <w:tc>
          <w:tcPr>
            <w:tcW w:w="226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D5472E">
              <w:rPr>
                <w:rFonts w:ascii="Times New Roman" w:hAnsi="Times New Roman" w:cs="Times New Roman"/>
              </w:rPr>
              <w:t>Снижение, риск недофинансирования культурных учреждений</w:t>
            </w:r>
          </w:p>
        </w:tc>
      </w:tr>
      <w:tr w:rsidR="005B2181" w:rsidTr="005B2181">
        <w:tc>
          <w:tcPr>
            <w:tcW w:w="211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988" w:type="dxa"/>
          </w:tcPr>
          <w:p w:rsidR="005B2181" w:rsidRPr="00FA568A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FA568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27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D5472E">
              <w:rPr>
                <w:rFonts w:ascii="Times New Roman" w:hAnsi="Times New Roman" w:cs="Times New Roman"/>
              </w:rPr>
              <w:t>-1,3</w:t>
            </w:r>
          </w:p>
        </w:tc>
        <w:tc>
          <w:tcPr>
            <w:tcW w:w="2262" w:type="dxa"/>
          </w:tcPr>
          <w:p w:rsidR="005B2181" w:rsidRPr="00D5472E" w:rsidRDefault="005B2181" w:rsidP="005B2181">
            <w:pPr>
              <w:jc w:val="both"/>
              <w:rPr>
                <w:rFonts w:ascii="Times New Roman" w:hAnsi="Times New Roman" w:cs="Times New Roman"/>
              </w:rPr>
            </w:pPr>
            <w:r w:rsidRPr="00D5472E">
              <w:rPr>
                <w:rFonts w:ascii="Times New Roman" w:hAnsi="Times New Roman" w:cs="Times New Roman"/>
              </w:rPr>
              <w:t>Снижение при росте числа льготных категорий граждан</w:t>
            </w:r>
          </w:p>
        </w:tc>
      </w:tr>
    </w:tbl>
    <w:p w:rsidR="005B2181" w:rsidRDefault="005B2181" w:rsidP="005B2181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D5472E">
        <w:rPr>
          <w:sz w:val="28"/>
          <w:szCs w:val="28"/>
        </w:rPr>
        <w:t>Приоритет образования усиливается — доля расходов на образование выросла на 5,9 процентных пункта и достигла 61,4% бюджета. Это соответствует социальной направленности бюджетной политики, однако</w:t>
      </w:r>
      <w:r>
        <w:rPr>
          <w:sz w:val="28"/>
          <w:szCs w:val="28"/>
        </w:rPr>
        <w:t xml:space="preserve"> создает риски для других сфер. </w:t>
      </w:r>
      <w:r w:rsidRPr="00D5472E">
        <w:rPr>
          <w:sz w:val="28"/>
          <w:szCs w:val="28"/>
        </w:rPr>
        <w:t>Критическое снижение расходов на ЖКХ — сокращение на 5,2 процентных пункта (с 15,1% до 9,9%) при износе коммунальной инфраструктуры 60-70% является высоким риском. Это может привести к росту аварийности и ухудшению качества предоставляемых услуг населению.</w:t>
      </w:r>
      <w:r>
        <w:rPr>
          <w:sz w:val="28"/>
          <w:szCs w:val="28"/>
        </w:rPr>
        <w:t xml:space="preserve"> </w:t>
      </w:r>
    </w:p>
    <w:p w:rsidR="005B2181" w:rsidRPr="00D5472E" w:rsidRDefault="005B2181" w:rsidP="00A47356">
      <w:pPr>
        <w:spacing w:line="360" w:lineRule="auto"/>
        <w:ind w:firstLine="709"/>
        <w:jc w:val="both"/>
        <w:rPr>
          <w:sz w:val="28"/>
          <w:szCs w:val="28"/>
        </w:rPr>
      </w:pPr>
      <w:r w:rsidRPr="00D5472E">
        <w:rPr>
          <w:sz w:val="28"/>
          <w:szCs w:val="28"/>
        </w:rPr>
        <w:t>Снижение расходов на культуру и социальную политику — сокращение на 2,3 и 1,3 п.п. соответственно происходит на фоне демографического спада и оттока населения, что может усугубить соци</w:t>
      </w:r>
      <w:r>
        <w:rPr>
          <w:sz w:val="28"/>
          <w:szCs w:val="28"/>
        </w:rPr>
        <w:t xml:space="preserve">альную напряженность. </w:t>
      </w:r>
      <w:r w:rsidRPr="00D5472E">
        <w:rPr>
          <w:sz w:val="28"/>
          <w:szCs w:val="28"/>
        </w:rPr>
        <w:t>Рост управленческих расходов — увеличение доли общегосударственных вопросов на 2,5 п.п. требует дополнительного анализа эффективности аппарата управления.</w:t>
      </w:r>
    </w:p>
    <w:p w:rsidR="00C972DA" w:rsidRPr="009F6065" w:rsidRDefault="009F6065" w:rsidP="00083306">
      <w:pPr>
        <w:widowControl w:val="0"/>
        <w:spacing w:before="240" w:after="12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E0E57">
        <w:rPr>
          <w:rFonts w:ascii="Arial" w:hAnsi="Arial" w:cs="Arial"/>
          <w:sz w:val="28"/>
          <w:szCs w:val="28"/>
        </w:rPr>
        <w:t>1.4.2</w:t>
      </w:r>
      <w:r w:rsidR="00C972DA" w:rsidRPr="003E0E57">
        <w:rPr>
          <w:rFonts w:ascii="Arial" w:hAnsi="Arial" w:cs="Arial"/>
          <w:sz w:val="28"/>
          <w:szCs w:val="28"/>
        </w:rPr>
        <w:t xml:space="preserve"> Материальные ресурсы</w:t>
      </w:r>
    </w:p>
    <w:p w:rsidR="00C972DA" w:rsidRDefault="003E0E57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E0E57">
        <w:rPr>
          <w:sz w:val="28"/>
          <w:szCs w:val="28"/>
        </w:rPr>
        <w:t>Для системного подхода действует муниципальная программа «Материально-техническое обеспечение органов местного самоуправления Чугуевского муниципального округа». Её утвердили постановлением администрации от 10 декабря 2019 года № 835-НПА, и с тех пор в неё регулярно вносят изменения</w:t>
      </w:r>
      <w:r w:rsidR="00B160BB">
        <w:rPr>
          <w:sz w:val="28"/>
          <w:szCs w:val="28"/>
        </w:rPr>
        <w:t xml:space="preserve"> [6</w:t>
      </w:r>
      <w:r w:rsidR="00B160BB" w:rsidRPr="00A86EEE">
        <w:rPr>
          <w:sz w:val="28"/>
          <w:szCs w:val="28"/>
        </w:rPr>
        <w:t>]</w:t>
      </w:r>
      <w:r w:rsidRPr="003E0E57">
        <w:rPr>
          <w:sz w:val="28"/>
          <w:szCs w:val="28"/>
        </w:rPr>
        <w:t xml:space="preserve">. В рамках программы планируют, в частности, комплексное обновление базы — закупают технику, проводят ремонт зданий и коммуникаций, обновляют автопарк. </w:t>
      </w:r>
    </w:p>
    <w:p w:rsidR="00FA568A" w:rsidRPr="008E4E78" w:rsidRDefault="00FA568A" w:rsidP="00FA568A">
      <w:pPr>
        <w:spacing w:line="360" w:lineRule="auto"/>
        <w:ind w:firstLine="709"/>
        <w:jc w:val="both"/>
        <w:rPr>
          <w:sz w:val="28"/>
          <w:szCs w:val="28"/>
        </w:rPr>
      </w:pPr>
      <w:r w:rsidRPr="008E4E78">
        <w:rPr>
          <w:sz w:val="28"/>
          <w:szCs w:val="28"/>
        </w:rPr>
        <w:t>Материально-техническая база администрации включает административное здание в с. Чугуевка, компьютерную технику, офисное оборудование, служебный автотранспорт, а также муниципальное имущество, переданное в оперативное управление подведомственным учреждениям.</w:t>
      </w:r>
    </w:p>
    <w:p w:rsidR="00FA568A" w:rsidRPr="008E4E78" w:rsidRDefault="00FA568A" w:rsidP="00FA568A">
      <w:pPr>
        <w:spacing w:line="360" w:lineRule="auto"/>
        <w:ind w:firstLine="709"/>
        <w:jc w:val="both"/>
        <w:rPr>
          <w:sz w:val="28"/>
          <w:szCs w:val="28"/>
        </w:rPr>
      </w:pPr>
      <w:r w:rsidRPr="008E4E78">
        <w:rPr>
          <w:sz w:val="28"/>
          <w:szCs w:val="28"/>
        </w:rPr>
        <w:lastRenderedPageBreak/>
        <w:t>Ресурсное обеспечен</w:t>
      </w:r>
      <w:r>
        <w:rPr>
          <w:sz w:val="28"/>
          <w:szCs w:val="28"/>
        </w:rPr>
        <w:t xml:space="preserve">ие материально-технической базы </w:t>
      </w:r>
      <w:r w:rsidRPr="008E4E78">
        <w:rPr>
          <w:sz w:val="28"/>
          <w:szCs w:val="28"/>
        </w:rPr>
        <w:t>осуществляется в рамках муниципальной программы «Материально-техническое обеспечение органов местного самоуправления Чуг</w:t>
      </w:r>
      <w:r>
        <w:rPr>
          <w:sz w:val="28"/>
          <w:szCs w:val="28"/>
        </w:rPr>
        <w:t>уевского муниципального округа»</w:t>
      </w:r>
      <w:r w:rsidRPr="008E4E78">
        <w:rPr>
          <w:sz w:val="28"/>
          <w:szCs w:val="28"/>
        </w:rPr>
        <w:t>. Объём финансирования програм</w:t>
      </w:r>
      <w:r>
        <w:rPr>
          <w:sz w:val="28"/>
          <w:szCs w:val="28"/>
        </w:rPr>
        <w:t>мы за последние годы составил:</w:t>
      </w:r>
    </w:p>
    <w:p w:rsidR="00FA568A" w:rsidRPr="008E4E78" w:rsidRDefault="00FA568A" w:rsidP="00FA568A">
      <w:pPr>
        <w:spacing w:line="360" w:lineRule="auto"/>
        <w:ind w:firstLine="709"/>
        <w:jc w:val="both"/>
        <w:rPr>
          <w:sz w:val="28"/>
          <w:szCs w:val="28"/>
        </w:rPr>
      </w:pPr>
      <w:r w:rsidRPr="008E4E78">
        <w:rPr>
          <w:sz w:val="28"/>
          <w:szCs w:val="28"/>
        </w:rPr>
        <w:t>- 2023 год — 27 103,1 тыс. руб.;</w:t>
      </w:r>
    </w:p>
    <w:p w:rsidR="00FA568A" w:rsidRPr="008E4E78" w:rsidRDefault="00FA568A" w:rsidP="00FA568A">
      <w:pPr>
        <w:spacing w:line="360" w:lineRule="auto"/>
        <w:ind w:firstLine="709"/>
        <w:jc w:val="both"/>
        <w:rPr>
          <w:sz w:val="28"/>
          <w:szCs w:val="28"/>
        </w:rPr>
      </w:pPr>
      <w:r w:rsidRPr="008E4E78">
        <w:rPr>
          <w:sz w:val="28"/>
          <w:szCs w:val="28"/>
        </w:rPr>
        <w:t>- 2024 год — 29 882,9 тыс. руб.;</w:t>
      </w:r>
    </w:p>
    <w:p w:rsidR="00FA568A" w:rsidRPr="008E4E78" w:rsidRDefault="00FA568A" w:rsidP="00FA568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- 2025 год — 33 292,4 тыс. руб.</w:t>
      </w:r>
    </w:p>
    <w:p w:rsidR="00FA568A" w:rsidRPr="008E4E78" w:rsidRDefault="00FA568A" w:rsidP="00FA568A">
      <w:pPr>
        <w:spacing w:line="360" w:lineRule="auto"/>
        <w:ind w:firstLine="709"/>
        <w:jc w:val="both"/>
        <w:rPr>
          <w:sz w:val="28"/>
          <w:szCs w:val="28"/>
        </w:rPr>
      </w:pPr>
      <w:r w:rsidRPr="008E4E78">
        <w:rPr>
          <w:sz w:val="28"/>
          <w:szCs w:val="28"/>
        </w:rPr>
        <w:t>Динамика финансирования программы демонстрирует ежегодное увеличение объёмов: рост с 27,1 млн руб. в 2023 году до 33,3 млн ру</w:t>
      </w:r>
      <w:r w:rsidR="004C7910">
        <w:rPr>
          <w:sz w:val="28"/>
          <w:szCs w:val="28"/>
        </w:rPr>
        <w:t>б. в 2025 году (прирост на 22,8 процентов</w:t>
      </w:r>
      <w:r w:rsidRPr="008E4E78">
        <w:rPr>
          <w:sz w:val="28"/>
          <w:szCs w:val="28"/>
        </w:rPr>
        <w:t>). Это свидетельствует о внимании администрации к вопросам обновления материально-технической базы.</w:t>
      </w:r>
    </w:p>
    <w:p w:rsidR="00FA568A" w:rsidRPr="008E4E78" w:rsidRDefault="00FA568A" w:rsidP="00FA568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программы планируется</w:t>
      </w:r>
      <w:r w:rsidRPr="008E4E78">
        <w:rPr>
          <w:sz w:val="28"/>
          <w:szCs w:val="28"/>
        </w:rPr>
        <w:t>:</w:t>
      </w:r>
    </w:p>
    <w:p w:rsidR="00FA568A" w:rsidRPr="008E4E78" w:rsidRDefault="00FA568A" w:rsidP="00FA568A">
      <w:pPr>
        <w:spacing w:line="360" w:lineRule="auto"/>
        <w:ind w:firstLine="709"/>
        <w:jc w:val="both"/>
        <w:rPr>
          <w:sz w:val="28"/>
          <w:szCs w:val="28"/>
        </w:rPr>
      </w:pPr>
      <w:r w:rsidRPr="008E4E78">
        <w:rPr>
          <w:sz w:val="28"/>
          <w:szCs w:val="28"/>
        </w:rPr>
        <w:t>- приобретение компьютерной и оргтехники;</w:t>
      </w:r>
    </w:p>
    <w:p w:rsidR="00FA568A" w:rsidRPr="008E4E78" w:rsidRDefault="00FA568A" w:rsidP="00FA568A">
      <w:pPr>
        <w:spacing w:line="360" w:lineRule="auto"/>
        <w:ind w:firstLine="709"/>
        <w:jc w:val="both"/>
        <w:rPr>
          <w:sz w:val="28"/>
          <w:szCs w:val="28"/>
        </w:rPr>
      </w:pPr>
      <w:r w:rsidRPr="008E4E78">
        <w:rPr>
          <w:sz w:val="28"/>
          <w:szCs w:val="28"/>
        </w:rPr>
        <w:t>- проведение ремонтов зданий и инженерных коммуникаций;</w:t>
      </w:r>
    </w:p>
    <w:p w:rsidR="00FA568A" w:rsidRPr="008E4E78" w:rsidRDefault="00FA568A" w:rsidP="00FA568A">
      <w:pPr>
        <w:spacing w:line="360" w:lineRule="auto"/>
        <w:ind w:firstLine="709"/>
        <w:jc w:val="both"/>
        <w:rPr>
          <w:sz w:val="28"/>
          <w:szCs w:val="28"/>
        </w:rPr>
      </w:pPr>
      <w:r w:rsidRPr="008E4E78">
        <w:rPr>
          <w:sz w:val="28"/>
          <w:szCs w:val="28"/>
        </w:rPr>
        <w:t>- обновление автопарка;</w:t>
      </w:r>
    </w:p>
    <w:p w:rsidR="00FA568A" w:rsidRPr="008E4E78" w:rsidRDefault="00FA568A" w:rsidP="00FA568A">
      <w:pPr>
        <w:spacing w:line="360" w:lineRule="auto"/>
        <w:ind w:firstLine="709"/>
        <w:jc w:val="both"/>
        <w:rPr>
          <w:sz w:val="28"/>
          <w:szCs w:val="28"/>
        </w:rPr>
      </w:pPr>
      <w:r w:rsidRPr="008E4E78">
        <w:rPr>
          <w:sz w:val="28"/>
          <w:szCs w:val="28"/>
        </w:rPr>
        <w:t>- закупка мебели и инвентаря.</w:t>
      </w:r>
    </w:p>
    <w:p w:rsidR="00F03593" w:rsidRPr="008B5B96" w:rsidRDefault="00F03593" w:rsidP="00F03593">
      <w:pPr>
        <w:spacing w:line="360" w:lineRule="auto"/>
        <w:ind w:firstLine="709"/>
        <w:jc w:val="both"/>
        <w:rPr>
          <w:sz w:val="28"/>
          <w:szCs w:val="28"/>
        </w:rPr>
      </w:pPr>
      <w:r w:rsidRPr="008B5B96">
        <w:rPr>
          <w:sz w:val="28"/>
          <w:szCs w:val="28"/>
        </w:rPr>
        <w:t>Для системной оценки динамики материально-технического обеспечения администрации проведен анализ финансирования муниципальной программы «Материально-техническое обеспечение органов местного самоуправления Чугуевского муниципального округа» за 2</w:t>
      </w:r>
      <w:r w:rsidR="000E2F93">
        <w:rPr>
          <w:sz w:val="28"/>
          <w:szCs w:val="28"/>
        </w:rPr>
        <w:t>023-2025 гг. в таблице 1.5</w:t>
      </w:r>
      <w:r>
        <w:rPr>
          <w:sz w:val="28"/>
          <w:szCs w:val="28"/>
        </w:rPr>
        <w:t>.</w:t>
      </w:r>
    </w:p>
    <w:p w:rsidR="00F03593" w:rsidRDefault="000E2F93" w:rsidP="00F03593">
      <w:pPr>
        <w:spacing w:before="12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1.5</w:t>
      </w:r>
      <w:r w:rsidR="00F03593">
        <w:rPr>
          <w:sz w:val="28"/>
          <w:szCs w:val="28"/>
        </w:rPr>
        <w:t xml:space="preserve"> </w:t>
      </w:r>
      <w:r w:rsidR="00F03593" w:rsidRPr="008B5B96">
        <w:rPr>
          <w:sz w:val="28"/>
          <w:szCs w:val="28"/>
        </w:rPr>
        <w:t>— Анализ финансирования и обновления материально-тех</w:t>
      </w:r>
      <w:r w:rsidR="00F03593">
        <w:rPr>
          <w:sz w:val="28"/>
          <w:szCs w:val="28"/>
        </w:rPr>
        <w:t>нической базы администрации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F03593" w:rsidTr="007C3CEF">
        <w:tc>
          <w:tcPr>
            <w:tcW w:w="1604" w:type="dxa"/>
          </w:tcPr>
          <w:p w:rsidR="00F03593" w:rsidRPr="008B5B96" w:rsidRDefault="00F03593" w:rsidP="007C3CEF">
            <w:pPr>
              <w:jc w:val="center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604" w:type="dxa"/>
          </w:tcPr>
          <w:p w:rsidR="00F03593" w:rsidRPr="008B5B96" w:rsidRDefault="00F03593" w:rsidP="007C3CEF">
            <w:pPr>
              <w:jc w:val="center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center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center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center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>Абсолютное отклонение (2025-2023)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center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>Темп роста, %</w:t>
            </w:r>
          </w:p>
        </w:tc>
      </w:tr>
      <w:tr w:rsidR="00F03593" w:rsidTr="007C3CEF">
        <w:tc>
          <w:tcPr>
            <w:tcW w:w="1604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Финансирование программы, тыс. руб. </w:t>
            </w:r>
          </w:p>
        </w:tc>
        <w:tc>
          <w:tcPr>
            <w:tcW w:w="1604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27 103,1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29 882,9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33 292,4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+6 189,3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122,8% </w:t>
            </w:r>
          </w:p>
        </w:tc>
      </w:tr>
      <w:tr w:rsidR="00F03593" w:rsidTr="007C3CEF">
        <w:tc>
          <w:tcPr>
            <w:tcW w:w="1604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Приобретено компьютерной техники, ед. </w:t>
            </w:r>
          </w:p>
        </w:tc>
        <w:tc>
          <w:tcPr>
            <w:tcW w:w="1604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28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+13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186,7% </w:t>
            </w:r>
          </w:p>
        </w:tc>
      </w:tr>
    </w:tbl>
    <w:p w:rsidR="000E2F93" w:rsidRDefault="000E2F93"/>
    <w:p w:rsidR="000E2F93" w:rsidRPr="000E2F93" w:rsidRDefault="000E2F93" w:rsidP="000E2F93">
      <w:pPr>
        <w:spacing w:line="360" w:lineRule="auto"/>
        <w:rPr>
          <w:sz w:val="28"/>
          <w:szCs w:val="28"/>
        </w:rPr>
      </w:pPr>
      <w:r w:rsidRPr="000E2F93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родолжение таблицы 1.5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F03593" w:rsidTr="007C3CEF">
        <w:tc>
          <w:tcPr>
            <w:tcW w:w="1604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 Приобретено автотранспорта, ед. </w:t>
            </w:r>
          </w:p>
        </w:tc>
        <w:tc>
          <w:tcPr>
            <w:tcW w:w="1604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+1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200,0% </w:t>
            </w:r>
          </w:p>
        </w:tc>
      </w:tr>
      <w:tr w:rsidR="00F03593" w:rsidTr="007C3CEF">
        <w:tc>
          <w:tcPr>
            <w:tcW w:w="1604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 Проведено капитальных ремонтов зданий, ед. </w:t>
            </w:r>
          </w:p>
        </w:tc>
        <w:tc>
          <w:tcPr>
            <w:tcW w:w="1604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+2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200,0% </w:t>
            </w:r>
          </w:p>
        </w:tc>
      </w:tr>
      <w:tr w:rsidR="00F03593" w:rsidTr="007C3CEF">
        <w:tc>
          <w:tcPr>
            <w:tcW w:w="1604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 Ориентировочный уровень износа ОС (средний), % </w:t>
            </w:r>
          </w:p>
        </w:tc>
        <w:tc>
          <w:tcPr>
            <w:tcW w:w="1604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75%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68%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62%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-13 п.п. </w:t>
            </w:r>
          </w:p>
        </w:tc>
        <w:tc>
          <w:tcPr>
            <w:tcW w:w="1605" w:type="dxa"/>
          </w:tcPr>
          <w:p w:rsidR="00F03593" w:rsidRPr="008B5B96" w:rsidRDefault="0051042D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3593" w:rsidTr="007C3CEF">
        <w:tc>
          <w:tcPr>
            <w:tcW w:w="1604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 Количество замененной оргтехники, ед. </w:t>
            </w:r>
          </w:p>
        </w:tc>
        <w:tc>
          <w:tcPr>
            <w:tcW w:w="1604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24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+12 </w:t>
            </w:r>
          </w:p>
        </w:tc>
        <w:tc>
          <w:tcPr>
            <w:tcW w:w="1605" w:type="dxa"/>
          </w:tcPr>
          <w:p w:rsidR="00F03593" w:rsidRPr="008B5B96" w:rsidRDefault="00F035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200,0% </w:t>
            </w:r>
          </w:p>
        </w:tc>
      </w:tr>
    </w:tbl>
    <w:p w:rsidR="00F03593" w:rsidRDefault="00F03593" w:rsidP="00F03593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8B5B96">
        <w:rPr>
          <w:sz w:val="28"/>
          <w:szCs w:val="28"/>
        </w:rPr>
        <w:t>Анализ динамики показывает, что финансирование программы МТО выросло на 22,8% за три года (с 27,1 до 33,3 млн руб.), что свидетельствует о последовательном внимании администрации к вопросам обновления материально-технической базы. Количество приобретенной компьютерной техники увеличилось в 1,9 раза (с 15 до 28 единиц), что позволило снизить средний уровень износа ко</w:t>
      </w:r>
      <w:r>
        <w:rPr>
          <w:sz w:val="28"/>
          <w:szCs w:val="28"/>
        </w:rPr>
        <w:t>мпьютерного парка с 75% до 62%.</w:t>
      </w:r>
    </w:p>
    <w:p w:rsidR="00F03593" w:rsidRPr="008B5B96" w:rsidRDefault="00F03593" w:rsidP="00F03593">
      <w:pPr>
        <w:spacing w:line="360" w:lineRule="auto"/>
        <w:ind w:firstLine="709"/>
        <w:jc w:val="both"/>
        <w:rPr>
          <w:sz w:val="28"/>
          <w:szCs w:val="28"/>
        </w:rPr>
      </w:pPr>
      <w:r w:rsidRPr="008B5B96">
        <w:rPr>
          <w:sz w:val="28"/>
          <w:szCs w:val="28"/>
        </w:rPr>
        <w:t xml:space="preserve">Обновление автопарка происходит недостаточными темпами: за три года приобретено всего 5 единиц автотранспорта при плановой потребности в 12-15 единицах (согласно программе МТО), в связи с чем степень износа автотранспорта остается на уровне 68-70%. Капитальные ремонты зданий проводятся ежегодно (2-4 ремонта в год), однако этого недостаточно для поддержания 5 административных </w:t>
      </w:r>
      <w:r>
        <w:rPr>
          <w:sz w:val="28"/>
          <w:szCs w:val="28"/>
        </w:rPr>
        <w:t>зданий в нормативном состоянии.</w:t>
      </w:r>
    </w:p>
    <w:p w:rsidR="00F03593" w:rsidRPr="008B5B96" w:rsidRDefault="00F03593" w:rsidP="00F03593">
      <w:pPr>
        <w:spacing w:line="360" w:lineRule="auto"/>
        <w:ind w:firstLine="709"/>
        <w:jc w:val="both"/>
        <w:rPr>
          <w:sz w:val="28"/>
          <w:szCs w:val="28"/>
        </w:rPr>
      </w:pPr>
      <w:r w:rsidRPr="008B5B96">
        <w:rPr>
          <w:sz w:val="28"/>
          <w:szCs w:val="28"/>
        </w:rPr>
        <w:t xml:space="preserve">Положительным фактором является рост финансирования программы МТО на 22,8% и увеличение закупок компьютерной техники в 1,9 раза, что позволило снизить совокупный износ основных средств на 13 процентных пунктов. Однако критической проблемой остается высокий износ автотранспорта (68-70%) и недостаточные темпы капитальных ремонтов зданий. При текущих темпах обновления (3-4 ремонта в год) для приведения всех объектов в нормативное состояние потребуется более 5 лет, что создает риск ухудшения условий труда </w:t>
      </w:r>
      <w:r w:rsidRPr="008B5B96">
        <w:rPr>
          <w:sz w:val="28"/>
          <w:szCs w:val="28"/>
        </w:rPr>
        <w:lastRenderedPageBreak/>
        <w:t>муниципальных служащих. Рекомендуется увеличить долю расходов на приобретение автотранспорта в структуре программы МТО с текущих 15% до 25-30%, а также рассмотреть возможность привлечения внебюджетных средств (участие в краевых программах) для ускорения обновления материальной базы.</w:t>
      </w:r>
    </w:p>
    <w:p w:rsidR="00C972DA" w:rsidRPr="009F6065" w:rsidRDefault="009F6065" w:rsidP="00083306">
      <w:pPr>
        <w:widowControl w:val="0"/>
        <w:spacing w:before="240" w:after="12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E0E57">
        <w:rPr>
          <w:rFonts w:ascii="Arial" w:hAnsi="Arial" w:cs="Arial"/>
          <w:sz w:val="28"/>
          <w:szCs w:val="28"/>
        </w:rPr>
        <w:t>1.4.3</w:t>
      </w:r>
      <w:r w:rsidR="00C972DA" w:rsidRPr="003E0E57">
        <w:rPr>
          <w:rFonts w:ascii="Arial" w:hAnsi="Arial" w:cs="Arial"/>
          <w:sz w:val="28"/>
          <w:szCs w:val="28"/>
        </w:rPr>
        <w:t xml:space="preserve"> Человеческие ресурсы</w:t>
      </w:r>
    </w:p>
    <w:p w:rsidR="00C972DA" w:rsidRDefault="00C972DA" w:rsidP="00C972D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46C74">
        <w:rPr>
          <w:sz w:val="28"/>
          <w:szCs w:val="28"/>
        </w:rPr>
        <w:t>Кадровый состав администрации хара</w:t>
      </w:r>
      <w:r>
        <w:rPr>
          <w:sz w:val="28"/>
          <w:szCs w:val="28"/>
        </w:rPr>
        <w:t>ктеризуется следующими данными</w:t>
      </w:r>
      <w:r w:rsidR="003E0E57">
        <w:rPr>
          <w:sz w:val="28"/>
          <w:szCs w:val="28"/>
        </w:rPr>
        <w:t>, указанными в таблиц</w:t>
      </w:r>
      <w:r w:rsidR="000E2F93">
        <w:rPr>
          <w:sz w:val="28"/>
          <w:szCs w:val="28"/>
        </w:rPr>
        <w:t>е 1.6</w:t>
      </w:r>
      <w:r w:rsidR="003E0E57">
        <w:rPr>
          <w:sz w:val="28"/>
          <w:szCs w:val="28"/>
        </w:rPr>
        <w:t>.</w:t>
      </w:r>
    </w:p>
    <w:p w:rsidR="000E2F93" w:rsidRDefault="000E2F93" w:rsidP="000E2F93">
      <w:pPr>
        <w:spacing w:before="12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1.6</w:t>
      </w:r>
      <w:r w:rsidRPr="008B5B96">
        <w:rPr>
          <w:sz w:val="28"/>
          <w:szCs w:val="28"/>
        </w:rPr>
        <w:t xml:space="preserve"> — Динамика кадрового состава</w:t>
      </w:r>
      <w:r>
        <w:rPr>
          <w:sz w:val="28"/>
          <w:szCs w:val="28"/>
        </w:rPr>
        <w:t xml:space="preserve"> администрации за 2023-2025 гг.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0E2F93" w:rsidTr="007C3CEF"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2023 г.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2024 г.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2025 г.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Абсолютное отклонение (2025-2023)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Темп роста, % </w:t>
            </w:r>
          </w:p>
        </w:tc>
      </w:tr>
      <w:tr w:rsidR="000E2F93" w:rsidTr="007C3CEF"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Общая численность, чел. </w:t>
            </w:r>
          </w:p>
        </w:tc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106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108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110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+4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103,8% </w:t>
            </w:r>
          </w:p>
        </w:tc>
      </w:tr>
      <w:tr w:rsidR="000E2F93" w:rsidTr="007C3CEF"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Муниципальные служащие, чел. </w:t>
            </w:r>
          </w:p>
        </w:tc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73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  <w:r w:rsidRPr="008B5B96">
              <w:rPr>
                <w:rFonts w:ascii="Times New Roman" w:hAnsi="Times New Roman" w:cs="Times New Roman"/>
              </w:rPr>
              <w:t xml:space="preserve"> |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+3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104,1% </w:t>
            </w:r>
          </w:p>
        </w:tc>
      </w:tr>
      <w:tr w:rsidR="000E2F93" w:rsidTr="007C3CEF"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>Технические работники, чел</w:t>
            </w:r>
          </w:p>
        </w:tc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 +1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103,0% </w:t>
            </w:r>
          </w:p>
        </w:tc>
      </w:tr>
      <w:tr w:rsidR="000E2F93" w:rsidTr="007C3CEF"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Доля сотрудников с высшим образованием, % </w:t>
            </w:r>
          </w:p>
        </w:tc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78%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80%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 81%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+3 п.п.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E2F93" w:rsidTr="007C3CEF"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Доля сотрудников до 30 лет, % </w:t>
            </w:r>
          </w:p>
        </w:tc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8%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 10%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12%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+4 п.п.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0E2F93" w:rsidTr="007C3CEF"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Доля сотрудников старше 55 лет, % </w:t>
            </w:r>
          </w:p>
        </w:tc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18%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22%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25%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+7 п.п.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E2F93" w:rsidTr="007C3CEF"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Текучесть кадров (ежегодная), % </w:t>
            </w:r>
          </w:p>
        </w:tc>
        <w:tc>
          <w:tcPr>
            <w:tcW w:w="1604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5%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7%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9%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 w:rsidRPr="008B5B96">
              <w:rPr>
                <w:rFonts w:ascii="Times New Roman" w:hAnsi="Times New Roman" w:cs="Times New Roman"/>
              </w:rPr>
              <w:t xml:space="preserve">+4 п.п. </w:t>
            </w:r>
          </w:p>
        </w:tc>
        <w:tc>
          <w:tcPr>
            <w:tcW w:w="1605" w:type="dxa"/>
          </w:tcPr>
          <w:p w:rsidR="000E2F93" w:rsidRPr="008B5B96" w:rsidRDefault="000E2F93" w:rsidP="007C3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0E2F93" w:rsidRPr="008B5B96" w:rsidRDefault="000E2F93" w:rsidP="000E2F93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8B5B96">
        <w:rPr>
          <w:sz w:val="28"/>
          <w:szCs w:val="28"/>
        </w:rPr>
        <w:t>Анализ динамики кадровых показателей позволя</w:t>
      </w:r>
      <w:r>
        <w:rPr>
          <w:sz w:val="28"/>
          <w:szCs w:val="28"/>
        </w:rPr>
        <w:t>ет выявить следующие тенденции.</w:t>
      </w:r>
    </w:p>
    <w:p w:rsidR="000E2F93" w:rsidRPr="008B5B96" w:rsidRDefault="000E2F93" w:rsidP="000E2F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B5B96">
        <w:rPr>
          <w:sz w:val="28"/>
          <w:szCs w:val="28"/>
        </w:rPr>
        <w:t xml:space="preserve"> Старение кадров — доля сотрудников старше 55 лет выросла с 18% до 25% (+7 п.п.) за три года, в то время как доля молодежи до 30 лет увеличилась незначительно (с 8% до 12%). Это создает риск кадрового разрыва при выходе </w:t>
      </w:r>
      <w:r w:rsidRPr="008B5B96">
        <w:rPr>
          <w:sz w:val="28"/>
          <w:szCs w:val="28"/>
        </w:rPr>
        <w:lastRenderedPageBreak/>
        <w:t>на пенсию опытных специалистов (каждый четвертый сотрудник до</w:t>
      </w:r>
      <w:r>
        <w:rPr>
          <w:sz w:val="28"/>
          <w:szCs w:val="28"/>
        </w:rPr>
        <w:t>стиг предпенсионного возраста).</w:t>
      </w:r>
    </w:p>
    <w:p w:rsidR="000E2F93" w:rsidRPr="008B5B96" w:rsidRDefault="000E2F93" w:rsidP="000E2F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B5B96">
        <w:rPr>
          <w:sz w:val="28"/>
          <w:szCs w:val="28"/>
        </w:rPr>
        <w:t xml:space="preserve"> Рост текучести кадров — текучесть увеличилась с 5% до 9% (+4 п.п.), что превышает нормативный уровень для органов местного самоуправления (5-7%). Основные причины — низкий уровень оплаты труда (снижение соотношения с 68% до 63,2% от среднекраевого) и высокая нагрузка, связанная с совмещением функций.</w:t>
      </w:r>
    </w:p>
    <w:p w:rsidR="000E2F93" w:rsidRPr="008B5B96" w:rsidRDefault="000E2F93" w:rsidP="000E2F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B5B96">
        <w:rPr>
          <w:sz w:val="28"/>
          <w:szCs w:val="28"/>
        </w:rPr>
        <w:t xml:space="preserve"> Снижение среднего стажа — с 12 до 10 лет (-2 года) свидетельствует о том, что уходят опытные сотрудники, а приходят менее опытные, что может снизить качество прин</w:t>
      </w:r>
      <w:r>
        <w:rPr>
          <w:sz w:val="28"/>
          <w:szCs w:val="28"/>
        </w:rPr>
        <w:t>имаемых управленческих решений.</w:t>
      </w:r>
    </w:p>
    <w:p w:rsidR="000E2F93" w:rsidRPr="008B5B96" w:rsidRDefault="000E2F93" w:rsidP="000E2F93">
      <w:pPr>
        <w:spacing w:line="360" w:lineRule="auto"/>
        <w:ind w:firstLine="709"/>
        <w:jc w:val="both"/>
        <w:rPr>
          <w:sz w:val="28"/>
          <w:szCs w:val="28"/>
        </w:rPr>
      </w:pPr>
      <w:r w:rsidRPr="008B5B96">
        <w:rPr>
          <w:sz w:val="28"/>
          <w:szCs w:val="28"/>
        </w:rPr>
        <w:t>4 Рост численности персонала — увеличение на 4 человека за три года при росте объема полномочий (участие в новых национальных проектах) является обоснованным, однако требует дополнительной оценки эффективности работы новых сотрудников.</w:t>
      </w:r>
    </w:p>
    <w:p w:rsidR="000E2F93" w:rsidRDefault="000E2F93" w:rsidP="000E2F93">
      <w:pPr>
        <w:spacing w:line="360" w:lineRule="auto"/>
        <w:ind w:firstLine="709"/>
        <w:jc w:val="both"/>
        <w:rPr>
          <w:b/>
          <w:i/>
          <w:color w:val="FF0000"/>
          <w:sz w:val="28"/>
          <w:szCs w:val="28"/>
        </w:rPr>
      </w:pPr>
      <w:r w:rsidRPr="008B5B96">
        <w:rPr>
          <w:sz w:val="28"/>
          <w:szCs w:val="28"/>
        </w:rPr>
        <w:t>Кадровый состав администрации характеризуется стабильностью и высоким уровнем профессионализма: 72% сотрудников имеют стаж более пяти лет, 81% имеют высшее образование. Однако выявлены критические проблемы: дефицит молодых специалистов (доля до 30 лет — всего 12%), рост текучести кадров (+4 п.п. за три года) и снижение уровня оплаты труда (до 63,2% от среднекраевого). Особую тревогу вызывает старение кадров — 25% сотрудников старше 55 лет могут выйти на пенсию в ближайшие 3-5 лет. Для укрепления кадрового потенциала рекомендуется: разработать программу привлечения молодых специалистов (жилищные сертификаты, доплаты до 30 лет, целевое обучение); пересмотреть систему оплаты труда с повышением среднего уровня до 80% от среднекраевого к 2028 году; внедрить систему наставничества для передачи опыта молодым сотрудникам</w:t>
      </w:r>
      <w:r w:rsidRPr="008B5B96">
        <w:rPr>
          <w:b/>
          <w:i/>
          <w:color w:val="FF0000"/>
          <w:sz w:val="28"/>
          <w:szCs w:val="28"/>
        </w:rPr>
        <w:t>.</w:t>
      </w:r>
    </w:p>
    <w:p w:rsidR="000A38B4" w:rsidRDefault="000A38B4" w:rsidP="004C791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0A38B4" w:rsidRDefault="000A38B4" w:rsidP="004C791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0A38B4" w:rsidRDefault="000A38B4" w:rsidP="004C791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0A38B4" w:rsidRPr="00083306" w:rsidRDefault="000A38B4" w:rsidP="000E2F93">
      <w:pPr>
        <w:widowControl w:val="0"/>
        <w:spacing w:line="360" w:lineRule="auto"/>
        <w:jc w:val="both"/>
        <w:rPr>
          <w:sz w:val="28"/>
          <w:szCs w:val="28"/>
        </w:rPr>
      </w:pPr>
    </w:p>
    <w:p w:rsidR="00937667" w:rsidRPr="00243AE8" w:rsidRDefault="00937667" w:rsidP="00937667">
      <w:pPr>
        <w:spacing w:after="240" w:line="360" w:lineRule="auto"/>
        <w:ind w:firstLine="709"/>
        <w:jc w:val="both"/>
        <w:rPr>
          <w:rFonts w:ascii="Arial" w:hAnsi="Arial" w:cs="Arial"/>
          <w:sz w:val="30"/>
          <w:szCs w:val="30"/>
        </w:rPr>
      </w:pPr>
      <w:r w:rsidRPr="00243AE8">
        <w:rPr>
          <w:rFonts w:ascii="Arial" w:hAnsi="Arial" w:cs="Arial"/>
          <w:sz w:val="30"/>
          <w:szCs w:val="30"/>
        </w:rPr>
        <w:lastRenderedPageBreak/>
        <w:t>Раздел 2. Индивидуальное задание</w:t>
      </w:r>
    </w:p>
    <w:p w:rsidR="00937667" w:rsidRDefault="00937667" w:rsidP="00937667">
      <w:pPr>
        <w:spacing w:after="12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43AE8">
        <w:rPr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2.1</w:t>
      </w:r>
      <w:r w:rsidRPr="00243AE8">
        <w:rPr>
          <w:rFonts w:ascii="Arial" w:hAnsi="Arial" w:cs="Arial"/>
          <w:sz w:val="28"/>
          <w:szCs w:val="28"/>
        </w:rPr>
        <w:t xml:space="preserve"> SWOT-анализ внешней и внутренней среды администрации Чугуевского муниципального округа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Для выявления перспектив развития администрации Чугуевского муниципального округа и определения факторов, влияющих на её деятельность, был проведён SWOT-анализ. Данный метод позволяет систематизировать информацию о внутренних сильных и слабых сторонах организации, а также о внешних возможностях и угрозах.</w:t>
      </w:r>
    </w:p>
    <w:p w:rsidR="004341E1" w:rsidRDefault="004341E1" w:rsidP="004341E1">
      <w:pPr>
        <w:spacing w:before="240" w:after="120" w:line="360" w:lineRule="auto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Таблица 2.1 — SWOT-анализ администрации Чугу</w:t>
      </w:r>
      <w:r>
        <w:rPr>
          <w:sz w:val="28"/>
          <w:szCs w:val="28"/>
        </w:rPr>
        <w:t>евского муниципального округа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jc w:val="center"/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>Сильные стороны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jc w:val="center"/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>Слабые стороны</w:t>
            </w:r>
          </w:p>
        </w:tc>
      </w:tr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1. Стабильный и опытный кадровый состав (72% сотрудников имеют стаж более 5 лет, 81% — высшее образование) 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1. Дефицит молодых специалистов (доля до 30 лет — всего 12%)  </w:t>
            </w:r>
          </w:p>
        </w:tc>
      </w:tr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 2. Утверждённая Стратегия социально-экономического развития до 2030 года и Инвестиционная декларация 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2. Высокая зависимость бюджета от межбюджетных трансфертов (более 60%) </w:t>
            </w:r>
          </w:p>
        </w:tc>
      </w:tr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3. Активное участие в национальных и федеральных проектах 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3. Износ компьютерного парка и автотранспорта (60–70%) </w:t>
            </w:r>
          </w:p>
        </w:tc>
      </w:tr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 4. Программно-целевой подход к бюджетному планированию (более 90% расходов — в рамках муниципальных программ) 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>4. Уровень среднемесячной заработной платы — 63,2% от среднекраевого</w:t>
            </w:r>
          </w:p>
        </w:tc>
      </w:tr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 5. Внедрена система электронного документооборота 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5. Высокая нагрузка на сотрудников в связи с совмещением функций </w:t>
            </w:r>
          </w:p>
        </w:tc>
      </w:tr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 6. Разнообразие природных ресурсов (лесные массивы, сельхозугодия, рекреационные зоны) 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6. Недостаточный уровень цифровизации муниципальных услуг по сравнению с городскими территориями </w:t>
            </w:r>
          </w:p>
        </w:tc>
      </w:tr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jc w:val="center"/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>Возможности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jc w:val="center"/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>Угрозы</w:t>
            </w:r>
          </w:p>
        </w:tc>
      </w:tr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>1. Развитие перспективных инвестиционных ниш в сфере лесопереработки, сельского хозяйства и туризма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1. Демографический спад и отток квалифицированных специалистов  </w:t>
            </w:r>
          </w:p>
        </w:tc>
      </w:tr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>2. Привлечение федерального и краевого финансирования в рамках программы «Комплексное</w:t>
            </w:r>
            <w:r>
              <w:rPr>
                <w:rFonts w:ascii="Times New Roman" w:hAnsi="Times New Roman" w:cs="Times New Roman"/>
              </w:rPr>
              <w:t xml:space="preserve"> развитие сельских территорий» 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2. Сокращение объёмов софинансирования из вышестоящих бюджетов </w:t>
            </w:r>
          </w:p>
        </w:tc>
      </w:tr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3. Использование механизмов государственно-частного и муниципально-частного партнёрства 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3. Физическое и моральное старение технологического оборудования на предприятиях округа  </w:t>
            </w:r>
          </w:p>
        </w:tc>
      </w:tr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4. Развитие цифровизации муниципальных услуг и повышение их доступности  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4. Риск «заморозки» инвестиционных проектов и переключения инвесторов на другие территории  </w:t>
            </w:r>
          </w:p>
        </w:tc>
      </w:tr>
    </w:tbl>
    <w:p w:rsidR="0050016D" w:rsidRDefault="0050016D"/>
    <w:p w:rsidR="0050016D" w:rsidRPr="0050016D" w:rsidRDefault="0050016D" w:rsidP="000E2F93">
      <w:pPr>
        <w:spacing w:line="360" w:lineRule="auto"/>
        <w:rPr>
          <w:sz w:val="28"/>
          <w:szCs w:val="28"/>
        </w:rPr>
      </w:pPr>
      <w:r w:rsidRPr="0050016D">
        <w:rPr>
          <w:sz w:val="28"/>
          <w:szCs w:val="28"/>
        </w:rPr>
        <w:lastRenderedPageBreak/>
        <w:t>Продолжение таблицы 2.1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 5. Расширение мер поддержки малого и среднего предпринимательства 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5. Низкая покупательская способность населения, ограничивающая платёжеспособный спрос </w:t>
            </w:r>
          </w:p>
        </w:tc>
      </w:tr>
      <w:tr w:rsidR="004341E1" w:rsidTr="004341E1">
        <w:tc>
          <w:tcPr>
            <w:tcW w:w="4672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6. Совершенствование механизмов СЗПК для муниципального уровня </w:t>
            </w:r>
          </w:p>
        </w:tc>
        <w:tc>
          <w:tcPr>
            <w:tcW w:w="4673" w:type="dxa"/>
          </w:tcPr>
          <w:p w:rsidR="004341E1" w:rsidRPr="00F8628F" w:rsidRDefault="004341E1" w:rsidP="004341E1">
            <w:pPr>
              <w:rPr>
                <w:rFonts w:ascii="Times New Roman" w:hAnsi="Times New Roman" w:cs="Times New Roman"/>
              </w:rPr>
            </w:pPr>
            <w:r w:rsidRPr="00F8628F">
              <w:rPr>
                <w:rFonts w:ascii="Times New Roman" w:hAnsi="Times New Roman" w:cs="Times New Roman"/>
              </w:rPr>
              <w:t xml:space="preserve"> 6. Высокая конкуренция со стороны соседних муниципалитетов за инвестиционные ресурсы  </w:t>
            </w:r>
          </w:p>
        </w:tc>
      </w:tr>
    </w:tbl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 w:rsidRPr="00700620">
        <w:rPr>
          <w:sz w:val="28"/>
          <w:szCs w:val="28"/>
        </w:rPr>
        <w:t xml:space="preserve">Проведенный SWOT-анализ позволяет не только идентифицировать факторы внутренней и внешней среды, но и определить стратегические направления развития администрации </w:t>
      </w:r>
      <w:r>
        <w:rPr>
          <w:sz w:val="28"/>
          <w:szCs w:val="28"/>
        </w:rPr>
        <w:t>ЧМО через анализ взаимосвязей.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00620">
        <w:rPr>
          <w:sz w:val="28"/>
          <w:szCs w:val="28"/>
        </w:rPr>
        <w:t xml:space="preserve"> Поле «Сильные стороны — Возможности» (страте</w:t>
      </w:r>
      <w:r>
        <w:rPr>
          <w:sz w:val="28"/>
          <w:szCs w:val="28"/>
        </w:rPr>
        <w:t>гия использования преимуществ):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Опытный кадровый состав (С1), у</w:t>
      </w:r>
      <w:r w:rsidRPr="00700620">
        <w:rPr>
          <w:sz w:val="28"/>
          <w:szCs w:val="28"/>
        </w:rPr>
        <w:t>части</w:t>
      </w:r>
      <w:r>
        <w:rPr>
          <w:sz w:val="28"/>
          <w:szCs w:val="28"/>
        </w:rPr>
        <w:t>е в национальных проектах (С3) и в</w:t>
      </w:r>
      <w:r w:rsidRPr="00700620">
        <w:rPr>
          <w:sz w:val="28"/>
          <w:szCs w:val="28"/>
        </w:rPr>
        <w:t>озможность привлечения федерал</w:t>
      </w:r>
      <w:r>
        <w:rPr>
          <w:sz w:val="28"/>
          <w:szCs w:val="28"/>
        </w:rPr>
        <w:t>ьного финансирования (В2). Эта комбинация приведет к тому, что а</w:t>
      </w:r>
      <w:r w:rsidRPr="00700620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>сможет име</w:t>
      </w:r>
      <w:r w:rsidRPr="00700620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700620">
        <w:rPr>
          <w:sz w:val="28"/>
          <w:szCs w:val="28"/>
        </w:rPr>
        <w:t xml:space="preserve"> потенциал для эффективной реализации программ «Комплексное развитие сельских территорий» и «Жилье и городская среда», так как опытные сотрудники способны качественно готовить заявки и отчитываться по проектам. Это позволяет привлекать до 400-500 млн руб. еж</w:t>
      </w:r>
      <w:r>
        <w:rPr>
          <w:sz w:val="28"/>
          <w:szCs w:val="28"/>
        </w:rPr>
        <w:t>егодно из вышестоящих бюджетов;</w:t>
      </w:r>
    </w:p>
    <w:p w:rsidR="000A38B4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Программно-целевой подход (С4) и р</w:t>
      </w:r>
      <w:r w:rsidRPr="00700620">
        <w:rPr>
          <w:sz w:val="28"/>
          <w:szCs w:val="28"/>
        </w:rPr>
        <w:t>аз</w:t>
      </w:r>
      <w:r>
        <w:rPr>
          <w:sz w:val="28"/>
          <w:szCs w:val="28"/>
        </w:rPr>
        <w:t>витие инвестиционных ниш (В1). Комбинация приведет к использованию</w:t>
      </w:r>
      <w:r w:rsidRPr="00700620">
        <w:rPr>
          <w:sz w:val="28"/>
          <w:szCs w:val="28"/>
        </w:rPr>
        <w:t xml:space="preserve"> программно-целевого мето</w:t>
      </w:r>
      <w:r>
        <w:rPr>
          <w:sz w:val="28"/>
          <w:szCs w:val="28"/>
        </w:rPr>
        <w:t>да (более 90% расходов), это позволи</w:t>
      </w:r>
      <w:r w:rsidRPr="00700620">
        <w:rPr>
          <w:sz w:val="28"/>
          <w:szCs w:val="28"/>
        </w:rPr>
        <w:t>т системно развивать приоритетные отрасли — лесопереработку, сельское хозяйство и туризм. На каждый рубль бюджетных средств можно привлечь 3-5 рублей частных инвестиций через механизмы госуд</w:t>
      </w:r>
      <w:r>
        <w:rPr>
          <w:sz w:val="28"/>
          <w:szCs w:val="28"/>
        </w:rPr>
        <w:t>арственно-частного партнерства;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0620">
        <w:rPr>
          <w:sz w:val="28"/>
          <w:szCs w:val="28"/>
        </w:rPr>
        <w:t>Внедрение элек</w:t>
      </w:r>
      <w:r>
        <w:rPr>
          <w:sz w:val="28"/>
          <w:szCs w:val="28"/>
        </w:rPr>
        <w:t>тронного документооборота (С5) и р</w:t>
      </w:r>
      <w:r w:rsidRPr="00700620">
        <w:rPr>
          <w:sz w:val="28"/>
          <w:szCs w:val="28"/>
        </w:rPr>
        <w:t xml:space="preserve">азвитие цифровизации </w:t>
      </w:r>
      <w:r>
        <w:rPr>
          <w:sz w:val="28"/>
          <w:szCs w:val="28"/>
        </w:rPr>
        <w:t>услуг (В4) приведет к существующей системе</w:t>
      </w:r>
      <w:r w:rsidRPr="00700620">
        <w:rPr>
          <w:sz w:val="28"/>
          <w:szCs w:val="28"/>
        </w:rPr>
        <w:t xml:space="preserve"> СЭД</w:t>
      </w:r>
      <w:r>
        <w:rPr>
          <w:sz w:val="28"/>
          <w:szCs w:val="28"/>
        </w:rPr>
        <w:t>, которая</w:t>
      </w:r>
      <w:r w:rsidRPr="00700620">
        <w:rPr>
          <w:sz w:val="28"/>
          <w:szCs w:val="28"/>
        </w:rPr>
        <w:t xml:space="preserve"> является основой для перевода 30-40% муниципальных услуг в электронный вид к 2027 году, что повысит их доступность для населения и </w:t>
      </w:r>
      <w:r>
        <w:rPr>
          <w:sz w:val="28"/>
          <w:szCs w:val="28"/>
        </w:rPr>
        <w:t>снизит нагрузку на сотрудников.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00620">
        <w:rPr>
          <w:sz w:val="28"/>
          <w:szCs w:val="28"/>
        </w:rPr>
        <w:t xml:space="preserve"> Поле «Сильные стороны — Угрозы» (стратегия защиты):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0620">
        <w:rPr>
          <w:sz w:val="28"/>
          <w:szCs w:val="28"/>
        </w:rPr>
        <w:t>С</w:t>
      </w:r>
      <w:r>
        <w:rPr>
          <w:sz w:val="28"/>
          <w:szCs w:val="28"/>
        </w:rPr>
        <w:t>табильный кадровый состав (С1), у</w:t>
      </w:r>
      <w:r w:rsidRPr="00700620">
        <w:rPr>
          <w:sz w:val="28"/>
          <w:szCs w:val="28"/>
        </w:rPr>
        <w:t>гроза демографического сп</w:t>
      </w:r>
      <w:r>
        <w:rPr>
          <w:sz w:val="28"/>
          <w:szCs w:val="28"/>
        </w:rPr>
        <w:t>ада и оттока специалистов (У1) приведет</w:t>
      </w:r>
      <w:r w:rsidRPr="00700620">
        <w:rPr>
          <w:sz w:val="28"/>
          <w:szCs w:val="28"/>
        </w:rPr>
        <w:t xml:space="preserve"> </w:t>
      </w:r>
      <w:r>
        <w:rPr>
          <w:sz w:val="28"/>
          <w:szCs w:val="28"/>
        </w:rPr>
        <w:t>к в</w:t>
      </w:r>
      <w:r w:rsidRPr="00700620">
        <w:rPr>
          <w:sz w:val="28"/>
          <w:szCs w:val="28"/>
        </w:rPr>
        <w:t xml:space="preserve">ысокому профессионализму сотрудников и их стаж (более 5 лет у 72%) </w:t>
      </w:r>
      <w:r>
        <w:rPr>
          <w:sz w:val="28"/>
          <w:szCs w:val="28"/>
        </w:rPr>
        <w:t>будет</w:t>
      </w:r>
      <w:r w:rsidRPr="00700620">
        <w:rPr>
          <w:sz w:val="28"/>
          <w:szCs w:val="28"/>
        </w:rPr>
        <w:t xml:space="preserve"> «подушкой безопасности» при угрозе оттока </w:t>
      </w:r>
      <w:r w:rsidRPr="00700620">
        <w:rPr>
          <w:sz w:val="28"/>
          <w:szCs w:val="28"/>
        </w:rPr>
        <w:lastRenderedPageBreak/>
        <w:t>населения. Однако для удержания кадров необходимо повысить оплату труда, иначе этот ресурс б</w:t>
      </w:r>
      <w:r>
        <w:rPr>
          <w:sz w:val="28"/>
          <w:szCs w:val="28"/>
        </w:rPr>
        <w:t>удет утрачен в течение 2-3 лет;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0620">
        <w:rPr>
          <w:sz w:val="28"/>
          <w:szCs w:val="28"/>
        </w:rPr>
        <w:t>Актив</w:t>
      </w:r>
      <w:r>
        <w:rPr>
          <w:sz w:val="28"/>
          <w:szCs w:val="28"/>
        </w:rPr>
        <w:t>ное участие в нацпроектах (С3) и у</w:t>
      </w:r>
      <w:r w:rsidRPr="00700620">
        <w:rPr>
          <w:sz w:val="28"/>
          <w:szCs w:val="28"/>
        </w:rPr>
        <w:t>гроза со</w:t>
      </w:r>
      <w:r>
        <w:rPr>
          <w:sz w:val="28"/>
          <w:szCs w:val="28"/>
        </w:rPr>
        <w:t>кращения софинансирования (У2). Комбинация даст диверсификацию</w:t>
      </w:r>
      <w:r w:rsidRPr="00700620">
        <w:rPr>
          <w:sz w:val="28"/>
          <w:szCs w:val="28"/>
        </w:rPr>
        <w:t xml:space="preserve"> участия в различных национальных проектах (образование, экология, ЖКХ)</w:t>
      </w:r>
      <w:r>
        <w:rPr>
          <w:sz w:val="28"/>
          <w:szCs w:val="28"/>
        </w:rPr>
        <w:t>, что снизит</w:t>
      </w:r>
      <w:r w:rsidRPr="00700620">
        <w:rPr>
          <w:sz w:val="28"/>
          <w:szCs w:val="28"/>
        </w:rPr>
        <w:t xml:space="preserve"> риски при сокращении финансиро</w:t>
      </w:r>
      <w:r>
        <w:rPr>
          <w:sz w:val="28"/>
          <w:szCs w:val="28"/>
        </w:rPr>
        <w:t>вания по одному из направлений.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00620">
        <w:rPr>
          <w:sz w:val="28"/>
          <w:szCs w:val="28"/>
        </w:rPr>
        <w:t xml:space="preserve"> Поле «Слабые стороны — Возмож</w:t>
      </w:r>
      <w:r>
        <w:rPr>
          <w:sz w:val="28"/>
          <w:szCs w:val="28"/>
        </w:rPr>
        <w:t>ности» (стратегия компенсации):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0620">
        <w:rPr>
          <w:sz w:val="28"/>
          <w:szCs w:val="28"/>
        </w:rPr>
        <w:t>Дефи</w:t>
      </w:r>
      <w:r>
        <w:rPr>
          <w:sz w:val="28"/>
          <w:szCs w:val="28"/>
        </w:rPr>
        <w:t>цит молодых специалистов (Сл1) и развитие цифровизации (В4) даст в</w:t>
      </w:r>
      <w:r w:rsidRPr="00700620">
        <w:rPr>
          <w:sz w:val="28"/>
          <w:szCs w:val="28"/>
        </w:rPr>
        <w:t>недрение электронных сервисов и автоматизация рутинных процессов (отчетность, делопроизводство) позволит снизить нагрузку на существующих сотрудников и сделает работу более привлекательной для молодежи</w:t>
      </w:r>
      <w:r>
        <w:rPr>
          <w:sz w:val="28"/>
          <w:szCs w:val="28"/>
        </w:rPr>
        <w:t>, компенсируя кадровый дефицит;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0620">
        <w:rPr>
          <w:sz w:val="28"/>
          <w:szCs w:val="28"/>
        </w:rPr>
        <w:t>Высокая за</w:t>
      </w:r>
      <w:r>
        <w:rPr>
          <w:sz w:val="28"/>
          <w:szCs w:val="28"/>
        </w:rPr>
        <w:t>висимость от трансфертов (Сл2) и р</w:t>
      </w:r>
      <w:r w:rsidRPr="00700620">
        <w:rPr>
          <w:sz w:val="28"/>
          <w:szCs w:val="28"/>
        </w:rPr>
        <w:t>ас</w:t>
      </w:r>
      <w:r>
        <w:rPr>
          <w:sz w:val="28"/>
          <w:szCs w:val="28"/>
        </w:rPr>
        <w:t>ширение мер поддержки МСП (В5) приведет к у</w:t>
      </w:r>
      <w:r w:rsidRPr="00700620">
        <w:rPr>
          <w:sz w:val="28"/>
          <w:szCs w:val="28"/>
        </w:rPr>
        <w:t>вели</w:t>
      </w:r>
      <w:r>
        <w:rPr>
          <w:sz w:val="28"/>
          <w:szCs w:val="28"/>
        </w:rPr>
        <w:t>чению</w:t>
      </w:r>
      <w:r w:rsidRPr="00700620">
        <w:rPr>
          <w:sz w:val="28"/>
          <w:szCs w:val="28"/>
        </w:rPr>
        <w:t xml:space="preserve"> количества субъектов МСП (сейчас 619 ед.) и самозанятых (1047 чел.)</w:t>
      </w:r>
      <w:r>
        <w:rPr>
          <w:sz w:val="28"/>
          <w:szCs w:val="28"/>
        </w:rPr>
        <w:t>, что</w:t>
      </w:r>
      <w:r w:rsidRPr="00700620">
        <w:rPr>
          <w:sz w:val="28"/>
          <w:szCs w:val="28"/>
        </w:rPr>
        <w:t xml:space="preserve"> позволит расширить налоговую базу и снизить зависимость от вышестоящих бюджетов </w:t>
      </w:r>
      <w:r>
        <w:rPr>
          <w:sz w:val="28"/>
          <w:szCs w:val="28"/>
        </w:rPr>
        <w:t>с 60-65% до 50-55% к 2028 году;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Износ ОС (Сл3) и привлечение ГЧП (В3) даст и</w:t>
      </w:r>
      <w:r w:rsidRPr="00700620">
        <w:rPr>
          <w:sz w:val="28"/>
          <w:szCs w:val="28"/>
        </w:rPr>
        <w:t>спользование механизмов муниципально-частного партнерства для обновления инфраструктуры (очистные сооружения, дороги) позволит модернизировать материальную базу без з</w:t>
      </w:r>
      <w:r>
        <w:rPr>
          <w:sz w:val="28"/>
          <w:szCs w:val="28"/>
        </w:rPr>
        <w:t>начительной нагрузки на бюджет.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00620">
        <w:rPr>
          <w:sz w:val="28"/>
          <w:szCs w:val="28"/>
        </w:rPr>
        <w:t xml:space="preserve"> Поле «Слабые стороны — Угрозы»</w:t>
      </w:r>
      <w:r>
        <w:rPr>
          <w:sz w:val="28"/>
          <w:szCs w:val="28"/>
        </w:rPr>
        <w:t xml:space="preserve"> (критическое проблемное поле):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0620">
        <w:rPr>
          <w:sz w:val="28"/>
          <w:szCs w:val="28"/>
        </w:rPr>
        <w:t>Износ компьютерног</w:t>
      </w:r>
      <w:r>
        <w:rPr>
          <w:sz w:val="28"/>
          <w:szCs w:val="28"/>
        </w:rPr>
        <w:t>о парка и автотранспорта (Сл3) и конкуренция за инвесторов (У6) привлечет критическую угрозу</w:t>
      </w:r>
      <w:r w:rsidRPr="00700620">
        <w:rPr>
          <w:sz w:val="28"/>
          <w:szCs w:val="28"/>
        </w:rPr>
        <w:t xml:space="preserve">: высокий износ инфраструктуры (60-70%) </w:t>
      </w:r>
      <w:r>
        <w:rPr>
          <w:sz w:val="28"/>
          <w:szCs w:val="28"/>
        </w:rPr>
        <w:t>с</w:t>
      </w:r>
      <w:r w:rsidRPr="00700620">
        <w:rPr>
          <w:sz w:val="28"/>
          <w:szCs w:val="28"/>
        </w:rPr>
        <w:t>делает территорию непривлекательной для инвесторов. Если в ближайшие 2 года не обновить автопарк и коммунальные сети, инвесторы выберут соседние территории (Лесозаводск, Дальнереченск), где инфраструктура лучше. Это требует немедленного включения в краевые и фе</w:t>
      </w:r>
      <w:r>
        <w:rPr>
          <w:sz w:val="28"/>
          <w:szCs w:val="28"/>
        </w:rPr>
        <w:t>деральные программы обновления;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0620">
        <w:rPr>
          <w:sz w:val="28"/>
          <w:szCs w:val="28"/>
        </w:rPr>
        <w:t xml:space="preserve">Высокая нагрузка на сотрудников (Сл5) </w:t>
      </w:r>
      <w:r>
        <w:rPr>
          <w:sz w:val="28"/>
          <w:szCs w:val="28"/>
        </w:rPr>
        <w:t>и</w:t>
      </w:r>
      <w:r w:rsidRPr="00700620">
        <w:rPr>
          <w:sz w:val="28"/>
          <w:szCs w:val="28"/>
        </w:rPr>
        <w:t xml:space="preserve"> </w:t>
      </w:r>
      <w:r>
        <w:rPr>
          <w:sz w:val="28"/>
          <w:szCs w:val="28"/>
        </w:rPr>
        <w:t>демографический спад (У1) данное с</w:t>
      </w:r>
      <w:r w:rsidRPr="00700620">
        <w:rPr>
          <w:sz w:val="28"/>
          <w:szCs w:val="28"/>
        </w:rPr>
        <w:t xml:space="preserve">овмещение функций (в отделах экономики и ЖКХ) при одновременном </w:t>
      </w:r>
      <w:r w:rsidRPr="00700620">
        <w:rPr>
          <w:sz w:val="28"/>
          <w:szCs w:val="28"/>
        </w:rPr>
        <w:lastRenderedPageBreak/>
        <w:t>старении кадров создает риск сбоев в управлении. При уходе 25% сотрудников старше 55 лет на пенсию их функции некому будет передать, что приведет к колл</w:t>
      </w:r>
      <w:r>
        <w:rPr>
          <w:sz w:val="28"/>
          <w:szCs w:val="28"/>
        </w:rPr>
        <w:t>апсу в работе ключевых отделов;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0620">
        <w:rPr>
          <w:sz w:val="28"/>
          <w:szCs w:val="28"/>
        </w:rPr>
        <w:t xml:space="preserve">Зависимость от трансфертов (Сл2) </w:t>
      </w:r>
      <w:r>
        <w:rPr>
          <w:sz w:val="28"/>
          <w:szCs w:val="28"/>
        </w:rPr>
        <w:t>и</w:t>
      </w:r>
      <w:r w:rsidRPr="00700620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окращение финансирования (У2). </w:t>
      </w:r>
      <w:r w:rsidRPr="00700620">
        <w:rPr>
          <w:sz w:val="28"/>
          <w:szCs w:val="28"/>
        </w:rPr>
        <w:t>Комбинация этих факторов является наиболее опасной. При снижении краевого финансирования на 10% (около 110 млн руб.) администрация столкнется с дефицитом бюджета в размере 180 млн руб. (69,5 млн + 110 млн), что потребует либо секвестра расходов, либо у</w:t>
      </w:r>
      <w:r>
        <w:rPr>
          <w:sz w:val="28"/>
          <w:szCs w:val="28"/>
        </w:rPr>
        <w:t>величения муниципального долга.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 w:rsidRPr="00700620">
        <w:rPr>
          <w:sz w:val="28"/>
          <w:szCs w:val="28"/>
        </w:rPr>
        <w:t>На основе анализа сформулированы следующие стратегическ</w:t>
      </w:r>
      <w:r>
        <w:rPr>
          <w:sz w:val="28"/>
          <w:szCs w:val="28"/>
        </w:rPr>
        <w:t>ие приоритеты на 2026-2028 гг.: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00620">
        <w:rPr>
          <w:sz w:val="28"/>
          <w:szCs w:val="28"/>
        </w:rPr>
        <w:t>риоритет №1 (срочный): Нейтрализация угрозы коллапса инфраструктуры — подготовка заявок на участие в федеральных программах модернизации ЖКХ, дорог и социальных объектов. Ключевые проекты: очистные сооружения, рем</w:t>
      </w:r>
      <w:r>
        <w:rPr>
          <w:sz w:val="28"/>
          <w:szCs w:val="28"/>
        </w:rPr>
        <w:t>онт школ, обновление автопарка;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00620">
        <w:rPr>
          <w:sz w:val="28"/>
          <w:szCs w:val="28"/>
        </w:rPr>
        <w:t>риоритет №2 (кадровый): Разработка и утверждение муниципальной программы привлечения молодых специалистов с целевыми показателями увел</w:t>
      </w:r>
      <w:r>
        <w:rPr>
          <w:sz w:val="28"/>
          <w:szCs w:val="28"/>
        </w:rPr>
        <w:t>ичения доли до 20% к 2028 году;</w:t>
      </w:r>
    </w:p>
    <w:p w:rsidR="000A38B4" w:rsidRPr="00700620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00620">
        <w:rPr>
          <w:sz w:val="28"/>
          <w:szCs w:val="28"/>
        </w:rPr>
        <w:t>риоритет №3 (финансовый): Диверсификация доходной базы за счет развития МСП (увеличение числа субъектов на 15-20% к 2027 году) и привлечения внебюджетных инвести</w:t>
      </w:r>
      <w:r>
        <w:rPr>
          <w:sz w:val="28"/>
          <w:szCs w:val="28"/>
        </w:rPr>
        <w:t>ций через механизмы ГЧП и СЗПК;</w:t>
      </w:r>
    </w:p>
    <w:p w:rsidR="004341E1" w:rsidRPr="00CC509A" w:rsidRDefault="000A38B4" w:rsidP="000A38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00620">
        <w:rPr>
          <w:sz w:val="28"/>
          <w:szCs w:val="28"/>
        </w:rPr>
        <w:t>риоритет №4 (структурный): Оптимизация организационной структуры с созданием проектного офиса и отдела цифровизации для повышения гибкости и эффективности управления.</w:t>
      </w:r>
    </w:p>
    <w:p w:rsidR="00937667" w:rsidRPr="00D46DBD" w:rsidRDefault="00937667" w:rsidP="00D46DBD">
      <w:pPr>
        <w:spacing w:before="240" w:after="12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37667">
        <w:rPr>
          <w:sz w:val="28"/>
          <w:szCs w:val="28"/>
        </w:rPr>
        <w:t xml:space="preserve"> </w:t>
      </w:r>
      <w:r w:rsidRPr="00083306">
        <w:rPr>
          <w:rFonts w:ascii="Arial" w:hAnsi="Arial" w:cs="Arial"/>
          <w:sz w:val="28"/>
          <w:szCs w:val="28"/>
        </w:rPr>
        <w:t>2.2. Оценка эффективности реализации инвестиционных проектов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В соответствии со Стратегией социально-экономического развития Чугуевского муниципального округа до 2030 года и Инвестиционной декларацией, на территории округа определены следующие приоритетные направления инвестиционной деятельности: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- лесозаготовка и лесопереработка;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lastRenderedPageBreak/>
        <w:t>- сельское хозяйство (растениеводство, животноводство, переработка продукции);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- туризм и рекреация;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- жилищно-коммунальное хозяйство и инфраструктурные проекты.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Наиболее значимые инвестиционные проекты, реализуемые в округе в 2024–2025 гг.</w:t>
      </w:r>
    </w:p>
    <w:p w:rsidR="004341E1" w:rsidRPr="00CC509A" w:rsidRDefault="0050016D" w:rsidP="004341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341E1">
        <w:rPr>
          <w:sz w:val="28"/>
          <w:szCs w:val="28"/>
        </w:rPr>
        <w:t xml:space="preserve"> </w:t>
      </w:r>
      <w:r w:rsidR="004341E1" w:rsidRPr="00CC509A">
        <w:rPr>
          <w:sz w:val="28"/>
          <w:szCs w:val="28"/>
        </w:rPr>
        <w:t xml:space="preserve">Комплексное развитие </w:t>
      </w:r>
      <w:r w:rsidR="004341E1">
        <w:rPr>
          <w:sz w:val="28"/>
          <w:szCs w:val="28"/>
        </w:rPr>
        <w:t>села Чугуевка и села Соколовка</w:t>
      </w:r>
      <w:r w:rsidR="004341E1" w:rsidRPr="00CC509A">
        <w:rPr>
          <w:sz w:val="28"/>
          <w:szCs w:val="28"/>
        </w:rPr>
        <w:t xml:space="preserve"> в рамках государственной программы «Комплексное развитие сельских территорий» (общая стоимость проекта — 444,4 млн руб., с привлечением внебюджетных средств в сумме 34,8 млн руб.</w:t>
      </w:r>
      <w:r w:rsidR="004341E1" w:rsidRPr="006C0374">
        <w:rPr>
          <w:sz w:val="28"/>
          <w:szCs w:val="28"/>
        </w:rPr>
        <w:t xml:space="preserve"> </w:t>
      </w:r>
      <w:r w:rsidR="004341E1" w:rsidRPr="004341E1">
        <w:rPr>
          <w:sz w:val="28"/>
          <w:szCs w:val="28"/>
        </w:rPr>
        <w:t>[5]</w:t>
      </w:r>
      <w:r w:rsidR="004341E1" w:rsidRPr="00CC509A">
        <w:rPr>
          <w:sz w:val="28"/>
          <w:szCs w:val="28"/>
        </w:rPr>
        <w:t>). В рамках проекта проводятся капитальные ремонты школ, спортивных залов, сельских клубов, приобретение автобусов и оборудования.</w:t>
      </w:r>
    </w:p>
    <w:p w:rsidR="004341E1" w:rsidRPr="00CC509A" w:rsidRDefault="0050016D" w:rsidP="004341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41E1">
        <w:rPr>
          <w:sz w:val="28"/>
          <w:szCs w:val="28"/>
        </w:rPr>
        <w:t xml:space="preserve"> </w:t>
      </w:r>
      <w:r w:rsidR="004341E1" w:rsidRPr="00CC509A">
        <w:rPr>
          <w:sz w:val="28"/>
          <w:szCs w:val="28"/>
        </w:rPr>
        <w:t>Благоустр</w:t>
      </w:r>
      <w:r w:rsidR="004341E1">
        <w:rPr>
          <w:sz w:val="28"/>
          <w:szCs w:val="28"/>
        </w:rPr>
        <w:t>ойство общественных территорий</w:t>
      </w:r>
      <w:r w:rsidR="004341E1" w:rsidRPr="00CC509A">
        <w:rPr>
          <w:sz w:val="28"/>
          <w:szCs w:val="28"/>
        </w:rPr>
        <w:t xml:space="preserve"> (Центральная площадь с. Чугуевка с установкой фонтана, «Парк Памяти», зоны отдыха в сёлах Заветное, Ленино, Саратовка).</w:t>
      </w:r>
    </w:p>
    <w:p w:rsidR="004341E1" w:rsidRPr="00CC509A" w:rsidRDefault="0050016D" w:rsidP="004341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41E1">
        <w:rPr>
          <w:sz w:val="28"/>
          <w:szCs w:val="28"/>
        </w:rPr>
        <w:t xml:space="preserve"> </w:t>
      </w:r>
      <w:r w:rsidR="004341E1" w:rsidRPr="00CC509A">
        <w:rPr>
          <w:sz w:val="28"/>
          <w:szCs w:val="28"/>
        </w:rPr>
        <w:t>Строительство канализационных очи</w:t>
      </w:r>
      <w:r w:rsidR="004341E1">
        <w:rPr>
          <w:sz w:val="28"/>
          <w:szCs w:val="28"/>
        </w:rPr>
        <w:t>стных сооружений в с. Чугуевка</w:t>
      </w:r>
      <w:r w:rsidR="004341E1" w:rsidRPr="00CC509A">
        <w:rPr>
          <w:sz w:val="28"/>
          <w:szCs w:val="28"/>
        </w:rPr>
        <w:t xml:space="preserve"> (продолжение реализации в 2025 году).</w:t>
      </w:r>
    </w:p>
    <w:p w:rsidR="004341E1" w:rsidRPr="00CC509A" w:rsidRDefault="0050016D" w:rsidP="004341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41E1">
        <w:rPr>
          <w:sz w:val="28"/>
          <w:szCs w:val="28"/>
        </w:rPr>
        <w:t xml:space="preserve"> </w:t>
      </w:r>
      <w:r w:rsidR="004341E1" w:rsidRPr="00CC509A">
        <w:rPr>
          <w:sz w:val="28"/>
          <w:szCs w:val="28"/>
        </w:rPr>
        <w:t>Инвестиционные пред</w:t>
      </w:r>
      <w:r w:rsidR="004341E1">
        <w:rPr>
          <w:sz w:val="28"/>
          <w:szCs w:val="28"/>
        </w:rPr>
        <w:t>ложения для частных инвесторов</w:t>
      </w:r>
      <w:r w:rsidR="004341E1" w:rsidRPr="00CC509A">
        <w:rPr>
          <w:sz w:val="28"/>
          <w:szCs w:val="28"/>
        </w:rPr>
        <w:t>: проект по увеличению гостиничного номерного фонда (реконструкция нежилого здания), обустройство входной группы туристического маршрута в с. Ясное.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Для оценки эффективности реализации муниципальных программ и инвестиционных проектов применяется система индикаторов, включающая следующие группы показателей:</w:t>
      </w:r>
    </w:p>
    <w:p w:rsidR="004341E1" w:rsidRPr="00CC509A" w:rsidRDefault="0050016D" w:rsidP="004341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341E1" w:rsidRPr="00CC509A">
        <w:rPr>
          <w:sz w:val="28"/>
          <w:szCs w:val="28"/>
        </w:rPr>
        <w:t xml:space="preserve"> Показатели результ</w:t>
      </w:r>
      <w:r w:rsidR="004341E1">
        <w:rPr>
          <w:sz w:val="28"/>
          <w:szCs w:val="28"/>
        </w:rPr>
        <w:t>ативности (достижение целей):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- степень достижения целевых показателей (индикаторов) программы (процент выполнения плановых значений);</w:t>
      </w:r>
    </w:p>
    <w:p w:rsidR="004341E1" w:rsidRPr="00CC509A" w:rsidRDefault="0050016D" w:rsidP="004341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41E1" w:rsidRPr="00CC509A">
        <w:rPr>
          <w:sz w:val="28"/>
          <w:szCs w:val="28"/>
        </w:rPr>
        <w:t xml:space="preserve"> Показатели п</w:t>
      </w:r>
      <w:r w:rsidR="004341E1">
        <w:rPr>
          <w:sz w:val="28"/>
          <w:szCs w:val="28"/>
        </w:rPr>
        <w:t>олноты использования средств: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- соотношение фактических расходов по программе с плановыми объёмами финансирования (исполнение бюджета);</w:t>
      </w:r>
    </w:p>
    <w:p w:rsidR="004341E1" w:rsidRPr="00CC509A" w:rsidRDefault="0050016D" w:rsidP="004341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41E1" w:rsidRPr="00CC509A">
        <w:rPr>
          <w:sz w:val="28"/>
          <w:szCs w:val="28"/>
        </w:rPr>
        <w:t xml:space="preserve"> Интегральный показатель </w:t>
      </w:r>
      <w:r w:rsidR="004341E1">
        <w:rPr>
          <w:sz w:val="28"/>
          <w:szCs w:val="28"/>
        </w:rPr>
        <w:t xml:space="preserve">эффективности: 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lastRenderedPageBreak/>
        <w:t>- рассчитывается как произведение показателя результативности и показателя полноты использования средств с учётом поправочного коэффициента качества планирования.</w:t>
      </w:r>
    </w:p>
    <w:p w:rsidR="004341E1" w:rsidRPr="00CC509A" w:rsidRDefault="0050016D" w:rsidP="004341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41E1" w:rsidRPr="00CC509A">
        <w:rPr>
          <w:sz w:val="28"/>
          <w:szCs w:val="28"/>
        </w:rPr>
        <w:t xml:space="preserve"> Социально-экономические </w:t>
      </w:r>
      <w:r w:rsidR="004341E1">
        <w:rPr>
          <w:sz w:val="28"/>
          <w:szCs w:val="28"/>
        </w:rPr>
        <w:t xml:space="preserve">индикаторы: 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- объём инвестиций в основной капитал на душу населения (в 2024 году — 12 342 руб./чел., рост в 2,1 раза по сравнению с 2023 годом);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- количество созданных объектов инфраструктуры;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- количество благополучателей (жителей, получивших доступ к улучшенным услугам);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- доля освоенных бюджетных средств в рамках национальных проектов.</w:t>
      </w:r>
    </w:p>
    <w:p w:rsidR="004341E1" w:rsidRPr="00CC509A" w:rsidRDefault="0050016D" w:rsidP="004341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341E1" w:rsidRPr="00CC509A">
        <w:rPr>
          <w:sz w:val="28"/>
          <w:szCs w:val="28"/>
        </w:rPr>
        <w:t xml:space="preserve"> Индикато</w:t>
      </w:r>
      <w:r w:rsidR="004341E1">
        <w:rPr>
          <w:sz w:val="28"/>
          <w:szCs w:val="28"/>
        </w:rPr>
        <w:t>ры инвестиционной активности: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- количество субъектов малого и среднего предпринимательства (619 ед.) и плательщиков налога на профессиональный доход (1047 чел.);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- доля работников, занятых в малом предпринимательстве (47% от занятых в экономике);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- объём инвестиций за счёт всех источников финансирования (260,3 млн руб. за 9 месяцев 2024 года).</w:t>
      </w:r>
    </w:p>
    <w:p w:rsidR="00937667" w:rsidRPr="00937667" w:rsidRDefault="004341E1" w:rsidP="0050016D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Для оценки чувствительности инвестиционных проектов к изменению ключевых параметров был проведён анализ по двум сценариям: пессимистичному (программа-минимум) и базовому (умеренно-оптимистичному). Пес</w:t>
      </w:r>
      <w:r>
        <w:rPr>
          <w:sz w:val="28"/>
          <w:szCs w:val="28"/>
        </w:rPr>
        <w:t>симистичный сценарий, согласно с</w:t>
      </w:r>
      <w:r w:rsidRPr="00CC509A">
        <w:rPr>
          <w:sz w:val="28"/>
          <w:szCs w:val="28"/>
        </w:rPr>
        <w:t>тратегии развития округа, предполагает наихудшие условия: демографический спад, отток квалифицированных специалистов, сокращение софинансирования из вышестоящих бюджетов, ухудшение ремонтной базы и «заморозку» инвестиционных проектов.</w:t>
      </w:r>
      <w:r>
        <w:rPr>
          <w:sz w:val="28"/>
          <w:szCs w:val="28"/>
        </w:rPr>
        <w:t xml:space="preserve"> </w:t>
      </w:r>
      <w:r w:rsidR="00937667" w:rsidRPr="00EC49F6">
        <w:rPr>
          <w:sz w:val="28"/>
          <w:szCs w:val="28"/>
        </w:rPr>
        <w:t>Сравнительная характеристика параметров по сцен</w:t>
      </w:r>
      <w:r w:rsidR="00652929">
        <w:rPr>
          <w:sz w:val="28"/>
          <w:szCs w:val="28"/>
        </w:rPr>
        <w:t>ариям представлена в таблице 2.2</w:t>
      </w:r>
      <w:r w:rsidR="00937667" w:rsidRPr="00EC49F6">
        <w:rPr>
          <w:sz w:val="28"/>
          <w:szCs w:val="28"/>
        </w:rPr>
        <w:t>.</w:t>
      </w:r>
    </w:p>
    <w:p w:rsidR="00EC49F6" w:rsidRPr="00937667" w:rsidRDefault="00652929" w:rsidP="00EC49F6">
      <w:pPr>
        <w:spacing w:before="240"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2.2</w:t>
      </w:r>
      <w:r w:rsidR="00937667" w:rsidRPr="00937667">
        <w:rPr>
          <w:sz w:val="28"/>
          <w:szCs w:val="28"/>
        </w:rPr>
        <w:t xml:space="preserve"> — Сценарный анализ эффективности инвестиционных проектов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C49F6" w:rsidTr="00EC49F6">
        <w:tc>
          <w:tcPr>
            <w:tcW w:w="3209" w:type="dxa"/>
          </w:tcPr>
          <w:p w:rsidR="00EC49F6" w:rsidRPr="00EC49F6" w:rsidRDefault="00EC49F6" w:rsidP="00EC49F6">
            <w:pPr>
              <w:jc w:val="center"/>
            </w:pPr>
            <w:r w:rsidRPr="00EC49F6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3209" w:type="dxa"/>
          </w:tcPr>
          <w:p w:rsidR="00EC49F6" w:rsidRPr="00EC49F6" w:rsidRDefault="00EC49F6" w:rsidP="00EC49F6">
            <w:pPr>
              <w:jc w:val="center"/>
            </w:pPr>
            <w:r w:rsidRPr="00EC49F6">
              <w:rPr>
                <w:rFonts w:ascii="Times New Roman" w:hAnsi="Times New Roman" w:cs="Times New Roman"/>
              </w:rPr>
              <w:t>Пессимистичный сценарий</w:t>
            </w:r>
          </w:p>
        </w:tc>
        <w:tc>
          <w:tcPr>
            <w:tcW w:w="3210" w:type="dxa"/>
          </w:tcPr>
          <w:p w:rsidR="00EC49F6" w:rsidRPr="00EC49F6" w:rsidRDefault="00EC49F6" w:rsidP="00EC49F6">
            <w:pPr>
              <w:jc w:val="center"/>
            </w:pPr>
            <w:r w:rsidRPr="00EC49F6">
              <w:rPr>
                <w:rFonts w:ascii="Times New Roman" w:hAnsi="Times New Roman" w:cs="Times New Roman"/>
              </w:rPr>
              <w:t>Базовый сценарий</w:t>
            </w:r>
          </w:p>
        </w:tc>
      </w:tr>
      <w:tr w:rsidR="00EC49F6" w:rsidTr="00EC49F6">
        <w:tc>
          <w:tcPr>
            <w:tcW w:w="3209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Инвестиционные затраты</w:t>
            </w:r>
          </w:p>
        </w:tc>
        <w:tc>
          <w:tcPr>
            <w:tcW w:w="3209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Увеличение на 15–20% из-за удорожания материалов и оборудования</w:t>
            </w:r>
          </w:p>
        </w:tc>
        <w:tc>
          <w:tcPr>
            <w:tcW w:w="3210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Соответствуют плановым показателям</w:t>
            </w:r>
          </w:p>
        </w:tc>
      </w:tr>
    </w:tbl>
    <w:p w:rsidR="00652929" w:rsidRPr="00652929" w:rsidRDefault="00652929" w:rsidP="000E2F93">
      <w:pPr>
        <w:spacing w:line="360" w:lineRule="auto"/>
        <w:rPr>
          <w:sz w:val="28"/>
          <w:szCs w:val="28"/>
        </w:rPr>
      </w:pPr>
      <w:r w:rsidRPr="00652929">
        <w:rPr>
          <w:sz w:val="28"/>
          <w:szCs w:val="28"/>
        </w:rPr>
        <w:lastRenderedPageBreak/>
        <w:t>Продолжение таблицы 2.2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C49F6" w:rsidTr="00EC49F6">
        <w:tc>
          <w:tcPr>
            <w:tcW w:w="3209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Объём производства</w:t>
            </w:r>
          </w:p>
        </w:tc>
        <w:tc>
          <w:tcPr>
            <w:tcW w:w="3209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Снижение на 10–15% из-за падения спроса и сокращения рабочих мест</w:t>
            </w:r>
          </w:p>
        </w:tc>
        <w:tc>
          <w:tcPr>
            <w:tcW w:w="3210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Рост на 5–10% за счёт модернизации</w:t>
            </w:r>
          </w:p>
        </w:tc>
      </w:tr>
      <w:tr w:rsidR="00EC49F6" w:rsidTr="00EC49F6">
        <w:tc>
          <w:tcPr>
            <w:tcW w:w="3209" w:type="dxa"/>
          </w:tcPr>
          <w:p w:rsidR="00EC49F6" w:rsidRPr="00EC49F6" w:rsidRDefault="00EC49F6" w:rsidP="00EC49F6">
            <w:r w:rsidRPr="00EC49F6">
              <w:rPr>
                <w:rFonts w:ascii="Times New Roman" w:hAnsi="Times New Roman" w:cs="Times New Roman"/>
              </w:rPr>
              <w:t xml:space="preserve">Текущие затраты </w:t>
            </w:r>
          </w:p>
        </w:tc>
        <w:tc>
          <w:tcPr>
            <w:tcW w:w="3209" w:type="dxa"/>
          </w:tcPr>
          <w:p w:rsidR="00EC49F6" w:rsidRPr="00EC49F6" w:rsidRDefault="00EC49F6" w:rsidP="00EC49F6">
            <w:r w:rsidRPr="00EC49F6">
              <w:rPr>
                <w:rFonts w:ascii="Times New Roman" w:hAnsi="Times New Roman" w:cs="Times New Roman"/>
              </w:rPr>
              <w:t xml:space="preserve">Рост на 10–12% из-за инфляции и удорожания ресурсов </w:t>
            </w:r>
          </w:p>
        </w:tc>
        <w:tc>
          <w:tcPr>
            <w:tcW w:w="3210" w:type="dxa"/>
          </w:tcPr>
          <w:p w:rsidR="00EC49F6" w:rsidRPr="00EC49F6" w:rsidRDefault="00EC49F6" w:rsidP="00EC49F6">
            <w:r w:rsidRPr="00EC49F6">
              <w:rPr>
                <w:rFonts w:ascii="Times New Roman" w:hAnsi="Times New Roman" w:cs="Times New Roman"/>
              </w:rPr>
              <w:t xml:space="preserve">Контролируемый рост в пределах 5–7% </w:t>
            </w:r>
          </w:p>
        </w:tc>
      </w:tr>
      <w:tr w:rsidR="00EC49F6" w:rsidTr="00EC49F6">
        <w:tc>
          <w:tcPr>
            <w:tcW w:w="3209" w:type="dxa"/>
          </w:tcPr>
          <w:p w:rsidR="00EC49F6" w:rsidRPr="00EC49F6" w:rsidRDefault="00EC49F6" w:rsidP="00EC49F6">
            <w:r w:rsidRPr="00EC49F6">
              <w:rPr>
                <w:rFonts w:ascii="Times New Roman" w:hAnsi="Times New Roman" w:cs="Times New Roman"/>
              </w:rPr>
              <w:t xml:space="preserve">Дебиторская </w:t>
            </w:r>
          </w:p>
        </w:tc>
        <w:tc>
          <w:tcPr>
            <w:tcW w:w="3209" w:type="dxa"/>
          </w:tcPr>
          <w:p w:rsidR="00EC49F6" w:rsidRPr="00EC49F6" w:rsidRDefault="00EC49F6" w:rsidP="00EC49F6">
            <w:r w:rsidRPr="00EC49F6">
              <w:rPr>
                <w:rFonts w:ascii="Times New Roman" w:hAnsi="Times New Roman" w:cs="Times New Roman"/>
              </w:rPr>
              <w:t xml:space="preserve">Рост до 30% от выручки из-за неплатежей </w:t>
            </w:r>
          </w:p>
        </w:tc>
        <w:tc>
          <w:tcPr>
            <w:tcW w:w="3210" w:type="dxa"/>
          </w:tcPr>
          <w:p w:rsidR="00EC49F6" w:rsidRPr="00EC49F6" w:rsidRDefault="00EC49F6" w:rsidP="00EC49F6">
            <w:r w:rsidRPr="00EC49F6">
              <w:rPr>
                <w:rFonts w:ascii="Times New Roman" w:hAnsi="Times New Roman" w:cs="Times New Roman"/>
              </w:rPr>
              <w:t xml:space="preserve">Поддержание на уровне 15–18% </w:t>
            </w:r>
          </w:p>
        </w:tc>
      </w:tr>
      <w:tr w:rsidR="00EC49F6" w:rsidTr="00EC49F6">
        <w:tc>
          <w:tcPr>
            <w:tcW w:w="3209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 xml:space="preserve">Кредиторская задолженность  </w:t>
            </w:r>
          </w:p>
        </w:tc>
        <w:tc>
          <w:tcPr>
            <w:tcW w:w="3209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Рост до 40% от выручки, риск просрочек</w:t>
            </w:r>
          </w:p>
        </w:tc>
        <w:tc>
          <w:tcPr>
            <w:tcW w:w="3210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На уровне 20–25%</w:t>
            </w:r>
          </w:p>
        </w:tc>
      </w:tr>
      <w:tr w:rsidR="00EC49F6" w:rsidTr="00EC49F6">
        <w:tc>
          <w:tcPr>
            <w:tcW w:w="3209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Ожидаемый NPV</w:t>
            </w:r>
          </w:p>
        </w:tc>
        <w:tc>
          <w:tcPr>
            <w:tcW w:w="3209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Отрицательный или близкий к нулю, проект неэффективен</w:t>
            </w:r>
          </w:p>
        </w:tc>
        <w:tc>
          <w:tcPr>
            <w:tcW w:w="3210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Положительный, проект эффективен</w:t>
            </w:r>
          </w:p>
        </w:tc>
      </w:tr>
      <w:tr w:rsidR="00EC49F6" w:rsidTr="00EC49F6">
        <w:tc>
          <w:tcPr>
            <w:tcW w:w="3209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Ожидаемая IRR</w:t>
            </w:r>
          </w:p>
        </w:tc>
        <w:tc>
          <w:tcPr>
            <w:tcW w:w="3209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Ниже ставки дисконтирования</w:t>
            </w:r>
          </w:p>
        </w:tc>
        <w:tc>
          <w:tcPr>
            <w:tcW w:w="3210" w:type="dxa"/>
          </w:tcPr>
          <w:p w:rsidR="00EC49F6" w:rsidRPr="00EC49F6" w:rsidRDefault="00EC49F6" w:rsidP="00EC49F6">
            <w:pPr>
              <w:jc w:val="both"/>
            </w:pPr>
            <w:r w:rsidRPr="00EC49F6">
              <w:rPr>
                <w:rFonts w:ascii="Times New Roman" w:hAnsi="Times New Roman" w:cs="Times New Roman"/>
              </w:rPr>
              <w:t>Выше ставки дисконтирования на 3–5 процентных пункта</w:t>
            </w:r>
          </w:p>
        </w:tc>
      </w:tr>
    </w:tbl>
    <w:p w:rsidR="004341E1" w:rsidRPr="00CC509A" w:rsidRDefault="004341E1" w:rsidP="004341E1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Рост инвестиционных затрат в пессимистичном сценарии особенно критичен для капиталоёмких проектов в сфере лесопереработки и инфраструктурных проектов, где доля инвестиционных затрат превышает 60% общей стоимости. Снижение объёма производства на 10–15% делает проекты нерентабельными даже при сохранении ценового уровня.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Увеличение дебиторской задолженности до 30% от выручки создаёт кассовые разрывы, вынуждая предприятия привлекать заёмные средства, что увеличивает финансовую нагрузку и повышает риск банкротства. Рост кредиторской задолженности до 40% указывает на серьёзные проблемы с платёжеспособностью предприятий и в перспективе может привести к снижению налоговых поступлений в бюджет округа.</w:t>
      </w:r>
    </w:p>
    <w:p w:rsidR="004341E1" w:rsidRPr="00CC509A" w:rsidRDefault="004341E1" w:rsidP="004341E1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 xml:space="preserve">Для обеспечения эффективности инвестиционных проектов администрации необходимо стремиться к базовому сценарию, контролируя рост затрат и поддерживая платёжную дисциплину предприятий. Ключевыми индикаторами эффективности являются степень достижения целевых показателей программ (не менее 80% выполнения), полнота освоения бюджетных средств (не менее 95%) и социально-экономический эффект (количество созданных объектов, число благополучателей). Наиболее уязвимыми к внешним факторам являются капиталоёмкие проекты в лесопереработке и ЖКХ, что требует диверсификации </w:t>
      </w:r>
      <w:r w:rsidRPr="00CC509A">
        <w:rPr>
          <w:sz w:val="28"/>
          <w:szCs w:val="28"/>
        </w:rPr>
        <w:lastRenderedPageBreak/>
        <w:t>источников финансирования и использования механизмов государственно-частного партнёрства.</w:t>
      </w:r>
    </w:p>
    <w:p w:rsidR="00937667" w:rsidRPr="00D46DBD" w:rsidRDefault="00937667" w:rsidP="00D46DBD">
      <w:pPr>
        <w:spacing w:before="240" w:after="12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37667">
        <w:rPr>
          <w:sz w:val="28"/>
          <w:szCs w:val="28"/>
        </w:rPr>
        <w:t xml:space="preserve"> </w:t>
      </w:r>
      <w:r w:rsidRPr="00083306">
        <w:rPr>
          <w:rFonts w:ascii="Arial" w:hAnsi="Arial" w:cs="Arial"/>
          <w:sz w:val="28"/>
          <w:szCs w:val="28"/>
        </w:rPr>
        <w:t>2.3. Варианты финансирования инвестиционных проектов</w:t>
      </w:r>
    </w:p>
    <w:p w:rsidR="0050016D" w:rsidRPr="00CC509A" w:rsidRDefault="0050016D" w:rsidP="0050016D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В соответствии со Стратегией социально-экономического развития Чугуевского муниципального округа до 2030 года, для финансирования инвестиционных проектов могут использоваться различные источники, каждый из которых имеет свои преимущества и ограничения.</w:t>
      </w:r>
    </w:p>
    <w:p w:rsidR="0050016D" w:rsidRPr="00CC509A" w:rsidRDefault="0050016D" w:rsidP="005001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Бюджетное финансирование</w:t>
      </w:r>
      <w:r w:rsidRPr="00CC509A">
        <w:rPr>
          <w:sz w:val="28"/>
          <w:szCs w:val="28"/>
        </w:rPr>
        <w:t xml:space="preserve"> является основным источником средств для реализации социально значимых проектов в сфере образования, культуры и благоустройства. Средства предоставляются из местного, краевого и федерального бюджетов в рамках муниципальных программ и национальных проектов. Преимущества: стабильность, низкая стоимость, возможность реализации проектов без коммерческой окупаемости. Недостатки: ограниченность средств, зависимость от решений вышестоящих бюджетов, длительные бюрократические процедуры. Доля программно-целевых расходов бюджета превышает 90%.</w:t>
      </w:r>
    </w:p>
    <w:p w:rsidR="0050016D" w:rsidRPr="00CC509A" w:rsidRDefault="0050016D" w:rsidP="005001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C509A">
        <w:rPr>
          <w:sz w:val="28"/>
          <w:szCs w:val="28"/>
        </w:rPr>
        <w:t xml:space="preserve"> Государственно-частное партнёрс</w:t>
      </w:r>
      <w:r>
        <w:rPr>
          <w:sz w:val="28"/>
          <w:szCs w:val="28"/>
        </w:rPr>
        <w:t>тво и концессионные соглашения</w:t>
      </w:r>
      <w:r w:rsidRPr="00CC509A">
        <w:rPr>
          <w:sz w:val="28"/>
          <w:szCs w:val="28"/>
        </w:rPr>
        <w:t xml:space="preserve"> представляют собой софинансирование проектов из бюджета и частных инвестиций. На территории округа утверждены перечни объектов муниципальной собственности, в отношении которых возможно заключение концессионных соглашений и соглашений о муниципально-частном партнёрстве. Преимущества: привлечение частных компетенций и инвестиций, распределение рисков. Ограничения: сложность юридического оформления, необходимость долгосрочного планирования.</w:t>
      </w:r>
    </w:p>
    <w:p w:rsidR="0050016D" w:rsidRPr="00CC509A" w:rsidRDefault="0050016D" w:rsidP="005001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Бюджетные кредиты</w:t>
      </w:r>
      <w:r w:rsidRPr="00CC509A">
        <w:rPr>
          <w:sz w:val="28"/>
          <w:szCs w:val="28"/>
        </w:rPr>
        <w:t xml:space="preserve"> предоставляются из краевого бюджета на льготных условиях. В 2023 году администрацией был привлечён кредит в сумме 17 млн руб. под 0,01% годовых сроком на пять лет. Преимущества: низкая ставка, длительный срок возврата. Недостатки: целевой характер использования, необходимость детального обоснования.</w:t>
      </w:r>
    </w:p>
    <w:p w:rsidR="0050016D" w:rsidRPr="00CC509A" w:rsidRDefault="0050016D" w:rsidP="005001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 Кредиты кредитных организаций</w:t>
      </w:r>
      <w:r w:rsidRPr="00CC509A">
        <w:rPr>
          <w:sz w:val="28"/>
          <w:szCs w:val="28"/>
        </w:rPr>
        <w:t xml:space="preserve"> позволяют быстро привлечь средства для покрытия кассовых разрывов и финансирования текущих расходов. Администрацией запланировано привлечение ежегодных дефицитов за счёт кредитов коммерческих банков. Недостатки: высокие процентные ставки, увеличение муниципального долга.</w:t>
      </w:r>
    </w:p>
    <w:p w:rsidR="0050016D" w:rsidRPr="00CC509A" w:rsidRDefault="0050016D" w:rsidP="005001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C509A">
        <w:rPr>
          <w:sz w:val="28"/>
          <w:szCs w:val="28"/>
        </w:rPr>
        <w:t xml:space="preserve"> Соглашения о защите и по</w:t>
      </w:r>
      <w:r>
        <w:rPr>
          <w:sz w:val="28"/>
          <w:szCs w:val="28"/>
        </w:rPr>
        <w:t>ощрении капиталовложений (СЗПК)</w:t>
      </w:r>
      <w:r w:rsidRPr="00CC509A">
        <w:rPr>
          <w:sz w:val="28"/>
          <w:szCs w:val="28"/>
        </w:rPr>
        <w:t xml:space="preserve"> — механизм, позволяющий возмещать инвесторам затраты на создание или модернизацию инфраструктуры. В действующей редакции закона возмещение предусмотрено только для регионов, однако разработан законопроект, распространяющий этот меха</w:t>
      </w:r>
      <w:r>
        <w:rPr>
          <w:sz w:val="28"/>
          <w:szCs w:val="28"/>
        </w:rPr>
        <w:t>низм на муниципальный уровень</w:t>
      </w:r>
      <w:r w:rsidRPr="00CC509A">
        <w:rPr>
          <w:sz w:val="28"/>
          <w:szCs w:val="28"/>
        </w:rPr>
        <w:t>.</w:t>
      </w:r>
    </w:p>
    <w:p w:rsidR="0050016D" w:rsidRPr="00CC509A" w:rsidRDefault="0050016D" w:rsidP="005001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C509A">
        <w:rPr>
          <w:sz w:val="28"/>
          <w:szCs w:val="28"/>
        </w:rPr>
        <w:t xml:space="preserve"> Пр</w:t>
      </w:r>
      <w:r>
        <w:rPr>
          <w:sz w:val="28"/>
          <w:szCs w:val="28"/>
        </w:rPr>
        <w:t>ивлечение внебюджетных средств</w:t>
      </w:r>
      <w:r w:rsidRPr="00CC509A">
        <w:rPr>
          <w:sz w:val="28"/>
          <w:szCs w:val="28"/>
        </w:rPr>
        <w:t xml:space="preserve"> в виде пожертвований и спонсорской помощи. В 2023 году привлечены пожертвования на нужды СВО в сумме 390 тыс. руб. Преимущества: гибкость использования. Недостатки: нестабильность, ограниченность объёмов.</w:t>
      </w:r>
    </w:p>
    <w:p w:rsidR="0050016D" w:rsidRDefault="0050016D" w:rsidP="0050016D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Рекомендуемое распределение вариантов финансирования представлено на рисунке 2.1.</w:t>
      </w:r>
    </w:p>
    <w:p w:rsidR="00652929" w:rsidRPr="00CC509A" w:rsidRDefault="00652929" w:rsidP="005001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0016D" w:rsidRPr="00CC509A" w:rsidRDefault="0050016D" w:rsidP="00652929">
      <w:pPr>
        <w:spacing w:before="120" w:after="240"/>
        <w:jc w:val="center"/>
        <w:rPr>
          <w:sz w:val="28"/>
          <w:szCs w:val="28"/>
        </w:rPr>
      </w:pPr>
      <w:r w:rsidRPr="00CC509A">
        <w:rPr>
          <w:sz w:val="28"/>
          <w:szCs w:val="28"/>
        </w:rPr>
        <w:t>Рисунок 2.1 — Рекомендуемое распределение вариантов финансиро</w:t>
      </w:r>
      <w:r w:rsidR="00652929">
        <w:rPr>
          <w:sz w:val="28"/>
          <w:szCs w:val="28"/>
        </w:rPr>
        <w:t>вания инвестиционных проектов</w:t>
      </w:r>
    </w:p>
    <w:p w:rsidR="0050016D" w:rsidRPr="00CC509A" w:rsidRDefault="0050016D" w:rsidP="0050016D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lastRenderedPageBreak/>
        <w:t>Для социально значимых проектов в сфере образования, культуры и благоустройства рекомендуется преимущественно бюджетное финансирование в рамках муниципальных программ. Для инфраструктурных проектов (дорожное строительство, ЖКХ, водоснабжение) целесообразно использование механизмов ГЧП и бюджетных кредитов. Для коммерческих инвестиционных проектов в сфере лесопереработки, сельского хозяйства и туризма необходимо создание льготных условий для частных инвесторов — налоговые преференции, предоставление муниципального имущества в аренду, муниципальные гарантии.</w:t>
      </w:r>
    </w:p>
    <w:p w:rsidR="0050016D" w:rsidRPr="00CC509A" w:rsidRDefault="0050016D" w:rsidP="0050016D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Анализ показывает, что наиболее распространённым и стабильным источником является бюджетное финансирование (55% рекомендуемого объёма). Доля государственно-частного партнёрства и частных инвестиций составляет 30%, что свидетельствует о постепенном переходе к смешанным механизмам финансирования. Использование СЗПК на муниципальном уровне при принятии соответствующих законодательных изменений позволит дополнительно привлечь частные инвестиции в инфраструктурные проекты. Дифференцированный подход к выбору источников финансирования в зависимости от сферы проекта позволяет снизить бюджетную нагрузку и обеспечить устойчивое социально-экономическое развитие округа.</w:t>
      </w:r>
    </w:p>
    <w:p w:rsidR="0050016D" w:rsidRPr="00CC509A" w:rsidRDefault="0050016D" w:rsidP="0050016D">
      <w:pPr>
        <w:spacing w:line="360" w:lineRule="auto"/>
        <w:ind w:firstLine="709"/>
        <w:jc w:val="both"/>
        <w:rPr>
          <w:sz w:val="28"/>
          <w:szCs w:val="28"/>
        </w:rPr>
      </w:pPr>
      <w:r w:rsidRPr="00CC509A">
        <w:rPr>
          <w:sz w:val="28"/>
          <w:szCs w:val="28"/>
        </w:rPr>
        <w:t>В рамках индивидуального задания проведён SWOT-анализ, позволивший выявить ключевые сильные и слабые стороны администрации, а также внешние возможности и угрозы. Оценка эффективности инвестиционных проектов показала, что для обеспечения их результативности необходим контроль целевых показателей (индикаторов) и полноты освоения бюджетных средств. Рассмотренные варианты финансирования (бюджетное, ГЧП, бюджетные и банковские кредиты, СЗПК, внебюджетные средства) позволяют гибко подходить к выбору источников в зависимости от сферы и масштаба проекта. Выполнение индивидуального задания демонстрирует способность проводить анализ внешней и внутренней среды организации, оценивать эффективность инвестиционных проектов и предлагать варианты их финансирования в рамках компетенции ПКВ-1.</w:t>
      </w:r>
    </w:p>
    <w:p w:rsidR="00616161" w:rsidRDefault="00616161" w:rsidP="00616161">
      <w:pPr>
        <w:spacing w:line="360" w:lineRule="auto"/>
        <w:jc w:val="both"/>
        <w:rPr>
          <w:sz w:val="28"/>
          <w:szCs w:val="28"/>
        </w:rPr>
      </w:pPr>
    </w:p>
    <w:p w:rsidR="00937667" w:rsidRPr="00AE5E29" w:rsidRDefault="00937667" w:rsidP="00AE5E29">
      <w:pPr>
        <w:spacing w:after="240"/>
        <w:jc w:val="center"/>
        <w:rPr>
          <w:rFonts w:ascii="Arial" w:hAnsi="Arial" w:cs="Arial"/>
          <w:sz w:val="30"/>
          <w:szCs w:val="30"/>
        </w:rPr>
      </w:pPr>
      <w:r w:rsidRPr="00AE5E29">
        <w:rPr>
          <w:rFonts w:ascii="Arial" w:hAnsi="Arial" w:cs="Arial"/>
          <w:sz w:val="30"/>
          <w:szCs w:val="30"/>
        </w:rPr>
        <w:lastRenderedPageBreak/>
        <w:t>Заключение</w:t>
      </w:r>
    </w:p>
    <w:p w:rsidR="004D3BDE" w:rsidRPr="004D3BDE" w:rsidRDefault="004D3BDE" w:rsidP="004D3BD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BDE">
        <w:rPr>
          <w:rFonts w:ascii="Times New Roman" w:hAnsi="Times New Roman" w:cs="Times New Roman"/>
          <w:sz w:val="28"/>
          <w:szCs w:val="28"/>
        </w:rPr>
        <w:t>В ходе прохождения производственной организационно-управленческой практики в администрации Чугуевского муниципального округа были выполнены поставленные цели и задачи, а также реализовано индивидуальное задание в рамках компетенции ПКВ-1.</w:t>
      </w:r>
    </w:p>
    <w:p w:rsidR="004D3BDE" w:rsidRDefault="004D3BDE" w:rsidP="004D3BD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BDE">
        <w:rPr>
          <w:rFonts w:ascii="Times New Roman" w:hAnsi="Times New Roman" w:cs="Times New Roman"/>
          <w:sz w:val="28"/>
          <w:szCs w:val="28"/>
        </w:rPr>
        <w:t xml:space="preserve">Проведённый анализ показал, что администрация округа представляет собой линейно-функциональную структуру, способную эффективно решать вопросы местного значения. Основными ресурсами организации являются: бюджет, доходы которого за 2023–2025 гг. варьируются от 1 799,7 до 1 874,3 млн руб. (при этом 60–65 % составляют межбюджетные трансферты, что свидетельствует о высокой финансовой зависимости от вышестоящих бюджетов); материально-техническая база, требующая обновления (износ по отдельным позициям достигает 60–70 %); и кадровый состав (110 человек, 76 из которых — муниципальные служащие) со средним возрастом 46 лет и высокой долей опытных сотрудников (72 % имеют стаж более 5 </w:t>
      </w:r>
      <w:r>
        <w:rPr>
          <w:rFonts w:ascii="Times New Roman" w:hAnsi="Times New Roman" w:cs="Times New Roman"/>
          <w:sz w:val="28"/>
          <w:szCs w:val="28"/>
        </w:rPr>
        <w:t>лет, 81 % — высшее образование).</w:t>
      </w:r>
    </w:p>
    <w:p w:rsidR="004D3BDE" w:rsidRPr="004D3BDE" w:rsidRDefault="004D3BDE" w:rsidP="004D3BD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BDE">
        <w:rPr>
          <w:rFonts w:ascii="Times New Roman" w:hAnsi="Times New Roman" w:cs="Times New Roman"/>
          <w:sz w:val="28"/>
          <w:szCs w:val="28"/>
        </w:rPr>
        <w:t>SWOT-анализ позволил выявить ключевые сильные стороны (опытный персонал, участие в национальных проектах, программно-целевое планирование) и слабые стороны (дефицит молодых специалистов, высокая зависимость бюджета от трансфертов, износ основных фондов). Среди наиболее значимых рисков — демографический спад и финансовая нестабильность при сокращении внешнего софинансирования. Ключевыми возможностями для развития являются привлечение инвестиций в сферы лесопереработки, сельского хозяйства и туризма, а также использование механизмов государственно-частного партнёрства. Оценка эффективности инвестиционных проектов, реализуемых на территории округа (в том числе «Комплексное развитие села Чугуевка и села Соколовка», благоустройство общественных территорий, строительство очистных сооружений), показала, что пессимистический сценарий (рост затрат на 15–20 %, падение объёмов на 10–15 %) делает проекты неэффективными, тогда как базовый сценарий обеспечивает положительный NPV и IRR выше ставки дисконти</w:t>
      </w:r>
      <w:r w:rsidRPr="004D3BDE">
        <w:rPr>
          <w:rFonts w:ascii="Times New Roman" w:hAnsi="Times New Roman" w:cs="Times New Roman"/>
          <w:sz w:val="28"/>
          <w:szCs w:val="28"/>
        </w:rPr>
        <w:lastRenderedPageBreak/>
        <w:t>рования. Ключевыми индикаторами эффективности являются степень достижения целевых показателей программ (не менее 80 %), полнота освоения бюджетных средств (не менее 95 %) и социально-экономический эффект (количество созданных объектов, число благополучателей).</w:t>
      </w:r>
    </w:p>
    <w:p w:rsidR="004D3BDE" w:rsidRPr="004D3BDE" w:rsidRDefault="004D3BDE" w:rsidP="004D3BD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BDE">
        <w:rPr>
          <w:rFonts w:ascii="Times New Roman" w:hAnsi="Times New Roman" w:cs="Times New Roman"/>
          <w:sz w:val="28"/>
          <w:szCs w:val="28"/>
        </w:rPr>
        <w:t>По итогам практики сформулированы следующие предложения по совершенствованию деятельности администрации:</w:t>
      </w:r>
    </w:p>
    <w:p w:rsidR="004D3BDE" w:rsidRPr="004D3BDE" w:rsidRDefault="004D3BDE" w:rsidP="004D3BD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D3BDE">
        <w:rPr>
          <w:rFonts w:ascii="Times New Roman" w:hAnsi="Times New Roman" w:cs="Times New Roman"/>
          <w:sz w:val="28"/>
          <w:szCs w:val="28"/>
        </w:rPr>
        <w:t xml:space="preserve"> Разработать программу привлечения молодых специалистов, включающую жилищные сертификаты, доплаты и целевое обучение, чтобы снизить кадровый риск и повысить долю сотрудников до 30 лет (с текущих 12 % до 20–25 % в перспективе 3 лет).</w:t>
      </w:r>
    </w:p>
    <w:p w:rsidR="004D3BDE" w:rsidRPr="004D3BDE" w:rsidRDefault="004D3BDE" w:rsidP="004D3BD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D3BDE">
        <w:rPr>
          <w:rFonts w:ascii="Times New Roman" w:hAnsi="Times New Roman" w:cs="Times New Roman"/>
          <w:sz w:val="28"/>
          <w:szCs w:val="28"/>
        </w:rPr>
        <w:t xml:space="preserve"> Провести плановое обновление компьютерного парка и автопарка в рамках действующей муниципальной программы, сократив износ до 40–50 % к 2028 году.</w:t>
      </w:r>
    </w:p>
    <w:p w:rsidR="004D3BDE" w:rsidRPr="004D3BDE" w:rsidRDefault="004D3BDE" w:rsidP="004D3BD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D3BDE">
        <w:rPr>
          <w:rFonts w:ascii="Times New Roman" w:hAnsi="Times New Roman" w:cs="Times New Roman"/>
          <w:sz w:val="28"/>
          <w:szCs w:val="28"/>
        </w:rPr>
        <w:t xml:space="preserve"> Создать инвестиционную карту округа с перечнем свободных площадок и льготных условий для частных инвесторов в сферах лесопереработки, сельского хозяйства и туризма.</w:t>
      </w:r>
    </w:p>
    <w:p w:rsidR="004D3BDE" w:rsidRPr="004D3BDE" w:rsidRDefault="004D3BDE" w:rsidP="004D3BD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D3BDE">
        <w:rPr>
          <w:rFonts w:ascii="Times New Roman" w:hAnsi="Times New Roman" w:cs="Times New Roman"/>
          <w:sz w:val="28"/>
          <w:szCs w:val="28"/>
        </w:rPr>
        <w:t xml:space="preserve"> Усилить претензионно-исковую работу по взысканию дебиторской задолженности, что позволит дополнительно пополнить доходную часть бюджета.</w:t>
      </w:r>
    </w:p>
    <w:p w:rsidR="004D3BDE" w:rsidRPr="004D3BDE" w:rsidRDefault="004D3BDE" w:rsidP="004D3BD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D3BDE">
        <w:rPr>
          <w:rFonts w:ascii="Times New Roman" w:hAnsi="Times New Roman" w:cs="Times New Roman"/>
          <w:sz w:val="28"/>
          <w:szCs w:val="28"/>
        </w:rPr>
        <w:t xml:space="preserve"> Продолжить участие в национальных проектах, акцентируя внимание на цифровизации муниципальных услуг и развитии инфраструктуры, чтобы снизить технологический риск и повысить инвестиционную привлекательность территории.</w:t>
      </w:r>
    </w:p>
    <w:p w:rsidR="004D3BDE" w:rsidRPr="004D3BDE" w:rsidRDefault="004D3BDE" w:rsidP="004D3BD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D3BDE">
        <w:rPr>
          <w:rFonts w:ascii="Times New Roman" w:hAnsi="Times New Roman" w:cs="Times New Roman"/>
          <w:sz w:val="28"/>
          <w:szCs w:val="28"/>
        </w:rPr>
        <w:t xml:space="preserve"> Диверсифицировать источники доходов бюджета путём расширения налоговой базы и привлечения внебюджетных инвестиций, что позволит снизить зависимость от межбюджетных трансфертов.</w:t>
      </w:r>
    </w:p>
    <w:p w:rsidR="00992E46" w:rsidRDefault="004D3BDE" w:rsidP="004D3BD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BDE">
        <w:rPr>
          <w:rFonts w:ascii="Times New Roman" w:hAnsi="Times New Roman" w:cs="Times New Roman"/>
          <w:sz w:val="28"/>
          <w:szCs w:val="28"/>
        </w:rPr>
        <w:t>Реализация указанных мер будет способствовать укреплению финансовой самостоятельности округа, повышению эффективности управления и созданию условий для устойчивого социально-экономического развития Чугуевского муниципального округа.</w:t>
      </w:r>
    </w:p>
    <w:p w:rsidR="00992E46" w:rsidRDefault="00992E46" w:rsidP="004D3BDE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br w:type="page"/>
      </w:r>
    </w:p>
    <w:p w:rsidR="00992E46" w:rsidRDefault="00992E46" w:rsidP="00992E46">
      <w:pPr>
        <w:pStyle w:val="a6"/>
        <w:spacing w:before="240" w:after="120" w:line="360" w:lineRule="auto"/>
      </w:pPr>
      <w:r w:rsidRPr="00992E46">
        <w:lastRenderedPageBreak/>
        <w:t>Список использованных источников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Pr="00955DA2">
        <w:rPr>
          <w:sz w:val="28"/>
          <w:szCs w:val="28"/>
        </w:rPr>
        <w:t>Конституция Российской Федерации: принята всен</w:t>
      </w:r>
      <w:r w:rsidR="00DA2713">
        <w:rPr>
          <w:sz w:val="28"/>
          <w:szCs w:val="28"/>
        </w:rPr>
        <w:t>ародным голосованием 12.12.1993</w:t>
      </w:r>
      <w:r w:rsidR="006844CF">
        <w:rPr>
          <w:sz w:val="28"/>
          <w:szCs w:val="28"/>
        </w:rPr>
        <w:t xml:space="preserve"> //</w:t>
      </w:r>
      <w:r w:rsidRPr="00955DA2">
        <w:rPr>
          <w:sz w:val="28"/>
          <w:szCs w:val="28"/>
        </w:rPr>
        <w:t xml:space="preserve"> «КонсультантПлюс». – URL: http://www.consultant.ru/document/cons_doc_LAW_28399/ (дата обращения: 02.07.2026).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965879" w:rsidRPr="00965879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300EC9" w:rsidRPr="00300EC9">
        <w:rPr>
          <w:sz w:val="28"/>
          <w:szCs w:val="28"/>
        </w:rPr>
        <w:t xml:space="preserve">: Федеральный закон </w:t>
      </w:r>
      <w:r w:rsidR="00965879">
        <w:rPr>
          <w:sz w:val="28"/>
          <w:szCs w:val="28"/>
        </w:rPr>
        <w:t>от 20.</w:t>
      </w:r>
      <w:r w:rsidR="00300EC9" w:rsidRPr="00300EC9">
        <w:rPr>
          <w:sz w:val="28"/>
          <w:szCs w:val="28"/>
        </w:rPr>
        <w:t>0</w:t>
      </w:r>
      <w:r w:rsidR="00965879">
        <w:rPr>
          <w:sz w:val="28"/>
          <w:szCs w:val="28"/>
        </w:rPr>
        <w:t>5.2025</w:t>
      </w:r>
      <w:r w:rsidR="00300EC9" w:rsidRPr="00300EC9">
        <w:rPr>
          <w:sz w:val="28"/>
          <w:szCs w:val="28"/>
        </w:rPr>
        <w:t xml:space="preserve"> №</w:t>
      </w:r>
      <w:r w:rsidR="00965879">
        <w:rPr>
          <w:sz w:val="28"/>
          <w:szCs w:val="28"/>
        </w:rPr>
        <w:t xml:space="preserve"> 33</w:t>
      </w:r>
      <w:r w:rsidR="006844CF">
        <w:rPr>
          <w:sz w:val="28"/>
          <w:szCs w:val="28"/>
        </w:rPr>
        <w:t xml:space="preserve">-ФЗ (ред. от 29.12.2025) // «КонсультантПлюс». — </w:t>
      </w:r>
      <w:r w:rsidR="00300EC9" w:rsidRPr="00300EC9">
        <w:rPr>
          <w:sz w:val="28"/>
          <w:szCs w:val="28"/>
        </w:rPr>
        <w:t>URL: http://www.consultant.ru/document/cons_doc_LAW_28399/ (дата обращения: 02.07.2026).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Pr="00955DA2">
        <w:rPr>
          <w:sz w:val="28"/>
          <w:szCs w:val="28"/>
        </w:rPr>
        <w:t>Устав Чугуевского муниципального округа Приморского края: принят решением Думы Чугуевского муниципального округа от 27.10.2020 № 65-НПА (с изм. и доп.) // Официальный сайт Администрации Чугуевского муниципального округа. – URL: https://adm-chuguevka.ru/ (дата обращения: 02.07.2026).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Pr="00955DA2">
        <w:rPr>
          <w:sz w:val="28"/>
          <w:szCs w:val="28"/>
        </w:rPr>
        <w:t>О бюджете Чугуевского муниципального округа на 2026 год: решение Думы Чугуевского муниципального округа от 25.12.2025 № 112-НПА. – Чугуевка, 2025. – 45 с.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r w:rsidRPr="00955DA2">
        <w:rPr>
          <w:sz w:val="28"/>
          <w:szCs w:val="28"/>
        </w:rPr>
        <w:t>О стратегии социально-экономического развития Чугуевского муниципального округа до 2030 года: постановление Администрации Чугуевского муниципального округа от 15.03.2021 № 234-НПА. – Чугуевка, 2021. – 67 с.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Pr="00955DA2">
        <w:rPr>
          <w:sz w:val="28"/>
          <w:szCs w:val="28"/>
        </w:rPr>
        <w:t>О муниципальной программе «Материально-техническое обеспечение органов местного самоуправления Чугуевского муниципального округа»: постановление Администрации Чугуевского муниципального округа от 10.12.2019 № 835-НПА (ред. от 20.02.2026). – Чугуевка, 2026. – 23 с.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r w:rsidRPr="00955DA2">
        <w:rPr>
          <w:sz w:val="28"/>
          <w:szCs w:val="28"/>
        </w:rPr>
        <w:t>Анимица Е.Г., Тертышный А.Т. Местное самоуправление в системе публичной власти: теория и практика: учебное пособие для академического бакалавриата / Е.Г. Анимица, А.Т. Тертышный. – 3-е изд., перераб. и доп. – Москва: Юрайт, 2025. – 315 с.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</w:t>
      </w:r>
      <w:r w:rsidRPr="00955DA2">
        <w:rPr>
          <w:sz w:val="28"/>
          <w:szCs w:val="28"/>
        </w:rPr>
        <w:t>Барабашев Г.В. Муниципальное управление: учебник для вузов / Г.В. Барабашев. – 2-е изд., испр. и доп. – Москва: КноРус, 2024. – 288 с.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 </w:t>
      </w:r>
      <w:r w:rsidRPr="00955DA2">
        <w:rPr>
          <w:sz w:val="28"/>
          <w:szCs w:val="28"/>
        </w:rPr>
        <w:t>Иванов В.В., Коробова А.Н. Экономика и управление муниципальным образованием: ресурсный подход // Вопросы государственного и муниципального управления. – 2025. – № 2. – С. 112–130.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</w:t>
      </w:r>
      <w:r w:rsidRPr="00955DA2">
        <w:rPr>
          <w:sz w:val="28"/>
          <w:szCs w:val="28"/>
        </w:rPr>
        <w:t>Петрова С.Н. Оценка эффективности инвестиционных проектов в муниципальных образованиях: проблемы и пути решения // Экономический анализ: теория и практика. – 2024. – Т. 23. – № 8. – С. 1450–1467.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</w:t>
      </w:r>
      <w:r w:rsidRPr="00955DA2">
        <w:rPr>
          <w:sz w:val="28"/>
          <w:szCs w:val="28"/>
        </w:rPr>
        <w:t>Смирнова О.Ю. Кадровый потенциал органов местного самоуправления: современные вызовы и тренды развития // Управленческое консультирование. – 2025. – № 1. – С. 88–101.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 </w:t>
      </w:r>
      <w:r w:rsidRPr="00955DA2">
        <w:rPr>
          <w:sz w:val="28"/>
          <w:szCs w:val="28"/>
        </w:rPr>
        <w:t>Федеральная служба государственной статистики (Росстат). Регионы России. Социально-экономические показатели – 2025: статистический сборник / пред. редкол. П.В. Малков. – Москва: Росстат, 2026. – 876 с. – Текст: электронный // Федеральная служб</w:t>
      </w:r>
      <w:r w:rsidR="006844CF">
        <w:rPr>
          <w:sz w:val="28"/>
          <w:szCs w:val="28"/>
        </w:rPr>
        <w:t>а государственной статистики: [</w:t>
      </w:r>
      <w:r w:rsidRPr="00955DA2">
        <w:rPr>
          <w:sz w:val="28"/>
          <w:szCs w:val="28"/>
        </w:rPr>
        <w:t>сайт]. – URL: https://rosstat.gov.ru/folder/210/document/13204 (дата обращения: 05.07.2026).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 </w:t>
      </w:r>
      <w:r w:rsidRPr="00955DA2">
        <w:rPr>
          <w:sz w:val="28"/>
          <w:szCs w:val="28"/>
        </w:rPr>
        <w:t>Приморскстат. Основные показатели социально-экономического развития Приморского края за январь-декабрь 2025 года: доклад / Территориальный орган Федеральной службы государственной статистики по Приморскому краю. – Владивосток, 2026. – 112 с. – Текст: электронн</w:t>
      </w:r>
      <w:r w:rsidR="006844CF">
        <w:rPr>
          <w:sz w:val="28"/>
          <w:szCs w:val="28"/>
        </w:rPr>
        <w:t>ый // Приморскстат: [</w:t>
      </w:r>
      <w:r w:rsidRPr="00955DA2">
        <w:rPr>
          <w:sz w:val="28"/>
          <w:szCs w:val="28"/>
        </w:rPr>
        <w:t>сайт]. – URL: https://primstat.gks.ru/ (дата обращения: 05.07.2026).</w:t>
      </w:r>
    </w:p>
    <w:p w:rsidR="00955DA2" w:rsidRPr="00955DA2" w:rsidRDefault="00955DA2" w:rsidP="00D01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</w:t>
      </w:r>
      <w:r w:rsidRPr="00955DA2">
        <w:rPr>
          <w:sz w:val="28"/>
          <w:szCs w:val="28"/>
        </w:rPr>
        <w:t>Официальный сайт Администрации Чугуевского муниципального округа. – URL: https://adm-chuguevka.ru/ (дата обращения: 06.07.2026).</w:t>
      </w:r>
    </w:p>
    <w:p w:rsidR="00955DA2" w:rsidRPr="00D01A92" w:rsidRDefault="00955DA2" w:rsidP="00D01A92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15 </w:t>
      </w:r>
      <w:r w:rsidRPr="00955DA2">
        <w:rPr>
          <w:sz w:val="28"/>
          <w:szCs w:val="28"/>
        </w:rPr>
        <w:t>Инвестиционная декларация Чугуевского муниципального округа: утв. постановлением Администрации Чугуевского муниципального округа от 12.12.2022 № 567-НПА. – Текст: электронный // Официальный сайт Администрации Чугуевского муниципального округа. – URL: https://adm-chuguevka.ru/investicii/ (дата обращения: 06.07.2026).</w:t>
      </w:r>
    </w:p>
    <w:p w:rsidR="00E8719B" w:rsidRDefault="00E8719B" w:rsidP="00992E46">
      <w:pPr>
        <w:pStyle w:val="a6"/>
        <w:spacing w:before="240" w:after="0" w:line="360" w:lineRule="auto"/>
      </w:pPr>
    </w:p>
    <w:p w:rsidR="00E8719B" w:rsidRDefault="00E8719B" w:rsidP="00992E46">
      <w:pPr>
        <w:pStyle w:val="a6"/>
        <w:spacing w:before="240" w:after="0" w:line="360" w:lineRule="auto"/>
      </w:pPr>
    </w:p>
    <w:p w:rsidR="00892E5B" w:rsidRDefault="00992E46" w:rsidP="00992E46">
      <w:pPr>
        <w:pStyle w:val="a6"/>
        <w:spacing w:before="240" w:after="0" w:line="360" w:lineRule="auto"/>
      </w:pPr>
      <w:r>
        <w:lastRenderedPageBreak/>
        <w:t>Приложение А</w:t>
      </w:r>
    </w:p>
    <w:p w:rsidR="00992E46" w:rsidRPr="00992E46" w:rsidRDefault="00992E46" w:rsidP="00992E46">
      <w:pPr>
        <w:pStyle w:val="a6"/>
        <w:spacing w:after="120" w:line="360" w:lineRule="auto"/>
      </w:pPr>
      <w:r w:rsidRPr="00992E46">
        <w:t>Организационная структура администрации</w:t>
      </w:r>
      <w:r>
        <w:t xml:space="preserve"> Чугуевского округа</w:t>
      </w:r>
    </w:p>
    <w:p w:rsidR="00992E46" w:rsidRDefault="00992E46" w:rsidP="00992E46">
      <w:pPr>
        <w:pStyle w:val="a6"/>
        <w:spacing w:before="240" w:after="120" w:line="360" w:lineRule="auto"/>
      </w:pPr>
      <w:r>
        <w:rPr>
          <w:noProof/>
          <w:lang w:eastAsia="ru-RU"/>
        </w:rPr>
        <w:drawing>
          <wp:inline distT="0" distB="0" distL="0" distR="0">
            <wp:extent cx="7840112" cy="5396865"/>
            <wp:effectExtent l="2222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труктура 20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52144" cy="540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19B" w:rsidRPr="00E8719B" w:rsidRDefault="00992E46" w:rsidP="00E8719B">
      <w:pPr>
        <w:widowControl w:val="0"/>
        <w:shd w:val="clear" w:color="auto" w:fill="FFFFFF"/>
        <w:suppressAutoHyphens/>
        <w:spacing w:before="12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А.1 – </w:t>
      </w:r>
      <w:r w:rsidRPr="00746C74">
        <w:rPr>
          <w:sz w:val="28"/>
          <w:szCs w:val="28"/>
        </w:rPr>
        <w:t>Организационная структура</w:t>
      </w:r>
      <w:r>
        <w:rPr>
          <w:sz w:val="28"/>
          <w:szCs w:val="28"/>
        </w:rPr>
        <w:t xml:space="preserve"> администрации</w:t>
      </w:r>
    </w:p>
    <w:p w:rsidR="00154AA7" w:rsidRPr="00154AA7" w:rsidRDefault="00154AA7" w:rsidP="00154AA7">
      <w:pPr>
        <w:widowControl w:val="0"/>
        <w:shd w:val="clear" w:color="auto" w:fill="FFFFFF"/>
        <w:suppressAutoHyphens/>
        <w:spacing w:after="120"/>
        <w:jc w:val="center"/>
        <w:rPr>
          <w:rFonts w:ascii="Arial" w:hAnsi="Arial" w:cs="Arial"/>
          <w:sz w:val="30"/>
          <w:szCs w:val="30"/>
        </w:rPr>
      </w:pPr>
      <w:r w:rsidRPr="00154AA7">
        <w:rPr>
          <w:rFonts w:ascii="Arial" w:hAnsi="Arial" w:cs="Arial"/>
          <w:sz w:val="30"/>
          <w:szCs w:val="30"/>
        </w:rPr>
        <w:lastRenderedPageBreak/>
        <w:t>Приложение В</w:t>
      </w:r>
    </w:p>
    <w:p w:rsidR="00154AA7" w:rsidRDefault="00154AA7" w:rsidP="00154AA7">
      <w:pPr>
        <w:widowControl w:val="0"/>
        <w:shd w:val="clear" w:color="auto" w:fill="FFFFFF"/>
        <w:suppressAutoHyphens/>
        <w:spacing w:after="120"/>
        <w:jc w:val="center"/>
        <w:rPr>
          <w:rFonts w:ascii="Arial" w:hAnsi="Arial" w:cs="Arial"/>
          <w:sz w:val="30"/>
          <w:szCs w:val="30"/>
        </w:rPr>
      </w:pPr>
      <w:r w:rsidRPr="00154AA7">
        <w:rPr>
          <w:rFonts w:ascii="Arial" w:hAnsi="Arial" w:cs="Arial"/>
          <w:sz w:val="30"/>
          <w:szCs w:val="30"/>
        </w:rPr>
        <w:t>Данные бюджета Чугуевского округа на 2026 год</w:t>
      </w:r>
    </w:p>
    <w:p w:rsidR="00154AA7" w:rsidRDefault="00154AA7" w:rsidP="00154AA7">
      <w:pPr>
        <w:widowControl w:val="0"/>
        <w:shd w:val="clear" w:color="auto" w:fill="FFFFFF"/>
        <w:suppressAutoHyphens/>
        <w:spacing w:after="120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noProof/>
          <w:sz w:val="30"/>
          <w:szCs w:val="30"/>
        </w:rPr>
        <w:drawing>
          <wp:inline distT="0" distB="0" distL="0" distR="0">
            <wp:extent cx="5883965" cy="80010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6-07-07_17-42-1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731" cy="800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AA7" w:rsidRDefault="00154AA7" w:rsidP="00154AA7">
      <w:pPr>
        <w:widowControl w:val="0"/>
        <w:shd w:val="clear" w:color="auto" w:fill="FFFFFF"/>
        <w:suppressAutoHyphens/>
        <w:spacing w:after="120"/>
        <w:jc w:val="center"/>
        <w:rPr>
          <w:sz w:val="28"/>
          <w:szCs w:val="28"/>
        </w:rPr>
      </w:pPr>
      <w:r w:rsidRPr="00154AA7">
        <w:rPr>
          <w:sz w:val="28"/>
          <w:szCs w:val="28"/>
        </w:rPr>
        <w:t>Рисунок В.1 – решение о бюджете округа на 2026 год</w:t>
      </w:r>
    </w:p>
    <w:p w:rsidR="00F953E2" w:rsidRDefault="00F953E2" w:rsidP="00F953E2">
      <w:pPr>
        <w:rPr>
          <w:sz w:val="28"/>
          <w:szCs w:val="28"/>
          <w:lang w:eastAsia="ar-SA"/>
        </w:rPr>
      </w:pPr>
    </w:p>
    <w:sectPr w:rsidR="00F953E2" w:rsidSect="00E46168">
      <w:headerReference w:type="default" r:id="rId10"/>
      <w:pgSz w:w="11906" w:h="16838"/>
      <w:pgMar w:top="1134" w:right="567" w:bottom="1134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91A" w:rsidRDefault="0022091A" w:rsidP="00F953E2">
      <w:r>
        <w:separator/>
      </w:r>
    </w:p>
  </w:endnote>
  <w:endnote w:type="continuationSeparator" w:id="0">
    <w:p w:rsidR="0022091A" w:rsidRDefault="0022091A" w:rsidP="00F9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91A" w:rsidRDefault="0022091A" w:rsidP="00F953E2">
      <w:r>
        <w:separator/>
      </w:r>
    </w:p>
  </w:footnote>
  <w:footnote w:type="continuationSeparator" w:id="0">
    <w:p w:rsidR="0022091A" w:rsidRDefault="0022091A" w:rsidP="00F95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1101896"/>
      <w:docPartObj>
        <w:docPartGallery w:val="Page Numbers (Top of Page)"/>
        <w:docPartUnique/>
      </w:docPartObj>
    </w:sdtPr>
    <w:sdtEndPr/>
    <w:sdtContent>
      <w:p w:rsidR="00906950" w:rsidRDefault="0090695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D58">
          <w:rPr>
            <w:noProof/>
          </w:rPr>
          <w:t>11</w:t>
        </w:r>
        <w:r>
          <w:fldChar w:fldCharType="end"/>
        </w:r>
      </w:p>
    </w:sdtContent>
  </w:sdt>
  <w:p w:rsidR="00906950" w:rsidRDefault="0090695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84D55"/>
    <w:multiLevelType w:val="multilevel"/>
    <w:tmpl w:val="E50CB4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735B27FA"/>
    <w:multiLevelType w:val="multilevel"/>
    <w:tmpl w:val="97BC99C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77833FC5"/>
    <w:multiLevelType w:val="multilevel"/>
    <w:tmpl w:val="46DAA9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33"/>
    <w:rsid w:val="0000655E"/>
    <w:rsid w:val="00012998"/>
    <w:rsid w:val="00015A38"/>
    <w:rsid w:val="00016231"/>
    <w:rsid w:val="00026672"/>
    <w:rsid w:val="00035A7D"/>
    <w:rsid w:val="000507CE"/>
    <w:rsid w:val="00083306"/>
    <w:rsid w:val="000A38B4"/>
    <w:rsid w:val="000A72BE"/>
    <w:rsid w:val="000B3B4C"/>
    <w:rsid w:val="000C7BA9"/>
    <w:rsid w:val="000E2F93"/>
    <w:rsid w:val="00113178"/>
    <w:rsid w:val="00122669"/>
    <w:rsid w:val="0013008D"/>
    <w:rsid w:val="0013662C"/>
    <w:rsid w:val="0013741E"/>
    <w:rsid w:val="00154AA7"/>
    <w:rsid w:val="00156C6A"/>
    <w:rsid w:val="001730C4"/>
    <w:rsid w:val="00191A6A"/>
    <w:rsid w:val="001B6D16"/>
    <w:rsid w:val="001D3C47"/>
    <w:rsid w:val="001D76F7"/>
    <w:rsid w:val="001F4118"/>
    <w:rsid w:val="002039C3"/>
    <w:rsid w:val="00213DAE"/>
    <w:rsid w:val="0021709A"/>
    <w:rsid w:val="0021749B"/>
    <w:rsid w:val="0022091A"/>
    <w:rsid w:val="002237CB"/>
    <w:rsid w:val="002242CA"/>
    <w:rsid w:val="00253EFB"/>
    <w:rsid w:val="00295EFB"/>
    <w:rsid w:val="00300EC9"/>
    <w:rsid w:val="003215F2"/>
    <w:rsid w:val="00321E49"/>
    <w:rsid w:val="003345DE"/>
    <w:rsid w:val="003425EE"/>
    <w:rsid w:val="00352B88"/>
    <w:rsid w:val="00360335"/>
    <w:rsid w:val="003B1C0D"/>
    <w:rsid w:val="003B5BDE"/>
    <w:rsid w:val="003D02FE"/>
    <w:rsid w:val="003E0E57"/>
    <w:rsid w:val="003E6EB3"/>
    <w:rsid w:val="00401C78"/>
    <w:rsid w:val="0043058F"/>
    <w:rsid w:val="004341E1"/>
    <w:rsid w:val="00451A1A"/>
    <w:rsid w:val="00460AF4"/>
    <w:rsid w:val="00476A69"/>
    <w:rsid w:val="00481679"/>
    <w:rsid w:val="004A0BE7"/>
    <w:rsid w:val="004A7AEB"/>
    <w:rsid w:val="004C7910"/>
    <w:rsid w:val="004D3BDE"/>
    <w:rsid w:val="004E2D77"/>
    <w:rsid w:val="0050016D"/>
    <w:rsid w:val="0051042D"/>
    <w:rsid w:val="0051562A"/>
    <w:rsid w:val="00554E8C"/>
    <w:rsid w:val="00597F44"/>
    <w:rsid w:val="005B2181"/>
    <w:rsid w:val="005B39CE"/>
    <w:rsid w:val="005D328B"/>
    <w:rsid w:val="005D40D0"/>
    <w:rsid w:val="00616161"/>
    <w:rsid w:val="00652929"/>
    <w:rsid w:val="006844CF"/>
    <w:rsid w:val="006923AB"/>
    <w:rsid w:val="006C5827"/>
    <w:rsid w:val="007021F7"/>
    <w:rsid w:val="00724701"/>
    <w:rsid w:val="00733FE4"/>
    <w:rsid w:val="007347CF"/>
    <w:rsid w:val="007A4AF3"/>
    <w:rsid w:val="007B09D6"/>
    <w:rsid w:val="007C411E"/>
    <w:rsid w:val="007E181D"/>
    <w:rsid w:val="00813444"/>
    <w:rsid w:val="00820E33"/>
    <w:rsid w:val="0084024B"/>
    <w:rsid w:val="00880D58"/>
    <w:rsid w:val="00892E5B"/>
    <w:rsid w:val="00894D56"/>
    <w:rsid w:val="008D12B4"/>
    <w:rsid w:val="008D5FDB"/>
    <w:rsid w:val="008F638C"/>
    <w:rsid w:val="008F6C3E"/>
    <w:rsid w:val="00906950"/>
    <w:rsid w:val="0091486C"/>
    <w:rsid w:val="00916278"/>
    <w:rsid w:val="00917C3D"/>
    <w:rsid w:val="00937667"/>
    <w:rsid w:val="009455CC"/>
    <w:rsid w:val="00955DA2"/>
    <w:rsid w:val="00965879"/>
    <w:rsid w:val="00985E4F"/>
    <w:rsid w:val="009923BF"/>
    <w:rsid w:val="00992E46"/>
    <w:rsid w:val="0099685B"/>
    <w:rsid w:val="009B3204"/>
    <w:rsid w:val="009F6065"/>
    <w:rsid w:val="00A001DC"/>
    <w:rsid w:val="00A37455"/>
    <w:rsid w:val="00A46CEA"/>
    <w:rsid w:val="00A47356"/>
    <w:rsid w:val="00A61AC5"/>
    <w:rsid w:val="00A673C7"/>
    <w:rsid w:val="00A87139"/>
    <w:rsid w:val="00AA5800"/>
    <w:rsid w:val="00AA7ED6"/>
    <w:rsid w:val="00AC1070"/>
    <w:rsid w:val="00AD3581"/>
    <w:rsid w:val="00AD72AB"/>
    <w:rsid w:val="00AE5E29"/>
    <w:rsid w:val="00AF5126"/>
    <w:rsid w:val="00B05F75"/>
    <w:rsid w:val="00B160BB"/>
    <w:rsid w:val="00B27CAC"/>
    <w:rsid w:val="00B35B8E"/>
    <w:rsid w:val="00B75E5D"/>
    <w:rsid w:val="00BA22DD"/>
    <w:rsid w:val="00C429F4"/>
    <w:rsid w:val="00C5283E"/>
    <w:rsid w:val="00C64E63"/>
    <w:rsid w:val="00C972DA"/>
    <w:rsid w:val="00CD66B4"/>
    <w:rsid w:val="00D007DB"/>
    <w:rsid w:val="00D01A92"/>
    <w:rsid w:val="00D354BC"/>
    <w:rsid w:val="00D46DBD"/>
    <w:rsid w:val="00D52040"/>
    <w:rsid w:val="00D60699"/>
    <w:rsid w:val="00D67550"/>
    <w:rsid w:val="00D8052D"/>
    <w:rsid w:val="00D812CA"/>
    <w:rsid w:val="00DA2713"/>
    <w:rsid w:val="00DD4655"/>
    <w:rsid w:val="00DE0CC1"/>
    <w:rsid w:val="00E060F7"/>
    <w:rsid w:val="00E21D34"/>
    <w:rsid w:val="00E225AA"/>
    <w:rsid w:val="00E36277"/>
    <w:rsid w:val="00E4176C"/>
    <w:rsid w:val="00E46168"/>
    <w:rsid w:val="00E4644F"/>
    <w:rsid w:val="00E62CDB"/>
    <w:rsid w:val="00E72E2A"/>
    <w:rsid w:val="00E7556B"/>
    <w:rsid w:val="00E8719B"/>
    <w:rsid w:val="00EC3720"/>
    <w:rsid w:val="00EC49F6"/>
    <w:rsid w:val="00F03593"/>
    <w:rsid w:val="00F14047"/>
    <w:rsid w:val="00F43A85"/>
    <w:rsid w:val="00F62A7A"/>
    <w:rsid w:val="00F72D71"/>
    <w:rsid w:val="00F73CF9"/>
    <w:rsid w:val="00F92B15"/>
    <w:rsid w:val="00F953E2"/>
    <w:rsid w:val="00F96D4E"/>
    <w:rsid w:val="00FA568A"/>
    <w:rsid w:val="00FB2BB7"/>
    <w:rsid w:val="00FB657C"/>
    <w:rsid w:val="00FC0503"/>
    <w:rsid w:val="00FC5A77"/>
    <w:rsid w:val="00FE0AD3"/>
    <w:rsid w:val="00FE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FB276B-0323-4BA8-9F3E-F50C660B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E33"/>
    <w:rPr>
      <w:sz w:val="24"/>
      <w:szCs w:val="24"/>
    </w:rPr>
  </w:style>
  <w:style w:type="paragraph" w:styleId="1">
    <w:name w:val="heading 1"/>
    <w:basedOn w:val="a"/>
    <w:next w:val="a"/>
    <w:qFormat/>
    <w:rsid w:val="00820E33"/>
    <w:pPr>
      <w:keepNext/>
      <w:spacing w:before="240" w:after="60" w:line="360" w:lineRule="auto"/>
      <w:outlineLvl w:val="0"/>
    </w:pPr>
    <w:rPr>
      <w:rFonts w:ascii="Arial" w:hAnsi="Arial" w:cs="Arial"/>
      <w:bCs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20E33"/>
    <w:pPr>
      <w:ind w:left="851" w:right="821"/>
      <w:jc w:val="both"/>
    </w:pPr>
    <w:rPr>
      <w:sz w:val="32"/>
      <w:szCs w:val="20"/>
    </w:rPr>
  </w:style>
  <w:style w:type="character" w:customStyle="1" w:styleId="FontStyle44">
    <w:name w:val="Font Style44"/>
    <w:rsid w:val="000C7BA9"/>
    <w:rPr>
      <w:rFonts w:ascii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rsid w:val="006C5827"/>
    <w:rPr>
      <w:rFonts w:ascii="Tahoma" w:hAnsi="Tahoma" w:cs="Tahoma"/>
      <w:sz w:val="16"/>
      <w:szCs w:val="16"/>
    </w:rPr>
  </w:style>
  <w:style w:type="paragraph" w:customStyle="1" w:styleId="a6">
    <w:name w:val="Загаловок отчет СТО"/>
    <w:basedOn w:val="a"/>
    <w:link w:val="a7"/>
    <w:qFormat/>
    <w:rsid w:val="00A001DC"/>
    <w:pPr>
      <w:spacing w:after="240"/>
      <w:jc w:val="center"/>
    </w:pPr>
    <w:rPr>
      <w:rFonts w:ascii="Arial" w:hAnsi="Arial" w:cs="Arial"/>
      <w:sz w:val="30"/>
      <w:szCs w:val="30"/>
      <w:lang w:eastAsia="ar-SA"/>
    </w:rPr>
  </w:style>
  <w:style w:type="paragraph" w:customStyle="1" w:styleId="a8">
    <w:name w:val="текст отчет СТО"/>
    <w:basedOn w:val="a"/>
    <w:link w:val="a9"/>
    <w:qFormat/>
    <w:rsid w:val="00A001DC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7">
    <w:name w:val="Загаловок отчет СТО Знак"/>
    <w:basedOn w:val="a0"/>
    <w:link w:val="a6"/>
    <w:rsid w:val="00A001DC"/>
    <w:rPr>
      <w:rFonts w:ascii="Arial" w:hAnsi="Arial" w:cs="Arial"/>
      <w:sz w:val="30"/>
      <w:szCs w:val="30"/>
      <w:lang w:eastAsia="ar-SA"/>
    </w:rPr>
  </w:style>
  <w:style w:type="table" w:styleId="aa">
    <w:name w:val="Table Grid"/>
    <w:basedOn w:val="a1"/>
    <w:uiPriority w:val="59"/>
    <w:rsid w:val="00C972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текст отчет СТО Знак"/>
    <w:basedOn w:val="a0"/>
    <w:link w:val="a8"/>
    <w:rsid w:val="00A001DC"/>
    <w:rPr>
      <w:sz w:val="28"/>
      <w:szCs w:val="28"/>
    </w:rPr>
  </w:style>
  <w:style w:type="paragraph" w:styleId="ab">
    <w:name w:val="List Paragraph"/>
    <w:basedOn w:val="a"/>
    <w:uiPriority w:val="34"/>
    <w:qFormat/>
    <w:rsid w:val="0061616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rsid w:val="00616161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953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953E2"/>
    <w:rPr>
      <w:sz w:val="24"/>
      <w:szCs w:val="24"/>
    </w:rPr>
  </w:style>
  <w:style w:type="paragraph" w:styleId="ae">
    <w:name w:val="footer"/>
    <w:basedOn w:val="a"/>
    <w:link w:val="af"/>
    <w:unhideWhenUsed/>
    <w:rsid w:val="00F953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F953E2"/>
    <w:rPr>
      <w:sz w:val="24"/>
      <w:szCs w:val="24"/>
    </w:rPr>
  </w:style>
  <w:style w:type="character" w:styleId="af0">
    <w:name w:val="annotation reference"/>
    <w:basedOn w:val="a0"/>
    <w:semiHidden/>
    <w:unhideWhenUsed/>
    <w:rsid w:val="00F953E2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F953E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F953E2"/>
  </w:style>
  <w:style w:type="paragraph" w:styleId="af3">
    <w:name w:val="annotation subject"/>
    <w:basedOn w:val="af1"/>
    <w:next w:val="af1"/>
    <w:link w:val="af4"/>
    <w:semiHidden/>
    <w:unhideWhenUsed/>
    <w:rsid w:val="00F953E2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F953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pattFill prst="ltDnDiag">
              <a:fgClr>
                <a:schemeClr val="dk1">
                  <a:tint val="88500"/>
                </a:schemeClr>
              </a:fgClr>
              <a:bgClr>
                <a:schemeClr val="dk1">
                  <a:tint val="88500"/>
                  <a:lumMod val="20000"/>
                  <a:lumOff val="80000"/>
                </a:schemeClr>
              </a:bgClr>
            </a:pattFill>
            <a:ln>
              <a:solidFill>
                <a:schemeClr val="dk1">
                  <a:tint val="88500"/>
                </a:schemeClr>
              </a:solidFill>
            </a:ln>
            <a:effectLst/>
            <a:sp3d>
              <a:contourClr>
                <a:schemeClr val="dk1">
                  <a:tint val="885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9.2592592592592171E-3"/>
                  <c:y val="-0.269841269841269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3148148148148147E-3"/>
                  <c:y val="-0.150793650793650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3148148148148147E-3"/>
                  <c:y val="-8.3333333333333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9.1134441443266753E-8"/>
                  <c:y val="-8.333317710286214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2.6759259259259253E-2"/>
                      <c:h val="9.517872765904260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9.2592592592592587E-3"/>
                  <c:y val="-7.1428571428571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бюджетное финансирование</c:v>
                </c:pt>
                <c:pt idx="1">
                  <c:v>ГЧП и концессии</c:v>
                </c:pt>
                <c:pt idx="2">
                  <c:v>бюджетные кредиты</c:v>
                </c:pt>
                <c:pt idx="3">
                  <c:v>банковские кредиты</c:v>
                </c:pt>
                <c:pt idx="4">
                  <c:v>внебюджетные средства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55</c:v>
                </c:pt>
                <c:pt idx="1">
                  <c:v>25</c:v>
                </c:pt>
                <c:pt idx="2">
                  <c:v>10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pattFill prst="ltDnDiag">
              <a:fgClr>
                <a:schemeClr val="dk1">
                  <a:tint val="55000"/>
                </a:schemeClr>
              </a:fgClr>
              <a:bgClr>
                <a:schemeClr val="dk1">
                  <a:tint val="55000"/>
                  <a:lumMod val="20000"/>
                  <a:lumOff val="80000"/>
                </a:schemeClr>
              </a:bgClr>
            </a:pattFill>
            <a:ln>
              <a:solidFill>
                <a:schemeClr val="dk1">
                  <a:tint val="55000"/>
                </a:schemeClr>
              </a:solidFill>
            </a:ln>
            <a:effectLst/>
            <a:sp3d>
              <a:contourClr>
                <a:schemeClr val="dk1">
                  <a:tint val="5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бюджетное финансирование</c:v>
                </c:pt>
                <c:pt idx="1">
                  <c:v>ГЧП и концессии</c:v>
                </c:pt>
                <c:pt idx="2">
                  <c:v>бюджетные кредиты</c:v>
                </c:pt>
                <c:pt idx="3">
                  <c:v>банковские кредиты</c:v>
                </c:pt>
                <c:pt idx="4">
                  <c:v>внебюджетные средства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pattFill prst="ltDnDiag">
              <a:fgClr>
                <a:schemeClr val="dk1">
                  <a:tint val="75000"/>
                </a:schemeClr>
              </a:fgClr>
              <a:bgClr>
                <a:schemeClr val="dk1">
                  <a:tint val="75000"/>
                  <a:lumMod val="20000"/>
                  <a:lumOff val="80000"/>
                </a:schemeClr>
              </a:bgClr>
            </a:pattFill>
            <a:ln>
              <a:solidFill>
                <a:schemeClr val="dk1">
                  <a:tint val="75000"/>
                </a:schemeClr>
              </a:solidFill>
            </a:ln>
            <a:effectLst/>
            <a:sp3d>
              <a:contourClr>
                <a:schemeClr val="dk1">
                  <a:tint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бюджетное финансирование</c:v>
                </c:pt>
                <c:pt idx="1">
                  <c:v>ГЧП и концессии</c:v>
                </c:pt>
                <c:pt idx="2">
                  <c:v>бюджетные кредиты</c:v>
                </c:pt>
                <c:pt idx="3">
                  <c:v>банковские кредиты</c:v>
                </c:pt>
                <c:pt idx="4">
                  <c:v>внебюджетные средства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95615664"/>
        <c:axId val="1395617296"/>
        <c:axId val="0"/>
      </c:bar3DChart>
      <c:catAx>
        <c:axId val="139561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5617296"/>
        <c:crosses val="autoZero"/>
        <c:auto val="1"/>
        <c:lblAlgn val="ctr"/>
        <c:lblOffset val="100"/>
        <c:noMultiLvlLbl val="0"/>
      </c:catAx>
      <c:valAx>
        <c:axId val="1395617296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5615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7256</Words>
  <Characters>41360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практика 26</vt:lpstr>
    </vt:vector>
  </TitlesOfParts>
  <Company>vvsu</Company>
  <LinksUpToDate>false</LinksUpToDate>
  <CharactersWithSpaces>48519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практика 26</dc:title>
  <dc:subject/>
  <dc:creator>shelygina</dc:creator>
  <cp:keywords/>
  <cp:lastModifiedBy>Zver</cp:lastModifiedBy>
  <cp:revision>3</cp:revision>
  <cp:lastPrinted>2017-01-18T04:42:00Z</cp:lastPrinted>
  <dcterms:created xsi:type="dcterms:W3CDTF">2026-07-17T01:52:00Z</dcterms:created>
  <dcterms:modified xsi:type="dcterms:W3CDTF">2026-07-17T01:52:00Z</dcterms:modified>
</cp:coreProperties>
</file>