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35A81" w14:textId="77777777" w:rsidR="001E4521" w:rsidRDefault="001E4521" w:rsidP="007B09D6">
      <w:pPr>
        <w:suppressAutoHyphens/>
        <w:jc w:val="center"/>
        <w:rPr>
          <w:sz w:val="28"/>
          <w:szCs w:val="28"/>
          <w:lang w:eastAsia="ar-SA"/>
        </w:rPr>
      </w:pPr>
      <w:r>
        <w:rPr>
          <w:noProof/>
          <w:sz w:val="28"/>
          <w:szCs w:val="28"/>
          <w:lang w:eastAsia="ar-SA"/>
        </w:rPr>
        <w:drawing>
          <wp:inline distT="0" distB="0" distL="0" distR="0" wp14:anchorId="00D113FF" wp14:editId="624D5A1D">
            <wp:extent cx="6120130" cy="8703945"/>
            <wp:effectExtent l="0" t="0" r="0" b="190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8">
                      <a:extLst>
                        <a:ext uri="{28A0092B-C50C-407E-A947-70E740481C1C}">
                          <a14:useLocalDpi xmlns:a14="http://schemas.microsoft.com/office/drawing/2010/main" val="0"/>
                        </a:ext>
                      </a:extLst>
                    </a:blip>
                    <a:stretch>
                      <a:fillRect/>
                    </a:stretch>
                  </pic:blipFill>
                  <pic:spPr>
                    <a:xfrm>
                      <a:off x="0" y="0"/>
                      <a:ext cx="6120130" cy="8703945"/>
                    </a:xfrm>
                    <a:prstGeom prst="rect">
                      <a:avLst/>
                    </a:prstGeom>
                  </pic:spPr>
                </pic:pic>
              </a:graphicData>
            </a:graphic>
          </wp:inline>
        </w:drawing>
      </w:r>
    </w:p>
    <w:p w14:paraId="087A39BD" w14:textId="77777777" w:rsidR="001E4521" w:rsidRDefault="001E4521" w:rsidP="007B09D6">
      <w:pPr>
        <w:suppressAutoHyphens/>
        <w:jc w:val="center"/>
        <w:rPr>
          <w:sz w:val="28"/>
          <w:szCs w:val="28"/>
          <w:lang w:eastAsia="ar-SA"/>
        </w:rPr>
      </w:pPr>
    </w:p>
    <w:p w14:paraId="098C734D" w14:textId="77777777" w:rsidR="001E4521" w:rsidRDefault="001E4521" w:rsidP="007B09D6">
      <w:pPr>
        <w:suppressAutoHyphens/>
        <w:jc w:val="center"/>
        <w:rPr>
          <w:sz w:val="28"/>
          <w:szCs w:val="28"/>
          <w:lang w:eastAsia="ar-SA"/>
        </w:rPr>
      </w:pPr>
      <w:r>
        <w:rPr>
          <w:noProof/>
          <w:sz w:val="28"/>
          <w:szCs w:val="28"/>
          <w:lang w:eastAsia="ar-SA"/>
        </w:rPr>
        <w:lastRenderedPageBreak/>
        <w:drawing>
          <wp:inline distT="0" distB="0" distL="0" distR="0" wp14:anchorId="1094DCD0" wp14:editId="58CE29BA">
            <wp:extent cx="6120130" cy="860869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pic:cNvPicPr/>
                  </pic:nvPicPr>
                  <pic:blipFill>
                    <a:blip r:embed="rId9">
                      <a:extLst>
                        <a:ext uri="{28A0092B-C50C-407E-A947-70E740481C1C}">
                          <a14:useLocalDpi xmlns:a14="http://schemas.microsoft.com/office/drawing/2010/main" val="0"/>
                        </a:ext>
                      </a:extLst>
                    </a:blip>
                    <a:stretch>
                      <a:fillRect/>
                    </a:stretch>
                  </pic:blipFill>
                  <pic:spPr>
                    <a:xfrm>
                      <a:off x="0" y="0"/>
                      <a:ext cx="6120130" cy="8608695"/>
                    </a:xfrm>
                    <a:prstGeom prst="rect">
                      <a:avLst/>
                    </a:prstGeom>
                  </pic:spPr>
                </pic:pic>
              </a:graphicData>
            </a:graphic>
          </wp:inline>
        </w:drawing>
      </w:r>
    </w:p>
    <w:p w14:paraId="0C635C35" w14:textId="77777777" w:rsidR="001E4521" w:rsidRDefault="001E4521" w:rsidP="007B09D6">
      <w:pPr>
        <w:suppressAutoHyphens/>
        <w:jc w:val="center"/>
        <w:rPr>
          <w:sz w:val="28"/>
          <w:szCs w:val="28"/>
          <w:lang w:eastAsia="ar-SA"/>
        </w:rPr>
      </w:pPr>
    </w:p>
    <w:p w14:paraId="77A08492" w14:textId="77777777" w:rsidR="001E4521" w:rsidRDefault="001E4521" w:rsidP="007B09D6">
      <w:pPr>
        <w:suppressAutoHyphens/>
        <w:jc w:val="center"/>
        <w:rPr>
          <w:sz w:val="28"/>
          <w:szCs w:val="28"/>
          <w:lang w:eastAsia="ar-SA"/>
        </w:rPr>
      </w:pPr>
      <w:r>
        <w:rPr>
          <w:noProof/>
          <w:sz w:val="28"/>
          <w:szCs w:val="28"/>
          <w:lang w:eastAsia="ar-SA"/>
        </w:rPr>
        <w:lastRenderedPageBreak/>
        <w:drawing>
          <wp:inline distT="0" distB="0" distL="0" distR="0" wp14:anchorId="26B153A3" wp14:editId="53A87EB4">
            <wp:extent cx="6120130" cy="8762365"/>
            <wp:effectExtent l="0" t="0" r="0" b="63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a:blip r:embed="rId10">
                      <a:extLst>
                        <a:ext uri="{28A0092B-C50C-407E-A947-70E740481C1C}">
                          <a14:useLocalDpi xmlns:a14="http://schemas.microsoft.com/office/drawing/2010/main" val="0"/>
                        </a:ext>
                      </a:extLst>
                    </a:blip>
                    <a:stretch>
                      <a:fillRect/>
                    </a:stretch>
                  </pic:blipFill>
                  <pic:spPr>
                    <a:xfrm>
                      <a:off x="0" y="0"/>
                      <a:ext cx="6120130" cy="8762365"/>
                    </a:xfrm>
                    <a:prstGeom prst="rect">
                      <a:avLst/>
                    </a:prstGeom>
                  </pic:spPr>
                </pic:pic>
              </a:graphicData>
            </a:graphic>
          </wp:inline>
        </w:drawing>
      </w:r>
    </w:p>
    <w:p w14:paraId="3DFB81EA" w14:textId="77777777" w:rsidR="001E4521" w:rsidRDefault="001E4521" w:rsidP="007B09D6">
      <w:pPr>
        <w:suppressAutoHyphens/>
        <w:jc w:val="center"/>
        <w:rPr>
          <w:noProof/>
          <w:sz w:val="28"/>
          <w:szCs w:val="28"/>
          <w:lang w:eastAsia="ar-SA"/>
        </w:rPr>
      </w:pPr>
    </w:p>
    <w:p w14:paraId="2F3A8AB0" w14:textId="77777777" w:rsidR="001E4521" w:rsidRDefault="001E4521" w:rsidP="007B09D6">
      <w:pPr>
        <w:suppressAutoHyphens/>
        <w:jc w:val="center"/>
        <w:rPr>
          <w:sz w:val="28"/>
          <w:szCs w:val="28"/>
          <w:lang w:eastAsia="ar-SA"/>
        </w:rPr>
      </w:pPr>
      <w:r>
        <w:rPr>
          <w:noProof/>
          <w:sz w:val="28"/>
          <w:szCs w:val="28"/>
          <w:lang w:eastAsia="ar-SA"/>
        </w:rPr>
        <w:lastRenderedPageBreak/>
        <w:drawing>
          <wp:inline distT="0" distB="0" distL="0" distR="0" wp14:anchorId="6A418CB6" wp14:editId="4DFD7486">
            <wp:extent cx="6120130" cy="833374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pic:cNvPicPr/>
                  </pic:nvPicPr>
                  <pic:blipFill>
                    <a:blip r:embed="rId11">
                      <a:extLst>
                        <a:ext uri="{28A0092B-C50C-407E-A947-70E740481C1C}">
                          <a14:useLocalDpi xmlns:a14="http://schemas.microsoft.com/office/drawing/2010/main" val="0"/>
                        </a:ext>
                      </a:extLst>
                    </a:blip>
                    <a:stretch>
                      <a:fillRect/>
                    </a:stretch>
                  </pic:blipFill>
                  <pic:spPr>
                    <a:xfrm>
                      <a:off x="0" y="0"/>
                      <a:ext cx="6120130" cy="8333740"/>
                    </a:xfrm>
                    <a:prstGeom prst="rect">
                      <a:avLst/>
                    </a:prstGeom>
                  </pic:spPr>
                </pic:pic>
              </a:graphicData>
            </a:graphic>
          </wp:inline>
        </w:drawing>
      </w:r>
    </w:p>
    <w:p w14:paraId="0B854C51" w14:textId="77777777" w:rsidR="001E4521" w:rsidRDefault="001E4521" w:rsidP="007B09D6">
      <w:pPr>
        <w:suppressAutoHyphens/>
        <w:jc w:val="center"/>
        <w:rPr>
          <w:sz w:val="28"/>
          <w:szCs w:val="28"/>
          <w:lang w:eastAsia="ar-SA"/>
        </w:rPr>
      </w:pPr>
    </w:p>
    <w:p w14:paraId="4C02D67C" w14:textId="77777777" w:rsidR="001E4521" w:rsidRDefault="001E4521" w:rsidP="007B09D6">
      <w:pPr>
        <w:suppressAutoHyphens/>
        <w:jc w:val="center"/>
        <w:rPr>
          <w:sz w:val="28"/>
          <w:szCs w:val="28"/>
          <w:lang w:eastAsia="ar-SA"/>
        </w:rPr>
      </w:pPr>
    </w:p>
    <w:p w14:paraId="128176FB" w14:textId="77777777" w:rsidR="001E4521" w:rsidRDefault="001E4521" w:rsidP="007B09D6">
      <w:pPr>
        <w:suppressAutoHyphens/>
        <w:jc w:val="center"/>
        <w:rPr>
          <w:sz w:val="28"/>
          <w:szCs w:val="28"/>
          <w:lang w:eastAsia="ar-SA"/>
        </w:rPr>
      </w:pPr>
    </w:p>
    <w:p w14:paraId="7DF1F0D5" w14:textId="5044C5DF" w:rsidR="00DA5D6C" w:rsidRDefault="00DA5D6C" w:rsidP="005D40D0">
      <w:pPr>
        <w:pStyle w:val="a3"/>
        <w:ind w:left="0" w:right="0"/>
        <w:jc w:val="center"/>
        <w:rPr>
          <w:sz w:val="28"/>
          <w:szCs w:val="28"/>
          <w:lang w:eastAsia="ar-SA"/>
        </w:rPr>
      </w:pPr>
      <w:r>
        <w:rPr>
          <w:sz w:val="28"/>
          <w:szCs w:val="28"/>
          <w:lang w:eastAsia="ar-SA"/>
        </w:rPr>
        <w:br w:type="page"/>
      </w:r>
    </w:p>
    <w:sdt>
      <w:sdtPr>
        <w:rPr>
          <w:rFonts w:ascii="Times New Roman" w:eastAsia="Times New Roman" w:hAnsi="Times New Roman" w:cs="Times New Roman"/>
          <w:color w:val="auto"/>
          <w:sz w:val="24"/>
          <w:szCs w:val="24"/>
        </w:rPr>
        <w:id w:val="-2048288967"/>
        <w:docPartObj>
          <w:docPartGallery w:val="Table of Contents"/>
          <w:docPartUnique/>
        </w:docPartObj>
      </w:sdtPr>
      <w:sdtEndPr>
        <w:rPr>
          <w:b/>
          <w:bCs/>
        </w:rPr>
      </w:sdtEndPr>
      <w:sdtContent>
        <w:p w14:paraId="1A3EC312" w14:textId="54DA89C2" w:rsidR="003807FC" w:rsidRPr="003807FC" w:rsidRDefault="003807FC" w:rsidP="003807FC">
          <w:pPr>
            <w:pStyle w:val="aa"/>
            <w:jc w:val="center"/>
            <w:rPr>
              <w:rFonts w:ascii="Arial" w:hAnsi="Arial" w:cs="Arial"/>
              <w:color w:val="auto"/>
              <w:sz w:val="30"/>
              <w:szCs w:val="30"/>
            </w:rPr>
          </w:pPr>
          <w:r w:rsidRPr="003807FC">
            <w:rPr>
              <w:rFonts w:ascii="Arial" w:hAnsi="Arial" w:cs="Arial"/>
              <w:color w:val="auto"/>
              <w:sz w:val="30"/>
              <w:szCs w:val="30"/>
            </w:rPr>
            <w:t>Содержание</w:t>
          </w:r>
        </w:p>
        <w:p w14:paraId="646DD36F" w14:textId="54BD21B7" w:rsidR="00C82C78" w:rsidRPr="00E724B2" w:rsidRDefault="00CE519B">
          <w:pPr>
            <w:pStyle w:val="10"/>
            <w:tabs>
              <w:tab w:val="right" w:pos="9628"/>
            </w:tabs>
            <w:rPr>
              <w:rFonts w:asciiTheme="minorHAnsi" w:eastAsiaTheme="minorEastAsia" w:hAnsiTheme="minorHAnsi" w:cstheme="minorBidi"/>
              <w:noProof/>
            </w:rPr>
          </w:pPr>
          <w:r w:rsidRPr="00E724B2">
            <w:rPr>
              <w:sz w:val="32"/>
              <w:szCs w:val="32"/>
            </w:rPr>
            <w:fldChar w:fldCharType="begin"/>
          </w:r>
          <w:r w:rsidRPr="00E724B2">
            <w:rPr>
              <w:sz w:val="32"/>
              <w:szCs w:val="32"/>
            </w:rPr>
            <w:instrText xml:space="preserve"> TOC \o "1-3" \h \z \u </w:instrText>
          </w:r>
          <w:r w:rsidRPr="00E724B2">
            <w:rPr>
              <w:sz w:val="32"/>
              <w:szCs w:val="32"/>
            </w:rPr>
            <w:fldChar w:fldCharType="separate"/>
          </w:r>
          <w:hyperlink w:anchor="_Toc187851172" w:history="1">
            <w:r w:rsidR="00C82C78" w:rsidRPr="00E724B2">
              <w:rPr>
                <w:rStyle w:val="ab"/>
                <w:noProof/>
                <w:sz w:val="28"/>
                <w:szCs w:val="28"/>
                <w:lang w:eastAsia="ar-SA"/>
              </w:rPr>
              <w:t>Введение</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_Toc187851172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2</w:t>
            </w:r>
            <w:r w:rsidR="00C82C78" w:rsidRPr="00E724B2">
              <w:rPr>
                <w:noProof/>
                <w:webHidden/>
                <w:sz w:val="28"/>
                <w:szCs w:val="28"/>
              </w:rPr>
              <w:fldChar w:fldCharType="end"/>
            </w:r>
          </w:hyperlink>
        </w:p>
        <w:p w14:paraId="645544CE" w14:textId="2F09C3CB" w:rsidR="00C82C78" w:rsidRPr="00E724B2" w:rsidRDefault="006759FF">
          <w:pPr>
            <w:pStyle w:val="10"/>
            <w:tabs>
              <w:tab w:val="right" w:pos="9628"/>
            </w:tabs>
            <w:rPr>
              <w:rFonts w:asciiTheme="minorHAnsi" w:eastAsiaTheme="minorEastAsia" w:hAnsiTheme="minorHAnsi" w:cstheme="minorBidi"/>
              <w:noProof/>
            </w:rPr>
          </w:pPr>
          <w:hyperlink w:anchor="_Toc187851173" w:history="1">
            <w:r w:rsidR="00C82C78" w:rsidRPr="00E724B2">
              <w:rPr>
                <w:rStyle w:val="ab"/>
                <w:rFonts w:eastAsia="Calibri"/>
                <w:noProof/>
                <w:sz w:val="28"/>
                <w:szCs w:val="28"/>
                <w:lang w:eastAsia="en-US"/>
              </w:rPr>
              <w:t xml:space="preserve">1 </w:t>
            </w:r>
            <w:r w:rsidR="00C82C78" w:rsidRPr="00E724B2">
              <w:rPr>
                <w:rStyle w:val="ab"/>
                <w:noProof/>
                <w:sz w:val="28"/>
                <w:szCs w:val="28"/>
              </w:rPr>
              <w:t>Внутренняя среда организации и угрозы экономической безопасности</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_Toc187851173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3</w:t>
            </w:r>
            <w:r w:rsidR="00C82C78" w:rsidRPr="00E724B2">
              <w:rPr>
                <w:noProof/>
                <w:webHidden/>
                <w:sz w:val="28"/>
                <w:szCs w:val="28"/>
              </w:rPr>
              <w:fldChar w:fldCharType="end"/>
            </w:r>
          </w:hyperlink>
        </w:p>
        <w:p w14:paraId="363D79DD" w14:textId="7FBF4E20" w:rsidR="00C82C78" w:rsidRPr="00E724B2" w:rsidRDefault="006759FF">
          <w:pPr>
            <w:pStyle w:val="10"/>
            <w:tabs>
              <w:tab w:val="right" w:pos="9628"/>
            </w:tabs>
            <w:rPr>
              <w:rFonts w:asciiTheme="minorHAnsi" w:eastAsiaTheme="minorEastAsia" w:hAnsiTheme="minorHAnsi" w:cstheme="minorBidi"/>
              <w:noProof/>
            </w:rPr>
          </w:pPr>
          <w:hyperlink w:anchor="_Toc187851174" w:history="1">
            <w:r w:rsidR="00C82C78" w:rsidRPr="00E724B2">
              <w:rPr>
                <w:rStyle w:val="ab"/>
                <w:rFonts w:eastAsia="Calibri"/>
                <w:noProof/>
                <w:sz w:val="28"/>
                <w:szCs w:val="28"/>
                <w:lang w:eastAsia="en-US"/>
              </w:rPr>
              <w:t xml:space="preserve">2 </w:t>
            </w:r>
            <w:r w:rsidR="00C82C78" w:rsidRPr="00E724B2">
              <w:rPr>
                <w:rStyle w:val="ab"/>
                <w:noProof/>
                <w:sz w:val="28"/>
                <w:szCs w:val="28"/>
              </w:rPr>
              <w:t>Внешняя среда организации и угрозы экономической безопасности</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_Toc187851174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14</w:t>
            </w:r>
            <w:r w:rsidR="00C82C78" w:rsidRPr="00E724B2">
              <w:rPr>
                <w:noProof/>
                <w:webHidden/>
                <w:sz w:val="28"/>
                <w:szCs w:val="28"/>
              </w:rPr>
              <w:fldChar w:fldCharType="end"/>
            </w:r>
          </w:hyperlink>
        </w:p>
        <w:p w14:paraId="6F78E3C1" w14:textId="50EF0291" w:rsidR="00C82C78" w:rsidRPr="00E724B2" w:rsidRDefault="006759FF">
          <w:pPr>
            <w:pStyle w:val="10"/>
            <w:tabs>
              <w:tab w:val="right" w:pos="9628"/>
            </w:tabs>
            <w:rPr>
              <w:rFonts w:asciiTheme="minorHAnsi" w:eastAsiaTheme="minorEastAsia" w:hAnsiTheme="minorHAnsi" w:cstheme="minorBidi"/>
              <w:noProof/>
            </w:rPr>
          </w:pPr>
          <w:hyperlink w:anchor="_Toc187851175" w:history="1">
            <w:r w:rsidR="00C82C78" w:rsidRPr="00E724B2">
              <w:rPr>
                <w:rStyle w:val="ab"/>
                <w:rFonts w:eastAsia="Calibri"/>
                <w:noProof/>
                <w:sz w:val="28"/>
                <w:szCs w:val="28"/>
                <w:lang w:eastAsia="en-US"/>
              </w:rPr>
              <w:t xml:space="preserve">3 </w:t>
            </w:r>
            <w:r w:rsidR="00C82C78" w:rsidRPr="00E724B2">
              <w:rPr>
                <w:rStyle w:val="ab"/>
                <w:noProof/>
                <w:sz w:val="28"/>
                <w:szCs w:val="28"/>
              </w:rPr>
              <w:t>Обеспечение экономической безопасности организации</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_Toc187851175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23</w:t>
            </w:r>
            <w:r w:rsidR="00C82C78" w:rsidRPr="00E724B2">
              <w:rPr>
                <w:noProof/>
                <w:webHidden/>
                <w:sz w:val="28"/>
                <w:szCs w:val="28"/>
              </w:rPr>
              <w:fldChar w:fldCharType="end"/>
            </w:r>
          </w:hyperlink>
        </w:p>
        <w:p w14:paraId="0BC66677" w14:textId="4F30E55B" w:rsidR="00C82C78" w:rsidRPr="00E724B2" w:rsidRDefault="006759FF">
          <w:pPr>
            <w:pStyle w:val="10"/>
            <w:tabs>
              <w:tab w:val="right" w:pos="9628"/>
            </w:tabs>
            <w:rPr>
              <w:rFonts w:asciiTheme="minorHAnsi" w:eastAsiaTheme="minorEastAsia" w:hAnsiTheme="minorHAnsi" w:cstheme="minorBidi"/>
              <w:noProof/>
            </w:rPr>
          </w:pPr>
          <w:hyperlink w:anchor="_Toc187851176" w:history="1">
            <w:r w:rsidR="00C82C78" w:rsidRPr="00E724B2">
              <w:rPr>
                <w:rStyle w:val="ab"/>
                <w:rFonts w:eastAsia="Calibri"/>
                <w:noProof/>
                <w:sz w:val="28"/>
                <w:szCs w:val="28"/>
              </w:rPr>
              <w:t>Заключение</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_Toc187851176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29</w:t>
            </w:r>
            <w:r w:rsidR="00C82C78" w:rsidRPr="00E724B2">
              <w:rPr>
                <w:noProof/>
                <w:webHidden/>
                <w:sz w:val="28"/>
                <w:szCs w:val="28"/>
              </w:rPr>
              <w:fldChar w:fldCharType="end"/>
            </w:r>
          </w:hyperlink>
        </w:p>
        <w:p w14:paraId="5555A6BD" w14:textId="1FBCC9A5" w:rsidR="00C82C78" w:rsidRPr="00E724B2" w:rsidRDefault="006759FF">
          <w:pPr>
            <w:pStyle w:val="10"/>
            <w:tabs>
              <w:tab w:val="right" w:pos="9628"/>
            </w:tabs>
            <w:rPr>
              <w:rFonts w:asciiTheme="minorHAnsi" w:eastAsiaTheme="minorEastAsia" w:hAnsiTheme="minorHAnsi" w:cstheme="minorBidi"/>
              <w:noProof/>
            </w:rPr>
          </w:pPr>
          <w:hyperlink w:anchor="_Toc187851177" w:history="1">
            <w:r w:rsidR="00C82C78" w:rsidRPr="00E724B2">
              <w:rPr>
                <w:rStyle w:val="ab"/>
                <w:rFonts w:eastAsia="Calibri"/>
                <w:noProof/>
                <w:sz w:val="28"/>
                <w:szCs w:val="28"/>
                <w:lang w:eastAsia="en-US"/>
              </w:rPr>
              <w:t>Список использованных источников</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_Toc187851177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31</w:t>
            </w:r>
            <w:r w:rsidR="00C82C78" w:rsidRPr="00E724B2">
              <w:rPr>
                <w:noProof/>
                <w:webHidden/>
                <w:sz w:val="28"/>
                <w:szCs w:val="28"/>
              </w:rPr>
              <w:fldChar w:fldCharType="end"/>
            </w:r>
          </w:hyperlink>
        </w:p>
        <w:p w14:paraId="51EA93C0" w14:textId="54722EB2" w:rsidR="00C82C78" w:rsidRPr="00E724B2" w:rsidRDefault="006759FF">
          <w:pPr>
            <w:pStyle w:val="10"/>
            <w:tabs>
              <w:tab w:val="right" w:pos="9628"/>
            </w:tabs>
            <w:rPr>
              <w:rFonts w:asciiTheme="minorHAnsi" w:eastAsiaTheme="minorEastAsia" w:hAnsiTheme="minorHAnsi" w:cstheme="minorBidi"/>
              <w:noProof/>
            </w:rPr>
          </w:pPr>
          <w:hyperlink w:anchor="_Toc187851178" w:history="1">
            <w:r w:rsidR="00C82C78" w:rsidRPr="00E724B2">
              <w:rPr>
                <w:rStyle w:val="ab"/>
                <w:rFonts w:eastAsia="Calibri"/>
                <w:noProof/>
                <w:sz w:val="28"/>
                <w:szCs w:val="28"/>
              </w:rPr>
              <w:t xml:space="preserve">Приложение А </w:t>
            </w:r>
            <w:r w:rsidR="00C82C78" w:rsidRPr="00E724B2">
              <w:rPr>
                <w:rStyle w:val="ab"/>
                <w:noProof/>
                <w:sz w:val="28"/>
                <w:szCs w:val="28"/>
              </w:rPr>
              <w:t>Бухгалтерский баланс АО «Альфа-Банк» за 2022-2023 гг.</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_Toc187851178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34</w:t>
            </w:r>
            <w:r w:rsidR="00C82C78" w:rsidRPr="00E724B2">
              <w:rPr>
                <w:noProof/>
                <w:webHidden/>
                <w:sz w:val="28"/>
                <w:szCs w:val="28"/>
              </w:rPr>
              <w:fldChar w:fldCharType="end"/>
            </w:r>
          </w:hyperlink>
        </w:p>
        <w:p w14:paraId="2F330697" w14:textId="7D42F62D" w:rsidR="00C82C78" w:rsidRPr="00E724B2" w:rsidRDefault="006759FF">
          <w:pPr>
            <w:pStyle w:val="10"/>
            <w:tabs>
              <w:tab w:val="right" w:pos="9628"/>
            </w:tabs>
            <w:rPr>
              <w:rFonts w:asciiTheme="minorHAnsi" w:eastAsiaTheme="minorEastAsia" w:hAnsiTheme="minorHAnsi" w:cstheme="minorBidi"/>
              <w:noProof/>
            </w:rPr>
          </w:pPr>
          <w:hyperlink w:anchor="_Toc187851179" w:history="1">
            <w:r w:rsidR="00C82C78" w:rsidRPr="00E724B2">
              <w:rPr>
                <w:rStyle w:val="ab"/>
                <w:noProof/>
                <w:sz w:val="28"/>
                <w:szCs w:val="28"/>
              </w:rPr>
              <w:t xml:space="preserve">Приложение Б Отчет о финансовых результатах АО «Альфа-Банк» </w:t>
            </w:r>
            <w:r w:rsidR="00E724B2">
              <w:rPr>
                <w:rStyle w:val="ab"/>
                <w:noProof/>
                <w:sz w:val="28"/>
                <w:szCs w:val="28"/>
              </w:rPr>
              <w:t xml:space="preserve">                    </w:t>
            </w:r>
            <w:r w:rsidR="00C82C78" w:rsidRPr="00E724B2">
              <w:rPr>
                <w:rStyle w:val="ab"/>
                <w:noProof/>
                <w:sz w:val="28"/>
                <w:szCs w:val="28"/>
              </w:rPr>
              <w:t>за 2022-2023 гг.</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_Toc187851179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36</w:t>
            </w:r>
            <w:r w:rsidR="00C82C78" w:rsidRPr="00E724B2">
              <w:rPr>
                <w:noProof/>
                <w:webHidden/>
                <w:sz w:val="28"/>
                <w:szCs w:val="28"/>
              </w:rPr>
              <w:fldChar w:fldCharType="end"/>
            </w:r>
          </w:hyperlink>
        </w:p>
        <w:p w14:paraId="5390A087" w14:textId="5DAB627B" w:rsidR="00C82C78" w:rsidRPr="00E724B2" w:rsidRDefault="006759FF">
          <w:pPr>
            <w:pStyle w:val="10"/>
            <w:tabs>
              <w:tab w:val="right" w:pos="9628"/>
            </w:tabs>
            <w:rPr>
              <w:rFonts w:asciiTheme="minorHAnsi" w:eastAsiaTheme="minorEastAsia" w:hAnsiTheme="minorHAnsi" w:cstheme="minorBidi"/>
              <w:noProof/>
            </w:rPr>
          </w:pPr>
          <w:hyperlink w:anchor="_Toc187851180" w:history="1">
            <w:r w:rsidR="00C82C78" w:rsidRPr="00E724B2">
              <w:rPr>
                <w:rStyle w:val="ab"/>
                <w:noProof/>
                <w:sz w:val="28"/>
                <w:szCs w:val="28"/>
              </w:rPr>
              <w:t>Приложение В Сведения об обязательных нормативах</w:t>
            </w:r>
            <w:r w:rsidR="00C82C78" w:rsidRPr="00E724B2">
              <w:rPr>
                <w:noProof/>
                <w:webHidden/>
                <w:sz w:val="28"/>
                <w:szCs w:val="28"/>
              </w:rPr>
              <w:tab/>
            </w:r>
            <w:r w:rsidR="00C82C78" w:rsidRPr="00E724B2">
              <w:rPr>
                <w:noProof/>
                <w:webHidden/>
                <w:sz w:val="28"/>
                <w:szCs w:val="28"/>
              </w:rPr>
              <w:fldChar w:fldCharType="begin"/>
            </w:r>
            <w:r w:rsidR="00C82C78" w:rsidRPr="00E724B2">
              <w:rPr>
                <w:noProof/>
                <w:webHidden/>
                <w:sz w:val="28"/>
                <w:szCs w:val="28"/>
              </w:rPr>
              <w:instrText xml:space="preserve"> PAGEREF _Toc187851180 \h </w:instrText>
            </w:r>
            <w:r w:rsidR="00C82C78" w:rsidRPr="00E724B2">
              <w:rPr>
                <w:noProof/>
                <w:webHidden/>
                <w:sz w:val="28"/>
                <w:szCs w:val="28"/>
              </w:rPr>
            </w:r>
            <w:r w:rsidR="00C82C78" w:rsidRPr="00E724B2">
              <w:rPr>
                <w:noProof/>
                <w:webHidden/>
                <w:sz w:val="28"/>
                <w:szCs w:val="28"/>
              </w:rPr>
              <w:fldChar w:fldCharType="separate"/>
            </w:r>
            <w:r w:rsidR="00D9054E">
              <w:rPr>
                <w:noProof/>
                <w:webHidden/>
                <w:sz w:val="28"/>
                <w:szCs w:val="28"/>
              </w:rPr>
              <w:t>38</w:t>
            </w:r>
            <w:r w:rsidR="00C82C78" w:rsidRPr="00E724B2">
              <w:rPr>
                <w:noProof/>
                <w:webHidden/>
                <w:sz w:val="28"/>
                <w:szCs w:val="28"/>
              </w:rPr>
              <w:fldChar w:fldCharType="end"/>
            </w:r>
          </w:hyperlink>
        </w:p>
        <w:p w14:paraId="74CE4926" w14:textId="6E6B346E" w:rsidR="003807FC" w:rsidRDefault="00CE519B">
          <w:r w:rsidRPr="00E724B2">
            <w:rPr>
              <w:sz w:val="32"/>
              <w:szCs w:val="32"/>
            </w:rPr>
            <w:fldChar w:fldCharType="end"/>
          </w:r>
        </w:p>
      </w:sdtContent>
    </w:sdt>
    <w:p w14:paraId="099BA59D" w14:textId="77777777" w:rsidR="00CE519B" w:rsidRDefault="0042008B" w:rsidP="00DA5D6C">
      <w:pPr>
        <w:rPr>
          <w:lang w:eastAsia="ar-SA"/>
        </w:rPr>
        <w:sectPr w:rsidR="00CE519B" w:rsidSect="000964A0">
          <w:headerReference w:type="default" r:id="rId12"/>
          <w:pgSz w:w="11906" w:h="16838"/>
          <w:pgMar w:top="1134" w:right="567" w:bottom="1134" w:left="1701" w:header="709" w:footer="709" w:gutter="0"/>
          <w:pgNumType w:start="2"/>
          <w:cols w:space="708"/>
          <w:docGrid w:linePitch="360"/>
        </w:sectPr>
      </w:pPr>
      <w:r>
        <w:rPr>
          <w:lang w:eastAsia="ar-SA"/>
        </w:rPr>
        <w:br w:type="page"/>
      </w:r>
    </w:p>
    <w:p w14:paraId="1BABF3E7" w14:textId="05FD2CC9" w:rsidR="00DA5D6C" w:rsidRDefault="0042008B" w:rsidP="0042008B">
      <w:pPr>
        <w:pStyle w:val="1"/>
        <w:jc w:val="center"/>
        <w:rPr>
          <w:sz w:val="30"/>
          <w:szCs w:val="30"/>
          <w:lang w:eastAsia="ar-SA"/>
        </w:rPr>
      </w:pPr>
      <w:bookmarkStart w:id="0" w:name="_Toc187851172"/>
      <w:r>
        <w:rPr>
          <w:sz w:val="30"/>
          <w:szCs w:val="30"/>
          <w:lang w:eastAsia="ar-SA"/>
        </w:rPr>
        <w:lastRenderedPageBreak/>
        <w:t>В</w:t>
      </w:r>
      <w:r w:rsidRPr="0042008B">
        <w:rPr>
          <w:sz w:val="30"/>
          <w:szCs w:val="30"/>
          <w:lang w:eastAsia="ar-SA"/>
        </w:rPr>
        <w:t>ведение</w:t>
      </w:r>
      <w:bookmarkEnd w:id="0"/>
    </w:p>
    <w:p w14:paraId="25E3E9C0" w14:textId="1BB06640" w:rsidR="0042008B" w:rsidRPr="0042008B" w:rsidRDefault="0042008B" w:rsidP="0042008B">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В срок с 1</w:t>
      </w:r>
      <w:r>
        <w:rPr>
          <w:rFonts w:eastAsia="Calibri"/>
          <w:color w:val="000000"/>
          <w:sz w:val="28"/>
          <w:szCs w:val="28"/>
          <w:lang w:eastAsia="en-US"/>
        </w:rPr>
        <w:t>1</w:t>
      </w:r>
      <w:r w:rsidRPr="0042008B">
        <w:rPr>
          <w:rFonts w:eastAsia="Calibri"/>
          <w:color w:val="000000"/>
          <w:sz w:val="28"/>
          <w:szCs w:val="28"/>
          <w:lang w:eastAsia="en-US"/>
        </w:rPr>
        <w:t>.</w:t>
      </w:r>
      <w:r>
        <w:rPr>
          <w:rFonts w:eastAsia="Calibri"/>
          <w:color w:val="000000"/>
          <w:sz w:val="28"/>
          <w:szCs w:val="28"/>
          <w:lang w:eastAsia="en-US"/>
        </w:rPr>
        <w:t>11</w:t>
      </w:r>
      <w:r w:rsidRPr="0042008B">
        <w:rPr>
          <w:rFonts w:eastAsia="Calibri"/>
          <w:color w:val="000000"/>
          <w:sz w:val="28"/>
          <w:szCs w:val="28"/>
          <w:lang w:eastAsia="en-US"/>
        </w:rPr>
        <w:t>.2024 года по 1</w:t>
      </w:r>
      <w:r>
        <w:rPr>
          <w:rFonts w:eastAsia="Calibri"/>
          <w:color w:val="000000"/>
          <w:sz w:val="28"/>
          <w:szCs w:val="28"/>
          <w:lang w:eastAsia="en-US"/>
        </w:rPr>
        <w:t>8</w:t>
      </w:r>
      <w:r w:rsidRPr="0042008B">
        <w:rPr>
          <w:rFonts w:eastAsia="Calibri"/>
          <w:color w:val="000000"/>
          <w:sz w:val="28"/>
          <w:szCs w:val="28"/>
          <w:lang w:eastAsia="en-US"/>
        </w:rPr>
        <w:t>.0</w:t>
      </w:r>
      <w:r>
        <w:rPr>
          <w:rFonts w:eastAsia="Calibri"/>
          <w:color w:val="000000"/>
          <w:sz w:val="28"/>
          <w:szCs w:val="28"/>
          <w:lang w:eastAsia="en-US"/>
        </w:rPr>
        <w:t>1</w:t>
      </w:r>
      <w:r w:rsidRPr="0042008B">
        <w:rPr>
          <w:rFonts w:eastAsia="Calibri"/>
          <w:color w:val="000000"/>
          <w:sz w:val="28"/>
          <w:szCs w:val="28"/>
          <w:lang w:eastAsia="en-US"/>
        </w:rPr>
        <w:t>.202</w:t>
      </w:r>
      <w:r>
        <w:rPr>
          <w:rFonts w:eastAsia="Calibri"/>
          <w:color w:val="000000"/>
          <w:sz w:val="28"/>
          <w:szCs w:val="28"/>
          <w:lang w:eastAsia="en-US"/>
        </w:rPr>
        <w:t>5</w:t>
      </w:r>
      <w:r w:rsidRPr="0042008B">
        <w:rPr>
          <w:rFonts w:eastAsia="Calibri"/>
          <w:color w:val="000000"/>
          <w:sz w:val="28"/>
          <w:szCs w:val="28"/>
          <w:lang w:eastAsia="en-US"/>
        </w:rPr>
        <w:t xml:space="preserve"> года мною была пройдена производственная </w:t>
      </w:r>
      <w:r>
        <w:rPr>
          <w:rFonts w:eastAsia="Calibri"/>
          <w:color w:val="000000"/>
          <w:sz w:val="28"/>
          <w:szCs w:val="28"/>
          <w:lang w:eastAsia="en-US"/>
        </w:rPr>
        <w:t xml:space="preserve">профессиональная </w:t>
      </w:r>
      <w:r w:rsidRPr="0042008B">
        <w:rPr>
          <w:rFonts w:eastAsia="Calibri"/>
          <w:color w:val="000000"/>
          <w:sz w:val="28"/>
          <w:szCs w:val="28"/>
          <w:lang w:eastAsia="en-US"/>
        </w:rPr>
        <w:t>практика в АО «Альфа-Банк».</w:t>
      </w:r>
    </w:p>
    <w:p w14:paraId="2049AE74" w14:textId="77777777" w:rsidR="00D9054E" w:rsidRDefault="00D9054E" w:rsidP="0042008B">
      <w:pPr>
        <w:spacing w:line="360" w:lineRule="auto"/>
        <w:ind w:firstLine="709"/>
        <w:jc w:val="both"/>
        <w:rPr>
          <w:rFonts w:eastAsia="Calibri"/>
          <w:color w:val="000000"/>
          <w:sz w:val="28"/>
          <w:szCs w:val="28"/>
          <w:lang w:eastAsia="en-US"/>
        </w:rPr>
      </w:pPr>
      <w:r w:rsidRPr="00D9054E">
        <w:rPr>
          <w:rFonts w:eastAsia="Calibri"/>
          <w:color w:val="000000"/>
          <w:sz w:val="28"/>
          <w:szCs w:val="28"/>
          <w:lang w:eastAsia="en-US"/>
        </w:rPr>
        <w:t xml:space="preserve">Целью производственной профессиональной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 использовании полученной информации при принятии управленческих решений. </w:t>
      </w:r>
    </w:p>
    <w:p w14:paraId="7DAE4ABC" w14:textId="4E8D5D86" w:rsidR="0042008B" w:rsidRPr="0042008B" w:rsidRDefault="0042008B" w:rsidP="0042008B">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Задачами производственной технологической практики являются:</w:t>
      </w:r>
    </w:p>
    <w:p w14:paraId="2276110D" w14:textId="6543D376" w:rsidR="0042008B" w:rsidRPr="0042008B" w:rsidRDefault="0042008B" w:rsidP="0042008B">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 xml:space="preserve">- </w:t>
      </w:r>
      <w:r w:rsidR="00D9054E" w:rsidRPr="00D9054E">
        <w:rPr>
          <w:rFonts w:eastAsia="Calibri"/>
          <w:color w:val="000000"/>
          <w:sz w:val="28"/>
          <w:szCs w:val="28"/>
          <w:lang w:eastAsia="en-US"/>
        </w:rPr>
        <w:t>ознакомление с различными аспектами деятельности организации;</w:t>
      </w:r>
    </w:p>
    <w:p w14:paraId="600CF15B" w14:textId="77777777" w:rsidR="00D9054E" w:rsidRDefault="0042008B" w:rsidP="0042008B">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 xml:space="preserve">- </w:t>
      </w:r>
      <w:r w:rsidR="00D9054E" w:rsidRPr="00D9054E">
        <w:rPr>
          <w:rFonts w:eastAsia="Calibri"/>
          <w:color w:val="000000"/>
          <w:sz w:val="28"/>
          <w:szCs w:val="28"/>
          <w:lang w:eastAsia="en-US"/>
        </w:rPr>
        <w:t>развитие навыков анализа и интерпретации информации, содержащейся в финансовой, статистической и иной отчетности, для выявления угроз экономической безопасности организации;</w:t>
      </w:r>
    </w:p>
    <w:p w14:paraId="1F37C69F" w14:textId="39CB88A5" w:rsidR="00D9054E" w:rsidRDefault="0042008B" w:rsidP="0042008B">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 xml:space="preserve">- </w:t>
      </w:r>
      <w:r w:rsidR="00D9054E" w:rsidRPr="00D9054E">
        <w:rPr>
          <w:rFonts w:eastAsia="Calibri"/>
          <w:color w:val="000000"/>
          <w:sz w:val="28"/>
          <w:szCs w:val="28"/>
          <w:lang w:eastAsia="en-US"/>
        </w:rPr>
        <w:t>развитие умений оценки угроз экономической безопасности организации;</w:t>
      </w:r>
    </w:p>
    <w:p w14:paraId="5045F556" w14:textId="5F238A53" w:rsidR="00D9054E" w:rsidRDefault="00D9054E" w:rsidP="0042008B">
      <w:pPr>
        <w:spacing w:line="360" w:lineRule="auto"/>
        <w:ind w:firstLine="709"/>
        <w:jc w:val="both"/>
        <w:rPr>
          <w:rFonts w:eastAsia="Calibri"/>
          <w:color w:val="000000"/>
          <w:sz w:val="28"/>
          <w:szCs w:val="28"/>
          <w:lang w:eastAsia="en-US"/>
        </w:rPr>
      </w:pPr>
      <w:r w:rsidRPr="00D9054E">
        <w:rPr>
          <w:rFonts w:eastAsia="Calibri"/>
          <w:color w:val="000000"/>
          <w:sz w:val="28"/>
          <w:szCs w:val="28"/>
          <w:lang w:eastAsia="en-US"/>
        </w:rPr>
        <w:t>- развитие умений формулировать предложения по обеспечению экономической безопасности организации.</w:t>
      </w:r>
    </w:p>
    <w:p w14:paraId="667D329C" w14:textId="37ADBCFB" w:rsidR="0042008B" w:rsidRDefault="0042008B" w:rsidP="0042008B">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Для решения задач и достижения поставленной цели были использованы системный подход, методы анализа и синтеза, методы сравнения и обобщения, коэффициентный анализ финансовых показателей.</w:t>
      </w:r>
    </w:p>
    <w:p w14:paraId="102D14C0" w14:textId="29E1CACA" w:rsidR="0042008B" w:rsidRPr="0042008B" w:rsidRDefault="0042008B" w:rsidP="0042008B">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Исследование угроз экономической безопасности банка является важной задачей по нескольким причинам. Прежде всего, разумеется, банки управляют значительными финансовыми ресурсами, как собственными, так и клиентскими. Угрозы, такие как мошенничество, кибератаки или финансовые махинации, могут привести к значительным потерям. Исследование этих угроз помогает разработать стратегии защиты активов.</w:t>
      </w:r>
    </w:p>
    <w:p w14:paraId="258310C6" w14:textId="2C31B2FC" w:rsidR="0042008B" w:rsidRDefault="0042008B" w:rsidP="008F3249">
      <w:pPr>
        <w:spacing w:line="360" w:lineRule="auto"/>
        <w:ind w:firstLine="709"/>
        <w:jc w:val="both"/>
        <w:rPr>
          <w:rFonts w:eastAsia="Calibri"/>
          <w:color w:val="000000"/>
          <w:sz w:val="28"/>
          <w:szCs w:val="28"/>
          <w:lang w:eastAsia="en-US"/>
        </w:rPr>
      </w:pPr>
      <w:r w:rsidRPr="0042008B">
        <w:rPr>
          <w:rFonts w:eastAsia="Calibri"/>
          <w:color w:val="000000"/>
          <w:sz w:val="28"/>
          <w:szCs w:val="28"/>
          <w:lang w:eastAsia="en-US"/>
        </w:rPr>
        <w:t>Объектом исследования в работе выступает АО «Альфа-Банк».  Предметом изучения выступают показатели экономической безопасности кредитной организации.</w:t>
      </w:r>
      <w:r>
        <w:rPr>
          <w:rFonts w:eastAsia="Calibri"/>
          <w:color w:val="000000"/>
          <w:sz w:val="28"/>
          <w:szCs w:val="28"/>
          <w:lang w:eastAsia="en-US"/>
        </w:rPr>
        <w:br w:type="page"/>
      </w:r>
    </w:p>
    <w:p w14:paraId="203B4CEE" w14:textId="2E5C0E8D" w:rsidR="0042008B" w:rsidRDefault="0042008B" w:rsidP="009870C5">
      <w:pPr>
        <w:pStyle w:val="1"/>
        <w:ind w:firstLine="709"/>
        <w:rPr>
          <w:sz w:val="30"/>
          <w:szCs w:val="30"/>
        </w:rPr>
      </w:pPr>
      <w:bookmarkStart w:id="1" w:name="_Toc187851173"/>
      <w:r w:rsidRPr="009870C5">
        <w:rPr>
          <w:rFonts w:eastAsia="Calibri"/>
          <w:color w:val="000000"/>
          <w:sz w:val="30"/>
          <w:szCs w:val="30"/>
          <w:lang w:eastAsia="en-US"/>
        </w:rPr>
        <w:lastRenderedPageBreak/>
        <w:t xml:space="preserve">1 </w:t>
      </w:r>
      <w:r w:rsidRPr="009870C5">
        <w:rPr>
          <w:sz w:val="30"/>
          <w:szCs w:val="30"/>
        </w:rPr>
        <w:t>Внутренняя среда организации и угрозы экономической безопасности</w:t>
      </w:r>
      <w:bookmarkEnd w:id="1"/>
    </w:p>
    <w:p w14:paraId="425DBA0C" w14:textId="5B626FE8"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АО «Альфа-Банк» был основан в 1990 году и на сегодняшний день является одним из ведущих банков России. Основным видом деятельности компании является предоставление услуг в банковской сфере, которая включает в себя обслуживание как физических, так и юридических лиц, и инвесторов.</w:t>
      </w:r>
    </w:p>
    <w:p w14:paraId="20B7234C"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Полное фирменное наименование банка – Акционерное общество «Альфа-Банк». Банк зарегистрирован по адресу: г. Москва, ул. Каланчевская, д. 27 (юридический адрес). Уставный капитал составляет 59 587 623 000 рублей.</w:t>
      </w:r>
    </w:p>
    <w:p w14:paraId="2CD1D248"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Организационно правовая форма – непубличное акционерное общество. </w:t>
      </w:r>
    </w:p>
    <w:p w14:paraId="087CEC6D"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К особенностям данной ОПФ можно отнести: </w:t>
      </w:r>
    </w:p>
    <w:p w14:paraId="3B86C406"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 закрытый характер распределения акций; </w:t>
      </w:r>
    </w:p>
    <w:p w14:paraId="3C1AFD63"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 акции не могут быть размещены на биржах; </w:t>
      </w:r>
    </w:p>
    <w:p w14:paraId="72778552"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 ограниченное количество членов общества; </w:t>
      </w:r>
    </w:p>
    <w:p w14:paraId="6E428A21"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 нет указания на публичность общества в уставном документе; </w:t>
      </w:r>
    </w:p>
    <w:p w14:paraId="09BA1132"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 капитал могут составлять деньги, ценные бумаги, имущество; </w:t>
      </w:r>
    </w:p>
    <w:p w14:paraId="423272B9"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 введено ограничение на уставной капитал – не менее 10000 рублей. </w:t>
      </w:r>
    </w:p>
    <w:p w14:paraId="2467E898"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Основным видом деятельности является денежное посредничество прочее (64.19), специальный налоговый режим не применяется, это говорит о том, что АО «Альфа-Банк» находится на общей системе налогообложения.</w:t>
      </w:r>
    </w:p>
    <w:p w14:paraId="4152CA56"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Организационная структура управления АО Альфа-Банк представлена на рисунке 1.1.</w:t>
      </w:r>
    </w:p>
    <w:p w14:paraId="20292B26"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Первый блок – корпоративный – занимается работой с юридическими лицами: их кредитованием, продажами активов малому и среднему бизнесу, финансированием недвижимости, предоставлением залогов, а также юридической деятельностью по вопросам проблемных активов. </w:t>
      </w:r>
    </w:p>
    <w:p w14:paraId="6669057A" w14:textId="118D6ADE"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Второй блок – розничный – обслуживает клиентскую базу физических лиц.</w:t>
      </w:r>
      <w:r w:rsidR="00372B95">
        <w:rPr>
          <w:rFonts w:eastAsia="Calibri"/>
          <w:color w:val="000000"/>
          <w:sz w:val="28"/>
          <w:szCs w:val="28"/>
          <w:lang w:eastAsia="en-US"/>
        </w:rPr>
        <w:t xml:space="preserve">  </w:t>
      </w:r>
    </w:p>
    <w:p w14:paraId="66040DC2" w14:textId="77777777" w:rsidR="009870C5" w:rsidRPr="009870C5" w:rsidRDefault="009870C5" w:rsidP="009870C5">
      <w:pPr>
        <w:spacing w:line="360" w:lineRule="auto"/>
        <w:jc w:val="center"/>
        <w:rPr>
          <w:rFonts w:ascii="Calibri" w:eastAsia="Calibri" w:hAnsi="Calibri"/>
          <w:color w:val="000000"/>
          <w:sz w:val="22"/>
          <w:szCs w:val="22"/>
          <w:lang w:eastAsia="en-US"/>
        </w:rPr>
      </w:pPr>
      <w:r w:rsidRPr="009870C5">
        <w:rPr>
          <w:rFonts w:ascii="Calibri" w:eastAsia="Calibri" w:hAnsi="Calibri"/>
          <w:noProof/>
          <w:color w:val="000000"/>
          <w:sz w:val="22"/>
          <w:szCs w:val="22"/>
          <w:lang w:eastAsia="en-US"/>
        </w:rPr>
        <w:lastRenderedPageBreak/>
        <w:drawing>
          <wp:anchor distT="0" distB="0" distL="114300" distR="114300" simplePos="0" relativeHeight="251659264" behindDoc="0" locked="0" layoutInCell="1" allowOverlap="1" wp14:anchorId="31155D70" wp14:editId="3504BB2D">
            <wp:simplePos x="0" y="0"/>
            <wp:positionH relativeFrom="column">
              <wp:posOffset>0</wp:posOffset>
            </wp:positionH>
            <wp:positionV relativeFrom="paragraph">
              <wp:posOffset>-22225</wp:posOffset>
            </wp:positionV>
            <wp:extent cx="5982970" cy="5234305"/>
            <wp:effectExtent l="0" t="0" r="0" b="0"/>
            <wp:wrapTopAndBottom/>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82970" cy="5234305"/>
                    </a:xfrm>
                    <a:prstGeom prst="rect">
                      <a:avLst/>
                    </a:prstGeom>
                    <a:noFill/>
                  </pic:spPr>
                </pic:pic>
              </a:graphicData>
            </a:graphic>
            <wp14:sizeRelH relativeFrom="page">
              <wp14:pctWidth>0</wp14:pctWidth>
            </wp14:sizeRelH>
            <wp14:sizeRelV relativeFrom="page">
              <wp14:pctHeight>0</wp14:pctHeight>
            </wp14:sizeRelV>
          </wp:anchor>
        </w:drawing>
      </w:r>
    </w:p>
    <w:p w14:paraId="4490AFA8" w14:textId="3B2AD598" w:rsidR="009870C5" w:rsidRPr="009870C5" w:rsidRDefault="00A069DD" w:rsidP="00A069DD">
      <w:pPr>
        <w:spacing w:before="120" w:after="240" w:line="360" w:lineRule="auto"/>
        <w:ind w:firstLine="709"/>
        <w:rPr>
          <w:rFonts w:eastAsia="Calibri"/>
          <w:color w:val="000000"/>
          <w:sz w:val="28"/>
          <w:szCs w:val="28"/>
          <w:lang w:eastAsia="en-US"/>
        </w:rPr>
      </w:pPr>
      <w:r>
        <w:rPr>
          <w:rFonts w:eastAsia="Calibri"/>
          <w:color w:val="000000"/>
          <w:sz w:val="28"/>
          <w:szCs w:val="28"/>
          <w:lang w:eastAsia="en-US"/>
        </w:rPr>
        <w:t xml:space="preserve"> </w:t>
      </w:r>
      <w:r w:rsidR="009870C5" w:rsidRPr="009870C5">
        <w:rPr>
          <w:rFonts w:eastAsia="Calibri"/>
          <w:color w:val="000000"/>
          <w:sz w:val="28"/>
          <w:szCs w:val="28"/>
          <w:lang w:eastAsia="en-US"/>
        </w:rPr>
        <w:t>Рисунок 1.1 – Организационная структура управления АО Альфа-Банк</w:t>
      </w:r>
    </w:p>
    <w:p w14:paraId="7DAF943F" w14:textId="182F3946" w:rsidR="009870C5" w:rsidRPr="009870C5" w:rsidRDefault="009870C5" w:rsidP="009870C5">
      <w:pPr>
        <w:spacing w:line="360" w:lineRule="auto"/>
        <w:ind w:firstLine="709"/>
        <w:jc w:val="both"/>
        <w:rPr>
          <w:rFonts w:eastAsia="Calibri"/>
          <w:color w:val="000000"/>
          <w:sz w:val="28"/>
          <w:szCs w:val="22"/>
          <w:lang w:eastAsia="en-US"/>
        </w:rPr>
      </w:pPr>
      <w:r w:rsidRPr="009870C5">
        <w:rPr>
          <w:rFonts w:eastAsia="Calibri"/>
          <w:color w:val="000000"/>
          <w:sz w:val="28"/>
          <w:szCs w:val="22"/>
          <w:lang w:eastAsia="en-US"/>
        </w:rPr>
        <w:t>Деятельность АО «Альфа-Банк» направлена на оказание полного перечня услуг физическим и юридическим лицам.  Банк сохранит свою универсальность при концентрации на двух основных направлениях: обслуживание клиентов физических лиц и МСБ. При этом гораздо больше внимания будет уделяться цифровым технологиям и онлайн-сервиса.</w:t>
      </w:r>
    </w:p>
    <w:p w14:paraId="53D73B62" w14:textId="77777777" w:rsidR="009870C5" w:rsidRPr="009870C5" w:rsidRDefault="009870C5" w:rsidP="009870C5">
      <w:pPr>
        <w:spacing w:line="360" w:lineRule="auto"/>
        <w:ind w:firstLine="709"/>
        <w:jc w:val="both"/>
        <w:rPr>
          <w:rFonts w:eastAsia="Calibri"/>
          <w:color w:val="000000"/>
          <w:sz w:val="28"/>
          <w:szCs w:val="28"/>
          <w:lang w:eastAsia="en-US"/>
        </w:rPr>
      </w:pPr>
      <w:r w:rsidRPr="009870C5">
        <w:rPr>
          <w:rFonts w:eastAsia="Calibri"/>
          <w:color w:val="000000"/>
          <w:sz w:val="28"/>
          <w:szCs w:val="28"/>
          <w:lang w:eastAsia="en-US"/>
        </w:rPr>
        <w:t>Как видно, Альфа-Банк фигурирует в «пятерке» российских банков, на уровне с такими крупными банками, как Сбербанк, ВТБ, «ПСБ-банк».   При этом в 2024 г. Альфа-Банк получил Гран-при в ежегодной профессиональной премии, учрежденной порталом Banki.ru в номинации «Лучший банк года». Рейтинг банков приведен в таблице 1.1.</w:t>
      </w:r>
    </w:p>
    <w:p w14:paraId="030DFA3E" w14:textId="77777777" w:rsidR="009870C5" w:rsidRPr="009870C5" w:rsidRDefault="009870C5" w:rsidP="009870C5">
      <w:pPr>
        <w:spacing w:before="240" w:after="120"/>
        <w:ind w:left="1843" w:hanging="1843"/>
        <w:jc w:val="center"/>
        <w:rPr>
          <w:rFonts w:eastAsia="Calibri"/>
          <w:color w:val="000000"/>
          <w:sz w:val="28"/>
          <w:szCs w:val="28"/>
          <w:lang w:eastAsia="en-US"/>
        </w:rPr>
      </w:pPr>
      <w:r w:rsidRPr="009870C5">
        <w:rPr>
          <w:rFonts w:eastAsia="Calibri"/>
          <w:color w:val="000000"/>
          <w:sz w:val="28"/>
          <w:szCs w:val="28"/>
          <w:lang w:eastAsia="en-US"/>
        </w:rPr>
        <w:lastRenderedPageBreak/>
        <w:t xml:space="preserve">Таблица 1.1 – Место АО «Альфа-Банк» в официальных рейтингах банков           за 2024 г. (по данным ресурса </w:t>
      </w:r>
      <w:r w:rsidRPr="009870C5">
        <w:rPr>
          <w:rFonts w:eastAsia="Calibri"/>
          <w:color w:val="000000"/>
          <w:sz w:val="28"/>
          <w:szCs w:val="28"/>
          <w:lang w:val="en-US" w:eastAsia="en-US"/>
        </w:rPr>
        <w:t>www</w:t>
      </w:r>
      <w:r w:rsidRPr="009870C5">
        <w:rPr>
          <w:rFonts w:eastAsia="Calibri"/>
          <w:color w:val="000000"/>
          <w:sz w:val="28"/>
          <w:szCs w:val="28"/>
          <w:lang w:eastAsia="en-US"/>
        </w:rPr>
        <w:t>.</w:t>
      </w:r>
      <w:proofErr w:type="spellStart"/>
      <w:r w:rsidRPr="009870C5">
        <w:rPr>
          <w:rFonts w:eastAsia="Calibri"/>
          <w:color w:val="000000"/>
          <w:sz w:val="28"/>
          <w:szCs w:val="28"/>
          <w:lang w:val="en-US" w:eastAsia="en-US"/>
        </w:rPr>
        <w:t>banki</w:t>
      </w:r>
      <w:proofErr w:type="spellEnd"/>
      <w:r w:rsidRPr="009870C5">
        <w:rPr>
          <w:rFonts w:eastAsia="Calibri"/>
          <w:color w:val="000000"/>
          <w:sz w:val="28"/>
          <w:szCs w:val="28"/>
          <w:lang w:eastAsia="en-US"/>
        </w:rPr>
        <w:t>.</w:t>
      </w:r>
      <w:proofErr w:type="spellStart"/>
      <w:r w:rsidRPr="009870C5">
        <w:rPr>
          <w:rFonts w:eastAsia="Calibri"/>
          <w:color w:val="000000"/>
          <w:sz w:val="28"/>
          <w:szCs w:val="28"/>
          <w:lang w:val="en-US" w:eastAsia="en-US"/>
        </w:rPr>
        <w:t>ru</w:t>
      </w:r>
      <w:proofErr w:type="spellEnd"/>
      <w:r w:rsidRPr="009870C5">
        <w:rPr>
          <w:rFonts w:eastAsia="Calibri"/>
          <w:color w:val="000000"/>
          <w:sz w:val="28"/>
          <w:szCs w:val="28"/>
          <w:lang w:eastAsia="en-US"/>
        </w:rPr>
        <w:t xml:space="preserve">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6"/>
        <w:gridCol w:w="2336"/>
        <w:gridCol w:w="2666"/>
        <w:gridCol w:w="2337"/>
      </w:tblGrid>
      <w:tr w:rsidR="009870C5" w:rsidRPr="009870C5" w14:paraId="5D7DB720" w14:textId="77777777" w:rsidTr="00B83EC8">
        <w:trPr>
          <w:trHeight w:val="696"/>
        </w:trPr>
        <w:tc>
          <w:tcPr>
            <w:tcW w:w="2336" w:type="dxa"/>
            <w:vAlign w:val="center"/>
          </w:tcPr>
          <w:p w14:paraId="4A45D59E"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Место в рейтинге</w:t>
            </w:r>
          </w:p>
        </w:tc>
        <w:tc>
          <w:tcPr>
            <w:tcW w:w="2336" w:type="dxa"/>
            <w:vAlign w:val="center"/>
          </w:tcPr>
          <w:p w14:paraId="7420F7F9"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 xml:space="preserve">Перемещение в </w:t>
            </w:r>
          </w:p>
          <w:p w14:paraId="2FD5F9AE"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месяц</w:t>
            </w:r>
          </w:p>
        </w:tc>
        <w:tc>
          <w:tcPr>
            <w:tcW w:w="2666" w:type="dxa"/>
            <w:vAlign w:val="center"/>
          </w:tcPr>
          <w:p w14:paraId="3ED8432E"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Банк</w:t>
            </w:r>
          </w:p>
        </w:tc>
        <w:tc>
          <w:tcPr>
            <w:tcW w:w="2337" w:type="dxa"/>
            <w:vAlign w:val="center"/>
          </w:tcPr>
          <w:p w14:paraId="099613AE" w14:textId="77777777" w:rsidR="009870C5" w:rsidRPr="009870C5" w:rsidRDefault="009870C5" w:rsidP="009870C5">
            <w:pPr>
              <w:jc w:val="center"/>
              <w:rPr>
                <w:rFonts w:eastAsia="Calibri"/>
                <w:color w:val="000000"/>
                <w:lang w:eastAsia="en-US"/>
              </w:rPr>
            </w:pPr>
            <w:proofErr w:type="spellStart"/>
            <w:r w:rsidRPr="009870C5">
              <w:rPr>
                <w:rFonts w:eastAsia="Calibri"/>
                <w:color w:val="000000"/>
                <w:lang w:eastAsia="en-US"/>
              </w:rPr>
              <w:t>МедиаИндекс</w:t>
            </w:r>
            <w:proofErr w:type="spellEnd"/>
          </w:p>
        </w:tc>
      </w:tr>
      <w:tr w:rsidR="009870C5" w:rsidRPr="009870C5" w14:paraId="1637EF28" w14:textId="77777777" w:rsidTr="00B83EC8">
        <w:trPr>
          <w:trHeight w:val="454"/>
        </w:trPr>
        <w:tc>
          <w:tcPr>
            <w:tcW w:w="2336" w:type="dxa"/>
            <w:vAlign w:val="center"/>
          </w:tcPr>
          <w:p w14:paraId="3AE73A51"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1</w:t>
            </w:r>
          </w:p>
        </w:tc>
        <w:tc>
          <w:tcPr>
            <w:tcW w:w="2336" w:type="dxa"/>
            <w:vAlign w:val="center"/>
          </w:tcPr>
          <w:p w14:paraId="53B4FA49"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0</w:t>
            </w:r>
          </w:p>
        </w:tc>
        <w:tc>
          <w:tcPr>
            <w:tcW w:w="2666" w:type="dxa"/>
            <w:vAlign w:val="center"/>
          </w:tcPr>
          <w:p w14:paraId="60F29996"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Сбербанк</w:t>
            </w:r>
          </w:p>
        </w:tc>
        <w:tc>
          <w:tcPr>
            <w:tcW w:w="2337" w:type="dxa"/>
            <w:vAlign w:val="center"/>
          </w:tcPr>
          <w:p w14:paraId="55FAEBE1"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257 601,7</w:t>
            </w:r>
          </w:p>
        </w:tc>
      </w:tr>
      <w:tr w:rsidR="009870C5" w:rsidRPr="009870C5" w14:paraId="19603ABB" w14:textId="77777777" w:rsidTr="00B83EC8">
        <w:trPr>
          <w:trHeight w:val="454"/>
        </w:trPr>
        <w:tc>
          <w:tcPr>
            <w:tcW w:w="2336" w:type="dxa"/>
            <w:vAlign w:val="center"/>
          </w:tcPr>
          <w:p w14:paraId="7ADE91E4"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2</w:t>
            </w:r>
          </w:p>
        </w:tc>
        <w:tc>
          <w:tcPr>
            <w:tcW w:w="2336" w:type="dxa"/>
            <w:vAlign w:val="center"/>
          </w:tcPr>
          <w:p w14:paraId="478FD927"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0</w:t>
            </w:r>
          </w:p>
        </w:tc>
        <w:tc>
          <w:tcPr>
            <w:tcW w:w="2666" w:type="dxa"/>
            <w:vAlign w:val="center"/>
          </w:tcPr>
          <w:p w14:paraId="748A9AC9"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ВТБ</w:t>
            </w:r>
          </w:p>
        </w:tc>
        <w:tc>
          <w:tcPr>
            <w:tcW w:w="2337" w:type="dxa"/>
            <w:vAlign w:val="center"/>
          </w:tcPr>
          <w:p w14:paraId="04610743"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226 438,9</w:t>
            </w:r>
          </w:p>
        </w:tc>
      </w:tr>
      <w:tr w:rsidR="009870C5" w:rsidRPr="009870C5" w14:paraId="74EDB827" w14:textId="77777777" w:rsidTr="00B83EC8">
        <w:trPr>
          <w:trHeight w:val="454"/>
        </w:trPr>
        <w:tc>
          <w:tcPr>
            <w:tcW w:w="2336" w:type="dxa"/>
            <w:vAlign w:val="center"/>
          </w:tcPr>
          <w:p w14:paraId="1BB9E3EA"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3</w:t>
            </w:r>
          </w:p>
        </w:tc>
        <w:tc>
          <w:tcPr>
            <w:tcW w:w="2336" w:type="dxa"/>
            <w:vAlign w:val="center"/>
          </w:tcPr>
          <w:p w14:paraId="45694287"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0</w:t>
            </w:r>
          </w:p>
        </w:tc>
        <w:tc>
          <w:tcPr>
            <w:tcW w:w="2666" w:type="dxa"/>
            <w:vAlign w:val="center"/>
          </w:tcPr>
          <w:p w14:paraId="722A098F"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Альфа – банк</w:t>
            </w:r>
          </w:p>
        </w:tc>
        <w:tc>
          <w:tcPr>
            <w:tcW w:w="2337" w:type="dxa"/>
            <w:vAlign w:val="center"/>
          </w:tcPr>
          <w:p w14:paraId="51BDAEF4"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62 592,4</w:t>
            </w:r>
          </w:p>
        </w:tc>
      </w:tr>
      <w:tr w:rsidR="009870C5" w:rsidRPr="009870C5" w14:paraId="52A111B7" w14:textId="77777777" w:rsidTr="00B83EC8">
        <w:trPr>
          <w:trHeight w:val="454"/>
        </w:trPr>
        <w:tc>
          <w:tcPr>
            <w:tcW w:w="2336" w:type="dxa"/>
            <w:vAlign w:val="center"/>
          </w:tcPr>
          <w:p w14:paraId="5EBEB77D"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4</w:t>
            </w:r>
          </w:p>
        </w:tc>
        <w:tc>
          <w:tcPr>
            <w:tcW w:w="2336" w:type="dxa"/>
            <w:vAlign w:val="center"/>
          </w:tcPr>
          <w:p w14:paraId="5592120C"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+1</w:t>
            </w:r>
          </w:p>
        </w:tc>
        <w:tc>
          <w:tcPr>
            <w:tcW w:w="2666" w:type="dxa"/>
            <w:vAlign w:val="center"/>
          </w:tcPr>
          <w:p w14:paraId="5FCB35D1"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ПСБ Банк</w:t>
            </w:r>
          </w:p>
        </w:tc>
        <w:tc>
          <w:tcPr>
            <w:tcW w:w="2337" w:type="dxa"/>
            <w:vAlign w:val="center"/>
          </w:tcPr>
          <w:p w14:paraId="11DC7C81"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52 295,1</w:t>
            </w:r>
          </w:p>
        </w:tc>
      </w:tr>
      <w:tr w:rsidR="009870C5" w:rsidRPr="009870C5" w14:paraId="2B9567B2" w14:textId="77777777" w:rsidTr="00B83EC8">
        <w:trPr>
          <w:trHeight w:val="454"/>
        </w:trPr>
        <w:tc>
          <w:tcPr>
            <w:tcW w:w="2336" w:type="dxa"/>
            <w:vAlign w:val="center"/>
          </w:tcPr>
          <w:p w14:paraId="083183CF"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5</w:t>
            </w:r>
          </w:p>
        </w:tc>
        <w:tc>
          <w:tcPr>
            <w:tcW w:w="2336" w:type="dxa"/>
            <w:vAlign w:val="center"/>
          </w:tcPr>
          <w:p w14:paraId="6E9A4602"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+1</w:t>
            </w:r>
          </w:p>
        </w:tc>
        <w:tc>
          <w:tcPr>
            <w:tcW w:w="2666" w:type="dxa"/>
            <w:vAlign w:val="center"/>
          </w:tcPr>
          <w:p w14:paraId="2F7CA234"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«ФК Открытие»</w:t>
            </w:r>
          </w:p>
        </w:tc>
        <w:tc>
          <w:tcPr>
            <w:tcW w:w="2337" w:type="dxa"/>
            <w:vAlign w:val="center"/>
          </w:tcPr>
          <w:p w14:paraId="5B6778E2" w14:textId="77777777" w:rsidR="009870C5" w:rsidRPr="009870C5" w:rsidRDefault="009870C5" w:rsidP="009870C5">
            <w:pPr>
              <w:jc w:val="center"/>
              <w:rPr>
                <w:rFonts w:eastAsia="Calibri"/>
                <w:color w:val="000000"/>
                <w:lang w:eastAsia="en-US"/>
              </w:rPr>
            </w:pPr>
            <w:r w:rsidRPr="009870C5">
              <w:rPr>
                <w:rFonts w:eastAsia="Calibri"/>
                <w:color w:val="000000"/>
                <w:lang w:eastAsia="en-US"/>
              </w:rPr>
              <w:t>48 997.2</w:t>
            </w:r>
          </w:p>
        </w:tc>
      </w:tr>
    </w:tbl>
    <w:p w14:paraId="1DB7D93B" w14:textId="72B50052" w:rsidR="009870C5" w:rsidRDefault="009870C5" w:rsidP="009870C5">
      <w:pPr>
        <w:spacing w:before="120" w:line="360" w:lineRule="auto"/>
        <w:ind w:firstLine="709"/>
        <w:jc w:val="both"/>
        <w:rPr>
          <w:rFonts w:eastAsia="Calibri"/>
          <w:color w:val="000000"/>
          <w:sz w:val="28"/>
          <w:szCs w:val="28"/>
          <w:lang w:eastAsia="en-US"/>
        </w:rPr>
      </w:pPr>
      <w:r w:rsidRPr="009870C5">
        <w:rPr>
          <w:rFonts w:eastAsia="Calibri"/>
          <w:color w:val="000000"/>
          <w:sz w:val="28"/>
          <w:szCs w:val="28"/>
          <w:lang w:eastAsia="en-US"/>
        </w:rPr>
        <w:t xml:space="preserve">Как видно из таблицы 1.1, АО «Альфа-Банк» занимает на 2024 год 3 место в рейтинге российских банков. </w:t>
      </w:r>
    </w:p>
    <w:p w14:paraId="48196275" w14:textId="4AD54712" w:rsidR="00E206E0" w:rsidRPr="00E206E0" w:rsidRDefault="00E206E0" w:rsidP="00E206E0">
      <w:pPr>
        <w:spacing w:line="360" w:lineRule="auto"/>
        <w:ind w:firstLine="709"/>
        <w:jc w:val="both"/>
        <w:rPr>
          <w:rFonts w:eastAsia="Calibri"/>
          <w:color w:val="000000"/>
          <w:sz w:val="28"/>
          <w:szCs w:val="28"/>
          <w:lang w:eastAsia="en-US"/>
        </w:rPr>
      </w:pPr>
      <w:r w:rsidRPr="00E206E0">
        <w:rPr>
          <w:rFonts w:eastAsia="Calibri"/>
          <w:color w:val="000000"/>
          <w:sz w:val="28"/>
          <w:szCs w:val="28"/>
          <w:lang w:eastAsia="en-US"/>
        </w:rPr>
        <w:t xml:space="preserve">Для анализа финансового состояния АО «Альфа-Банк» проанализируем прежде всего </w:t>
      </w:r>
      <w:r w:rsidR="007863FD">
        <w:rPr>
          <w:rFonts w:eastAsia="Calibri"/>
          <w:color w:val="000000"/>
          <w:sz w:val="28"/>
          <w:szCs w:val="28"/>
          <w:lang w:eastAsia="en-US"/>
        </w:rPr>
        <w:t>показатели прибыли</w:t>
      </w:r>
      <w:r w:rsidRPr="00E206E0">
        <w:rPr>
          <w:rFonts w:eastAsia="Calibri"/>
          <w:color w:val="000000"/>
          <w:sz w:val="28"/>
          <w:szCs w:val="28"/>
          <w:lang w:eastAsia="en-US"/>
        </w:rPr>
        <w:t xml:space="preserve">. Рассмотрим, какие изменения </w:t>
      </w:r>
      <w:r w:rsidR="007863FD">
        <w:rPr>
          <w:rFonts w:eastAsia="Calibri"/>
          <w:color w:val="000000"/>
          <w:sz w:val="28"/>
          <w:szCs w:val="28"/>
          <w:lang w:eastAsia="en-US"/>
        </w:rPr>
        <w:t>произошли за последние 2 года</w:t>
      </w:r>
      <w:r w:rsidRPr="00E206E0">
        <w:rPr>
          <w:rFonts w:eastAsia="Calibri"/>
          <w:color w:val="000000"/>
          <w:sz w:val="28"/>
          <w:szCs w:val="28"/>
          <w:lang w:eastAsia="en-US"/>
        </w:rPr>
        <w:t>.</w:t>
      </w:r>
    </w:p>
    <w:p w14:paraId="10E2FF91" w14:textId="73145534" w:rsidR="00E206E0" w:rsidRPr="00E206E0" w:rsidRDefault="00E206E0" w:rsidP="00E206E0">
      <w:pPr>
        <w:spacing w:line="360" w:lineRule="auto"/>
        <w:ind w:firstLine="709"/>
        <w:jc w:val="both"/>
        <w:rPr>
          <w:rFonts w:eastAsia="Calibri"/>
          <w:color w:val="000000"/>
          <w:sz w:val="28"/>
          <w:szCs w:val="28"/>
          <w:lang w:eastAsia="en-US"/>
        </w:rPr>
      </w:pPr>
      <w:r w:rsidRPr="00E206E0">
        <w:rPr>
          <w:rFonts w:eastAsia="Calibri"/>
          <w:color w:val="000000"/>
          <w:sz w:val="28"/>
          <w:szCs w:val="28"/>
          <w:lang w:eastAsia="en-US"/>
        </w:rPr>
        <w:t xml:space="preserve">Таблица 1.2 отражает изменение </w:t>
      </w:r>
      <w:r w:rsidR="007863FD">
        <w:rPr>
          <w:rFonts w:eastAsia="Calibri"/>
          <w:color w:val="000000"/>
          <w:sz w:val="28"/>
          <w:szCs w:val="28"/>
          <w:lang w:eastAsia="en-US"/>
        </w:rPr>
        <w:t>показателей прибыли</w:t>
      </w:r>
      <w:r w:rsidRPr="00E206E0">
        <w:rPr>
          <w:rFonts w:eastAsia="Calibri"/>
          <w:color w:val="000000"/>
          <w:sz w:val="28"/>
          <w:szCs w:val="28"/>
          <w:lang w:eastAsia="en-US"/>
        </w:rPr>
        <w:t xml:space="preserve"> АО «Альфа-Банк»; </w:t>
      </w:r>
    </w:p>
    <w:p w14:paraId="7DC01F2C" w14:textId="5D2D6CD0" w:rsidR="005D729F" w:rsidRPr="005D729F" w:rsidRDefault="005D729F" w:rsidP="005D729F">
      <w:pPr>
        <w:spacing w:before="240"/>
        <w:ind w:left="1701" w:hanging="1701"/>
        <w:jc w:val="both"/>
        <w:rPr>
          <w:rFonts w:eastAsia="Calibri"/>
          <w:color w:val="000000"/>
          <w:sz w:val="28"/>
          <w:szCs w:val="28"/>
          <w:lang w:eastAsia="en-US"/>
        </w:rPr>
      </w:pPr>
      <w:bookmarkStart w:id="2" w:name="_Hlk187326443"/>
      <w:bookmarkStart w:id="3" w:name="_Hlk187326316"/>
      <w:r w:rsidRPr="005D729F">
        <w:rPr>
          <w:rFonts w:eastAsia="Calibri"/>
          <w:color w:val="000000"/>
          <w:sz w:val="28"/>
          <w:szCs w:val="28"/>
          <w:lang w:eastAsia="en-US"/>
        </w:rPr>
        <w:t>Таблица 1.</w:t>
      </w:r>
      <w:r w:rsidR="007863FD">
        <w:rPr>
          <w:rFonts w:eastAsia="Calibri"/>
          <w:color w:val="000000"/>
          <w:sz w:val="28"/>
          <w:szCs w:val="28"/>
          <w:lang w:eastAsia="en-US"/>
        </w:rPr>
        <w:t>2</w:t>
      </w:r>
      <w:r w:rsidRPr="005D729F">
        <w:rPr>
          <w:rFonts w:eastAsia="Calibri"/>
          <w:color w:val="000000"/>
          <w:sz w:val="28"/>
          <w:szCs w:val="28"/>
          <w:lang w:eastAsia="en-US"/>
        </w:rPr>
        <w:t xml:space="preserve"> – Анализ динамики показателей прибыли АО «Альфа-Банк»             </w:t>
      </w:r>
    </w:p>
    <w:p w14:paraId="4E78C921" w14:textId="77777777" w:rsidR="005D729F" w:rsidRPr="005D729F" w:rsidRDefault="005D729F" w:rsidP="005D729F">
      <w:pPr>
        <w:ind w:left="1701" w:hanging="1701"/>
        <w:jc w:val="both"/>
        <w:rPr>
          <w:rFonts w:eastAsia="Calibri"/>
          <w:color w:val="000000"/>
          <w:sz w:val="28"/>
          <w:szCs w:val="28"/>
          <w:lang w:eastAsia="en-US"/>
        </w:rPr>
      </w:pPr>
      <w:r w:rsidRPr="005D729F">
        <w:rPr>
          <w:rFonts w:eastAsia="Calibri"/>
          <w:color w:val="000000"/>
          <w:sz w:val="28"/>
          <w:szCs w:val="28"/>
          <w:lang w:eastAsia="en-US"/>
        </w:rPr>
        <w:t xml:space="preserve">                        за 2021-2023 гг. </w:t>
      </w:r>
    </w:p>
    <w:p w14:paraId="0AC8D16E" w14:textId="77777777" w:rsidR="005D729F" w:rsidRPr="005D729F" w:rsidRDefault="005D729F" w:rsidP="005D729F">
      <w:pPr>
        <w:spacing w:before="120" w:after="120"/>
        <w:ind w:firstLine="709"/>
        <w:jc w:val="right"/>
        <w:rPr>
          <w:rFonts w:eastAsia="Calibri"/>
          <w:color w:val="000000"/>
          <w:sz w:val="28"/>
          <w:szCs w:val="28"/>
          <w:lang w:eastAsia="en-US"/>
        </w:rPr>
      </w:pPr>
      <w:r w:rsidRPr="005D729F">
        <w:rPr>
          <w:rFonts w:eastAsia="Calibri"/>
          <w:color w:val="000000"/>
          <w:sz w:val="28"/>
          <w:szCs w:val="28"/>
          <w:lang w:eastAsia="en-US"/>
        </w:rPr>
        <w:t>В миллионах рублей</w:t>
      </w:r>
    </w:p>
    <w:tbl>
      <w:tblPr>
        <w:tblW w:w="95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52"/>
        <w:gridCol w:w="1440"/>
        <w:gridCol w:w="1080"/>
        <w:gridCol w:w="1080"/>
        <w:gridCol w:w="1080"/>
        <w:gridCol w:w="720"/>
        <w:gridCol w:w="934"/>
        <w:gridCol w:w="686"/>
      </w:tblGrid>
      <w:tr w:rsidR="005D729F" w:rsidRPr="005D729F" w14:paraId="29E5AE30" w14:textId="77777777" w:rsidTr="00B83EC8">
        <w:trPr>
          <w:trHeight w:val="405"/>
        </w:trPr>
        <w:tc>
          <w:tcPr>
            <w:tcW w:w="2552" w:type="dxa"/>
            <w:vMerge w:val="restart"/>
            <w:vAlign w:val="center"/>
          </w:tcPr>
          <w:p w14:paraId="551725A7"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Показатели</w:t>
            </w:r>
          </w:p>
        </w:tc>
        <w:tc>
          <w:tcPr>
            <w:tcW w:w="1440" w:type="dxa"/>
            <w:vMerge w:val="restart"/>
            <w:vAlign w:val="center"/>
          </w:tcPr>
          <w:p w14:paraId="740C5673"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2021</w:t>
            </w:r>
          </w:p>
        </w:tc>
        <w:tc>
          <w:tcPr>
            <w:tcW w:w="1080" w:type="dxa"/>
            <w:vMerge w:val="restart"/>
            <w:vAlign w:val="center"/>
          </w:tcPr>
          <w:p w14:paraId="185D715E"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2022</w:t>
            </w:r>
          </w:p>
        </w:tc>
        <w:tc>
          <w:tcPr>
            <w:tcW w:w="1080" w:type="dxa"/>
            <w:vMerge w:val="restart"/>
            <w:vAlign w:val="center"/>
          </w:tcPr>
          <w:p w14:paraId="53D2D2BA"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2023</w:t>
            </w:r>
          </w:p>
        </w:tc>
        <w:tc>
          <w:tcPr>
            <w:tcW w:w="3420" w:type="dxa"/>
            <w:gridSpan w:val="4"/>
            <w:vAlign w:val="center"/>
          </w:tcPr>
          <w:p w14:paraId="59EB1085"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Отклонения</w:t>
            </w:r>
          </w:p>
        </w:tc>
      </w:tr>
      <w:tr w:rsidR="005D729F" w:rsidRPr="005D729F" w14:paraId="5A5B6F72" w14:textId="77777777" w:rsidTr="00B83EC8">
        <w:trPr>
          <w:trHeight w:val="454"/>
        </w:trPr>
        <w:tc>
          <w:tcPr>
            <w:tcW w:w="2552" w:type="dxa"/>
            <w:vMerge/>
          </w:tcPr>
          <w:p w14:paraId="6B58222E" w14:textId="77777777" w:rsidR="005D729F" w:rsidRPr="005D729F" w:rsidRDefault="005D729F" w:rsidP="005D729F">
            <w:pPr>
              <w:jc w:val="both"/>
              <w:rPr>
                <w:rFonts w:eastAsia="Calibri"/>
                <w:color w:val="000000"/>
                <w:sz w:val="20"/>
                <w:szCs w:val="20"/>
                <w:lang w:eastAsia="en-US"/>
              </w:rPr>
            </w:pPr>
          </w:p>
        </w:tc>
        <w:tc>
          <w:tcPr>
            <w:tcW w:w="1440" w:type="dxa"/>
            <w:vMerge/>
          </w:tcPr>
          <w:p w14:paraId="2F242823" w14:textId="77777777" w:rsidR="005D729F" w:rsidRPr="005D729F" w:rsidRDefault="005D729F" w:rsidP="005D729F">
            <w:pPr>
              <w:jc w:val="both"/>
              <w:rPr>
                <w:rFonts w:eastAsia="Calibri"/>
                <w:color w:val="000000"/>
                <w:sz w:val="20"/>
                <w:szCs w:val="20"/>
                <w:lang w:eastAsia="en-US"/>
              </w:rPr>
            </w:pPr>
          </w:p>
        </w:tc>
        <w:tc>
          <w:tcPr>
            <w:tcW w:w="1080" w:type="dxa"/>
            <w:vMerge/>
          </w:tcPr>
          <w:p w14:paraId="19249013" w14:textId="77777777" w:rsidR="005D729F" w:rsidRPr="005D729F" w:rsidRDefault="005D729F" w:rsidP="005D729F">
            <w:pPr>
              <w:jc w:val="both"/>
              <w:rPr>
                <w:rFonts w:eastAsia="Calibri"/>
                <w:color w:val="000000"/>
                <w:sz w:val="20"/>
                <w:szCs w:val="20"/>
                <w:lang w:eastAsia="en-US"/>
              </w:rPr>
            </w:pPr>
          </w:p>
        </w:tc>
        <w:tc>
          <w:tcPr>
            <w:tcW w:w="1080" w:type="dxa"/>
            <w:vMerge/>
          </w:tcPr>
          <w:p w14:paraId="2AB7D5B6" w14:textId="77777777" w:rsidR="005D729F" w:rsidRPr="005D729F" w:rsidRDefault="005D729F" w:rsidP="005D729F">
            <w:pPr>
              <w:jc w:val="both"/>
              <w:rPr>
                <w:rFonts w:eastAsia="Calibri"/>
                <w:color w:val="000000"/>
                <w:sz w:val="20"/>
                <w:szCs w:val="20"/>
                <w:lang w:eastAsia="en-US"/>
              </w:rPr>
            </w:pPr>
          </w:p>
        </w:tc>
        <w:tc>
          <w:tcPr>
            <w:tcW w:w="1800" w:type="dxa"/>
            <w:gridSpan w:val="2"/>
            <w:vAlign w:val="center"/>
          </w:tcPr>
          <w:p w14:paraId="698E726B"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2022 от 2021</w:t>
            </w:r>
          </w:p>
        </w:tc>
        <w:tc>
          <w:tcPr>
            <w:tcW w:w="1620" w:type="dxa"/>
            <w:gridSpan w:val="2"/>
            <w:vAlign w:val="center"/>
          </w:tcPr>
          <w:p w14:paraId="18C861C5"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2023 от 2022</w:t>
            </w:r>
          </w:p>
        </w:tc>
      </w:tr>
      <w:tr w:rsidR="005D729F" w:rsidRPr="005D729F" w14:paraId="41A9C009" w14:textId="77777777" w:rsidTr="00B83EC8">
        <w:trPr>
          <w:trHeight w:val="454"/>
        </w:trPr>
        <w:tc>
          <w:tcPr>
            <w:tcW w:w="2552" w:type="dxa"/>
            <w:vMerge/>
          </w:tcPr>
          <w:p w14:paraId="00CF610E" w14:textId="77777777" w:rsidR="005D729F" w:rsidRPr="005D729F" w:rsidRDefault="005D729F" w:rsidP="005D729F">
            <w:pPr>
              <w:jc w:val="both"/>
              <w:rPr>
                <w:rFonts w:eastAsia="Calibri"/>
                <w:color w:val="000000"/>
                <w:sz w:val="20"/>
                <w:szCs w:val="20"/>
                <w:lang w:eastAsia="en-US"/>
              </w:rPr>
            </w:pPr>
          </w:p>
        </w:tc>
        <w:tc>
          <w:tcPr>
            <w:tcW w:w="1440" w:type="dxa"/>
            <w:vMerge/>
          </w:tcPr>
          <w:p w14:paraId="2ECAF422" w14:textId="77777777" w:rsidR="005D729F" w:rsidRPr="005D729F" w:rsidRDefault="005D729F" w:rsidP="005D729F">
            <w:pPr>
              <w:jc w:val="both"/>
              <w:rPr>
                <w:rFonts w:eastAsia="Calibri"/>
                <w:color w:val="000000"/>
                <w:sz w:val="20"/>
                <w:szCs w:val="20"/>
                <w:lang w:eastAsia="en-US"/>
              </w:rPr>
            </w:pPr>
          </w:p>
        </w:tc>
        <w:tc>
          <w:tcPr>
            <w:tcW w:w="1080" w:type="dxa"/>
            <w:vMerge/>
          </w:tcPr>
          <w:p w14:paraId="3B048FF9" w14:textId="77777777" w:rsidR="005D729F" w:rsidRPr="005D729F" w:rsidRDefault="005D729F" w:rsidP="005D729F">
            <w:pPr>
              <w:jc w:val="both"/>
              <w:rPr>
                <w:rFonts w:eastAsia="Calibri"/>
                <w:color w:val="000000"/>
                <w:sz w:val="20"/>
                <w:szCs w:val="20"/>
                <w:lang w:eastAsia="en-US"/>
              </w:rPr>
            </w:pPr>
          </w:p>
        </w:tc>
        <w:tc>
          <w:tcPr>
            <w:tcW w:w="1080" w:type="dxa"/>
            <w:vMerge/>
          </w:tcPr>
          <w:p w14:paraId="39141DB5" w14:textId="77777777" w:rsidR="005D729F" w:rsidRPr="005D729F" w:rsidRDefault="005D729F" w:rsidP="005D729F">
            <w:pPr>
              <w:jc w:val="both"/>
              <w:rPr>
                <w:rFonts w:eastAsia="Calibri"/>
                <w:color w:val="000000"/>
                <w:sz w:val="20"/>
                <w:szCs w:val="20"/>
                <w:lang w:eastAsia="en-US"/>
              </w:rPr>
            </w:pPr>
          </w:p>
        </w:tc>
        <w:tc>
          <w:tcPr>
            <w:tcW w:w="1080" w:type="dxa"/>
            <w:vAlign w:val="center"/>
          </w:tcPr>
          <w:p w14:paraId="53C48D9B"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абс</w:t>
            </w:r>
            <w:proofErr w:type="spellEnd"/>
            <w:r w:rsidRPr="005D729F">
              <w:rPr>
                <w:rFonts w:eastAsia="Calibri"/>
                <w:color w:val="000000"/>
                <w:sz w:val="20"/>
                <w:szCs w:val="20"/>
                <w:lang w:eastAsia="en-US"/>
              </w:rPr>
              <w:t>.</w:t>
            </w:r>
          </w:p>
        </w:tc>
        <w:tc>
          <w:tcPr>
            <w:tcW w:w="720" w:type="dxa"/>
            <w:vAlign w:val="center"/>
          </w:tcPr>
          <w:p w14:paraId="36795FE1"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отн</w:t>
            </w:r>
            <w:proofErr w:type="spellEnd"/>
            <w:r w:rsidRPr="005D729F">
              <w:rPr>
                <w:rFonts w:eastAsia="Calibri"/>
                <w:color w:val="000000"/>
                <w:sz w:val="20"/>
                <w:szCs w:val="20"/>
                <w:lang w:eastAsia="en-US"/>
              </w:rPr>
              <w:t>., в %</w:t>
            </w:r>
          </w:p>
        </w:tc>
        <w:tc>
          <w:tcPr>
            <w:tcW w:w="934" w:type="dxa"/>
            <w:vAlign w:val="center"/>
          </w:tcPr>
          <w:p w14:paraId="69601C25"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абс</w:t>
            </w:r>
            <w:proofErr w:type="spellEnd"/>
            <w:r w:rsidRPr="005D729F">
              <w:rPr>
                <w:rFonts w:eastAsia="Calibri"/>
                <w:color w:val="000000"/>
                <w:sz w:val="20"/>
                <w:szCs w:val="20"/>
                <w:lang w:eastAsia="en-US"/>
              </w:rPr>
              <w:t>.</w:t>
            </w:r>
          </w:p>
        </w:tc>
        <w:tc>
          <w:tcPr>
            <w:tcW w:w="686" w:type="dxa"/>
            <w:vAlign w:val="center"/>
          </w:tcPr>
          <w:p w14:paraId="27249661"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отн</w:t>
            </w:r>
            <w:proofErr w:type="spellEnd"/>
            <w:r w:rsidRPr="005D729F">
              <w:rPr>
                <w:rFonts w:eastAsia="Calibri"/>
                <w:color w:val="000000"/>
                <w:sz w:val="20"/>
                <w:szCs w:val="20"/>
                <w:lang w:eastAsia="en-US"/>
              </w:rPr>
              <w:t>., в %</w:t>
            </w:r>
          </w:p>
        </w:tc>
      </w:tr>
      <w:tr w:rsidR="005D729F" w:rsidRPr="005D729F" w14:paraId="44F0BDA8" w14:textId="77777777" w:rsidTr="00B83EC8">
        <w:trPr>
          <w:trHeight w:val="454"/>
        </w:trPr>
        <w:tc>
          <w:tcPr>
            <w:tcW w:w="2552" w:type="dxa"/>
          </w:tcPr>
          <w:p w14:paraId="2838E6F9" w14:textId="4FC6BA51" w:rsidR="005D729F" w:rsidRPr="005D729F" w:rsidRDefault="005D729F" w:rsidP="005D729F">
            <w:pPr>
              <w:jc w:val="both"/>
              <w:rPr>
                <w:rFonts w:eastAsia="Calibri"/>
                <w:color w:val="000000"/>
                <w:sz w:val="20"/>
                <w:szCs w:val="20"/>
                <w:lang w:eastAsia="en-US"/>
              </w:rPr>
            </w:pPr>
            <w:r w:rsidRPr="005D729F">
              <w:rPr>
                <w:rFonts w:eastAsia="Calibri"/>
                <w:color w:val="000000"/>
                <w:sz w:val="20"/>
                <w:szCs w:val="20"/>
                <w:lang w:eastAsia="en-US"/>
              </w:rPr>
              <w:t>1 Процентные доходы, всего</w:t>
            </w:r>
          </w:p>
        </w:tc>
        <w:tc>
          <w:tcPr>
            <w:tcW w:w="1440" w:type="dxa"/>
            <w:vAlign w:val="center"/>
          </w:tcPr>
          <w:p w14:paraId="2A019FCC"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307494,0</w:t>
            </w:r>
          </w:p>
        </w:tc>
        <w:tc>
          <w:tcPr>
            <w:tcW w:w="1080" w:type="dxa"/>
            <w:vAlign w:val="center"/>
          </w:tcPr>
          <w:p w14:paraId="1B5C1793"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470122,4</w:t>
            </w:r>
          </w:p>
        </w:tc>
        <w:tc>
          <w:tcPr>
            <w:tcW w:w="1080" w:type="dxa"/>
            <w:vAlign w:val="center"/>
          </w:tcPr>
          <w:p w14:paraId="37011A4D"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725834</w:t>
            </w:r>
          </w:p>
        </w:tc>
        <w:tc>
          <w:tcPr>
            <w:tcW w:w="1080" w:type="dxa"/>
            <w:vAlign w:val="center"/>
          </w:tcPr>
          <w:p w14:paraId="405AC2C8"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162628,3</w:t>
            </w:r>
          </w:p>
        </w:tc>
        <w:tc>
          <w:tcPr>
            <w:tcW w:w="720" w:type="dxa"/>
            <w:vAlign w:val="center"/>
          </w:tcPr>
          <w:p w14:paraId="74EF3F15"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52,9</w:t>
            </w:r>
          </w:p>
        </w:tc>
        <w:tc>
          <w:tcPr>
            <w:tcW w:w="934" w:type="dxa"/>
            <w:vAlign w:val="center"/>
          </w:tcPr>
          <w:p w14:paraId="1953ECF6"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255711,7</w:t>
            </w:r>
          </w:p>
        </w:tc>
        <w:tc>
          <w:tcPr>
            <w:tcW w:w="686" w:type="dxa"/>
            <w:vAlign w:val="center"/>
          </w:tcPr>
          <w:p w14:paraId="43B6553C"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54,4</w:t>
            </w:r>
          </w:p>
        </w:tc>
      </w:tr>
      <w:tr w:rsidR="005D729F" w:rsidRPr="005D729F" w14:paraId="342B6118" w14:textId="77777777" w:rsidTr="00B83EC8">
        <w:trPr>
          <w:trHeight w:val="454"/>
        </w:trPr>
        <w:tc>
          <w:tcPr>
            <w:tcW w:w="2552" w:type="dxa"/>
          </w:tcPr>
          <w:p w14:paraId="4BAECDCB" w14:textId="77777777" w:rsidR="005D729F" w:rsidRPr="005D729F" w:rsidRDefault="005D729F" w:rsidP="005D729F">
            <w:pPr>
              <w:jc w:val="both"/>
              <w:rPr>
                <w:rFonts w:eastAsia="Calibri"/>
                <w:color w:val="000000"/>
                <w:sz w:val="20"/>
                <w:szCs w:val="20"/>
                <w:lang w:eastAsia="en-US"/>
              </w:rPr>
            </w:pPr>
            <w:r w:rsidRPr="005D729F">
              <w:rPr>
                <w:rFonts w:eastAsia="Calibri"/>
                <w:color w:val="000000"/>
                <w:sz w:val="20"/>
                <w:szCs w:val="20"/>
                <w:lang w:eastAsia="en-US"/>
              </w:rPr>
              <w:t>2 Процентные расходы, всего, в том числе:</w:t>
            </w:r>
          </w:p>
        </w:tc>
        <w:tc>
          <w:tcPr>
            <w:tcW w:w="1440" w:type="dxa"/>
            <w:vAlign w:val="center"/>
          </w:tcPr>
          <w:p w14:paraId="0C19BB4B"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131720,9</w:t>
            </w:r>
          </w:p>
        </w:tc>
        <w:tc>
          <w:tcPr>
            <w:tcW w:w="1080" w:type="dxa"/>
            <w:vAlign w:val="center"/>
          </w:tcPr>
          <w:p w14:paraId="5232D7DB"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258392,9</w:t>
            </w:r>
          </w:p>
        </w:tc>
        <w:tc>
          <w:tcPr>
            <w:tcW w:w="1080" w:type="dxa"/>
            <w:vAlign w:val="center"/>
          </w:tcPr>
          <w:p w14:paraId="038FBB76"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365912,5</w:t>
            </w:r>
          </w:p>
        </w:tc>
        <w:tc>
          <w:tcPr>
            <w:tcW w:w="1080" w:type="dxa"/>
            <w:vAlign w:val="center"/>
          </w:tcPr>
          <w:p w14:paraId="3C175B9C"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126671,9</w:t>
            </w:r>
          </w:p>
        </w:tc>
        <w:tc>
          <w:tcPr>
            <w:tcW w:w="720" w:type="dxa"/>
            <w:vAlign w:val="center"/>
          </w:tcPr>
          <w:p w14:paraId="67223CEC"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96,2</w:t>
            </w:r>
          </w:p>
        </w:tc>
        <w:tc>
          <w:tcPr>
            <w:tcW w:w="934" w:type="dxa"/>
            <w:vAlign w:val="center"/>
          </w:tcPr>
          <w:p w14:paraId="27880DFE"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107519,6</w:t>
            </w:r>
          </w:p>
        </w:tc>
        <w:tc>
          <w:tcPr>
            <w:tcW w:w="686" w:type="dxa"/>
            <w:vAlign w:val="center"/>
          </w:tcPr>
          <w:p w14:paraId="298D7E19"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41,6</w:t>
            </w:r>
          </w:p>
        </w:tc>
      </w:tr>
      <w:tr w:rsidR="00CC4634" w:rsidRPr="005D729F" w14:paraId="03234000" w14:textId="77777777" w:rsidTr="00B83EC8">
        <w:trPr>
          <w:trHeight w:val="454"/>
        </w:trPr>
        <w:tc>
          <w:tcPr>
            <w:tcW w:w="2552" w:type="dxa"/>
          </w:tcPr>
          <w:p w14:paraId="43B85AC4" w14:textId="4FC94FBF" w:rsidR="00CC4634" w:rsidRPr="005D729F" w:rsidRDefault="00CC4634" w:rsidP="00CC4634">
            <w:pPr>
              <w:jc w:val="both"/>
              <w:rPr>
                <w:rFonts w:eastAsia="Calibri"/>
                <w:color w:val="000000"/>
                <w:sz w:val="20"/>
                <w:szCs w:val="20"/>
                <w:lang w:eastAsia="en-US"/>
              </w:rPr>
            </w:pPr>
            <w:r w:rsidRPr="005D729F">
              <w:rPr>
                <w:rFonts w:eastAsia="Calibri"/>
                <w:color w:val="000000"/>
                <w:sz w:val="20"/>
                <w:szCs w:val="20"/>
                <w:lang w:eastAsia="en-US"/>
              </w:rPr>
              <w:t>3 Чистые процентные доходы (отрицательная процентная маржа)</w:t>
            </w:r>
          </w:p>
        </w:tc>
        <w:tc>
          <w:tcPr>
            <w:tcW w:w="1440" w:type="dxa"/>
            <w:vAlign w:val="center"/>
          </w:tcPr>
          <w:p w14:paraId="127EEE6B" w14:textId="7905349D"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175773,2</w:t>
            </w:r>
          </w:p>
        </w:tc>
        <w:tc>
          <w:tcPr>
            <w:tcW w:w="1080" w:type="dxa"/>
            <w:vAlign w:val="center"/>
          </w:tcPr>
          <w:p w14:paraId="2A8D30DA" w14:textId="57C07042"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211729,5</w:t>
            </w:r>
          </w:p>
        </w:tc>
        <w:tc>
          <w:tcPr>
            <w:tcW w:w="1080" w:type="dxa"/>
            <w:vAlign w:val="center"/>
          </w:tcPr>
          <w:p w14:paraId="0597D498" w14:textId="0C9F6C52"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359921,6</w:t>
            </w:r>
          </w:p>
        </w:tc>
        <w:tc>
          <w:tcPr>
            <w:tcW w:w="1080" w:type="dxa"/>
            <w:vAlign w:val="center"/>
          </w:tcPr>
          <w:p w14:paraId="2CC383F1" w14:textId="5B0B3F2F"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35956,3</w:t>
            </w:r>
          </w:p>
        </w:tc>
        <w:tc>
          <w:tcPr>
            <w:tcW w:w="720" w:type="dxa"/>
            <w:vAlign w:val="center"/>
          </w:tcPr>
          <w:p w14:paraId="63A97B48" w14:textId="5983CD28"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20,5</w:t>
            </w:r>
          </w:p>
        </w:tc>
        <w:tc>
          <w:tcPr>
            <w:tcW w:w="934" w:type="dxa"/>
            <w:vAlign w:val="center"/>
          </w:tcPr>
          <w:p w14:paraId="77EB64FA" w14:textId="306264A1"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148192,1</w:t>
            </w:r>
          </w:p>
        </w:tc>
        <w:tc>
          <w:tcPr>
            <w:tcW w:w="686" w:type="dxa"/>
            <w:vAlign w:val="center"/>
          </w:tcPr>
          <w:p w14:paraId="1C8DB346" w14:textId="49BB39F2"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70,0</w:t>
            </w:r>
          </w:p>
        </w:tc>
      </w:tr>
      <w:tr w:rsidR="00CC4634" w:rsidRPr="005D729F" w14:paraId="6CF00FEA" w14:textId="77777777" w:rsidTr="00B83EC8">
        <w:trPr>
          <w:trHeight w:val="454"/>
        </w:trPr>
        <w:tc>
          <w:tcPr>
            <w:tcW w:w="2552" w:type="dxa"/>
          </w:tcPr>
          <w:p w14:paraId="22C0D2CA" w14:textId="509F64BD" w:rsidR="00CC4634" w:rsidRPr="005D729F" w:rsidRDefault="00CC4634" w:rsidP="00CC4634">
            <w:pPr>
              <w:jc w:val="both"/>
              <w:rPr>
                <w:rFonts w:eastAsia="Calibri"/>
                <w:color w:val="000000"/>
                <w:sz w:val="20"/>
                <w:szCs w:val="20"/>
                <w:lang w:eastAsia="en-US"/>
              </w:rPr>
            </w:pPr>
            <w:r w:rsidRPr="005D729F">
              <w:rPr>
                <w:rFonts w:eastAsia="Calibri"/>
                <w:color w:val="000000"/>
                <w:sz w:val="20"/>
                <w:szCs w:val="20"/>
                <w:lang w:eastAsia="en-US"/>
              </w:rPr>
              <w:t>4 Изменение резерва на возможные потери и оценочного резерва под ожидаемые кредитные убытки по начисленным процентным доходам</w:t>
            </w:r>
          </w:p>
        </w:tc>
        <w:tc>
          <w:tcPr>
            <w:tcW w:w="1440" w:type="dxa"/>
            <w:vAlign w:val="center"/>
          </w:tcPr>
          <w:p w14:paraId="5A63445B" w14:textId="0DE893AF"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-7232,0</w:t>
            </w:r>
          </w:p>
        </w:tc>
        <w:tc>
          <w:tcPr>
            <w:tcW w:w="1080" w:type="dxa"/>
            <w:vAlign w:val="center"/>
          </w:tcPr>
          <w:p w14:paraId="2D424102" w14:textId="2E765F11"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-10207,7</w:t>
            </w:r>
          </w:p>
        </w:tc>
        <w:tc>
          <w:tcPr>
            <w:tcW w:w="1080" w:type="dxa"/>
            <w:vAlign w:val="center"/>
          </w:tcPr>
          <w:p w14:paraId="61C4BD6B" w14:textId="0E29D563"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-40519,3</w:t>
            </w:r>
          </w:p>
        </w:tc>
        <w:tc>
          <w:tcPr>
            <w:tcW w:w="1080" w:type="dxa"/>
            <w:vAlign w:val="center"/>
          </w:tcPr>
          <w:p w14:paraId="53A3ADF4" w14:textId="75EBF201"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-2975,7</w:t>
            </w:r>
          </w:p>
        </w:tc>
        <w:tc>
          <w:tcPr>
            <w:tcW w:w="720" w:type="dxa"/>
            <w:vAlign w:val="center"/>
          </w:tcPr>
          <w:p w14:paraId="49553BB0" w14:textId="77B015A8"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41,1</w:t>
            </w:r>
          </w:p>
        </w:tc>
        <w:tc>
          <w:tcPr>
            <w:tcW w:w="934" w:type="dxa"/>
            <w:vAlign w:val="center"/>
          </w:tcPr>
          <w:p w14:paraId="65DFA4CE" w14:textId="393BD3A1"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-30311,6</w:t>
            </w:r>
          </w:p>
        </w:tc>
        <w:tc>
          <w:tcPr>
            <w:tcW w:w="686" w:type="dxa"/>
            <w:vAlign w:val="center"/>
          </w:tcPr>
          <w:p w14:paraId="4FC252D2" w14:textId="47329C3B"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296,9</w:t>
            </w:r>
          </w:p>
        </w:tc>
      </w:tr>
      <w:tr w:rsidR="00CC4634" w:rsidRPr="005D729F" w14:paraId="0EDAAF0C" w14:textId="77777777" w:rsidTr="00CC4634">
        <w:trPr>
          <w:trHeight w:val="454"/>
        </w:trPr>
        <w:tc>
          <w:tcPr>
            <w:tcW w:w="2552" w:type="dxa"/>
            <w:tcBorders>
              <w:top w:val="single" w:sz="4" w:space="0" w:color="auto"/>
              <w:left w:val="single" w:sz="4" w:space="0" w:color="auto"/>
              <w:bottom w:val="single" w:sz="4" w:space="0" w:color="auto"/>
              <w:right w:val="single" w:sz="4" w:space="0" w:color="auto"/>
            </w:tcBorders>
          </w:tcPr>
          <w:p w14:paraId="3E918072" w14:textId="77777777" w:rsidR="00CC4634" w:rsidRPr="005D729F" w:rsidRDefault="00CC4634" w:rsidP="00927830">
            <w:pPr>
              <w:jc w:val="both"/>
              <w:rPr>
                <w:rFonts w:eastAsia="Calibri"/>
                <w:color w:val="000000"/>
                <w:sz w:val="20"/>
                <w:szCs w:val="20"/>
                <w:lang w:eastAsia="en-US"/>
              </w:rPr>
            </w:pPr>
            <w:r w:rsidRPr="005D729F">
              <w:rPr>
                <w:rFonts w:eastAsia="Calibri"/>
                <w:color w:val="000000"/>
                <w:sz w:val="20"/>
                <w:szCs w:val="20"/>
                <w:lang w:eastAsia="en-US"/>
              </w:rPr>
              <w:t>5 Чистые процентные доходы (отрицательная процентная маржа) после создания резерва на возможные потери</w:t>
            </w:r>
          </w:p>
        </w:tc>
        <w:tc>
          <w:tcPr>
            <w:tcW w:w="1440" w:type="dxa"/>
            <w:tcBorders>
              <w:top w:val="single" w:sz="4" w:space="0" w:color="auto"/>
              <w:left w:val="single" w:sz="4" w:space="0" w:color="auto"/>
              <w:bottom w:val="single" w:sz="4" w:space="0" w:color="auto"/>
              <w:right w:val="single" w:sz="4" w:space="0" w:color="auto"/>
            </w:tcBorders>
            <w:vAlign w:val="center"/>
          </w:tcPr>
          <w:p w14:paraId="6EF9668F" w14:textId="77777777" w:rsidR="00CC4634" w:rsidRPr="005D729F" w:rsidRDefault="00CC4634" w:rsidP="00927830">
            <w:pPr>
              <w:jc w:val="center"/>
              <w:rPr>
                <w:rFonts w:eastAsia="Calibri"/>
                <w:color w:val="000000"/>
                <w:sz w:val="20"/>
                <w:szCs w:val="20"/>
                <w:lang w:eastAsia="en-US"/>
              </w:rPr>
            </w:pPr>
            <w:r w:rsidRPr="005D729F">
              <w:rPr>
                <w:rFonts w:eastAsia="Calibri"/>
                <w:color w:val="000000"/>
                <w:sz w:val="20"/>
                <w:szCs w:val="20"/>
                <w:lang w:eastAsia="en-US"/>
              </w:rPr>
              <w:t>142424,0</w:t>
            </w:r>
          </w:p>
        </w:tc>
        <w:tc>
          <w:tcPr>
            <w:tcW w:w="1080" w:type="dxa"/>
            <w:tcBorders>
              <w:top w:val="single" w:sz="4" w:space="0" w:color="auto"/>
              <w:left w:val="single" w:sz="4" w:space="0" w:color="auto"/>
              <w:bottom w:val="single" w:sz="4" w:space="0" w:color="auto"/>
              <w:right w:val="single" w:sz="4" w:space="0" w:color="auto"/>
            </w:tcBorders>
            <w:vAlign w:val="center"/>
          </w:tcPr>
          <w:p w14:paraId="70E07149" w14:textId="77777777" w:rsidR="00CC4634" w:rsidRPr="005D729F" w:rsidRDefault="00CC4634" w:rsidP="00927830">
            <w:pPr>
              <w:jc w:val="center"/>
              <w:rPr>
                <w:rFonts w:eastAsia="Calibri"/>
                <w:color w:val="000000"/>
                <w:sz w:val="20"/>
                <w:szCs w:val="20"/>
                <w:lang w:eastAsia="en-US"/>
              </w:rPr>
            </w:pPr>
            <w:r w:rsidRPr="005D729F">
              <w:rPr>
                <w:rFonts w:eastAsia="Calibri"/>
                <w:color w:val="000000"/>
                <w:sz w:val="20"/>
                <w:szCs w:val="20"/>
                <w:lang w:eastAsia="en-US"/>
              </w:rPr>
              <w:t>44329,4</w:t>
            </w:r>
          </w:p>
        </w:tc>
        <w:tc>
          <w:tcPr>
            <w:tcW w:w="1080" w:type="dxa"/>
            <w:tcBorders>
              <w:top w:val="single" w:sz="4" w:space="0" w:color="auto"/>
              <w:left w:val="single" w:sz="4" w:space="0" w:color="auto"/>
              <w:bottom w:val="single" w:sz="4" w:space="0" w:color="auto"/>
              <w:right w:val="single" w:sz="4" w:space="0" w:color="auto"/>
            </w:tcBorders>
            <w:vAlign w:val="center"/>
          </w:tcPr>
          <w:p w14:paraId="6D66E8BD" w14:textId="77777777" w:rsidR="00CC4634" w:rsidRPr="005D729F" w:rsidRDefault="00CC4634" w:rsidP="00927830">
            <w:pPr>
              <w:jc w:val="center"/>
              <w:rPr>
                <w:rFonts w:eastAsia="Calibri"/>
                <w:color w:val="000000"/>
                <w:sz w:val="20"/>
                <w:szCs w:val="20"/>
                <w:lang w:eastAsia="en-US"/>
              </w:rPr>
            </w:pPr>
            <w:r w:rsidRPr="005D729F">
              <w:rPr>
                <w:rFonts w:eastAsia="Calibri"/>
                <w:color w:val="000000"/>
                <w:sz w:val="20"/>
                <w:szCs w:val="20"/>
                <w:lang w:eastAsia="en-US"/>
              </w:rPr>
              <w:t>209015,7</w:t>
            </w:r>
          </w:p>
        </w:tc>
        <w:tc>
          <w:tcPr>
            <w:tcW w:w="1080" w:type="dxa"/>
            <w:tcBorders>
              <w:top w:val="single" w:sz="4" w:space="0" w:color="auto"/>
              <w:left w:val="single" w:sz="4" w:space="0" w:color="auto"/>
              <w:bottom w:val="single" w:sz="4" w:space="0" w:color="auto"/>
              <w:right w:val="single" w:sz="4" w:space="0" w:color="auto"/>
            </w:tcBorders>
            <w:vAlign w:val="center"/>
          </w:tcPr>
          <w:p w14:paraId="1FFB982B" w14:textId="77777777" w:rsidR="00CC4634" w:rsidRPr="005D729F" w:rsidRDefault="00CC4634" w:rsidP="00927830">
            <w:pPr>
              <w:jc w:val="center"/>
              <w:rPr>
                <w:rFonts w:eastAsia="Calibri"/>
                <w:color w:val="000000"/>
                <w:sz w:val="20"/>
                <w:szCs w:val="20"/>
                <w:lang w:eastAsia="en-US"/>
              </w:rPr>
            </w:pPr>
            <w:r w:rsidRPr="005D729F">
              <w:rPr>
                <w:rFonts w:eastAsia="Calibri"/>
                <w:color w:val="000000"/>
                <w:sz w:val="20"/>
                <w:szCs w:val="20"/>
                <w:lang w:eastAsia="en-US"/>
              </w:rPr>
              <w:t>-98094,7</w:t>
            </w:r>
          </w:p>
        </w:tc>
        <w:tc>
          <w:tcPr>
            <w:tcW w:w="720" w:type="dxa"/>
            <w:tcBorders>
              <w:top w:val="single" w:sz="4" w:space="0" w:color="auto"/>
              <w:left w:val="single" w:sz="4" w:space="0" w:color="auto"/>
              <w:bottom w:val="single" w:sz="4" w:space="0" w:color="auto"/>
              <w:right w:val="single" w:sz="4" w:space="0" w:color="auto"/>
            </w:tcBorders>
            <w:vAlign w:val="center"/>
          </w:tcPr>
          <w:p w14:paraId="120966B1" w14:textId="77777777" w:rsidR="00CC4634" w:rsidRPr="005D729F" w:rsidRDefault="00CC4634" w:rsidP="00927830">
            <w:pPr>
              <w:jc w:val="center"/>
              <w:rPr>
                <w:rFonts w:eastAsia="Calibri"/>
                <w:color w:val="000000"/>
                <w:sz w:val="20"/>
                <w:szCs w:val="20"/>
                <w:lang w:eastAsia="en-US"/>
              </w:rPr>
            </w:pPr>
            <w:r w:rsidRPr="005D729F">
              <w:rPr>
                <w:rFonts w:eastAsia="Calibri"/>
                <w:color w:val="000000"/>
                <w:sz w:val="20"/>
                <w:szCs w:val="20"/>
                <w:lang w:eastAsia="en-US"/>
              </w:rPr>
              <w:t>-68,9</w:t>
            </w:r>
          </w:p>
        </w:tc>
        <w:tc>
          <w:tcPr>
            <w:tcW w:w="934" w:type="dxa"/>
            <w:tcBorders>
              <w:top w:val="single" w:sz="4" w:space="0" w:color="auto"/>
              <w:left w:val="single" w:sz="4" w:space="0" w:color="auto"/>
              <w:bottom w:val="single" w:sz="4" w:space="0" w:color="auto"/>
              <w:right w:val="single" w:sz="4" w:space="0" w:color="auto"/>
            </w:tcBorders>
            <w:vAlign w:val="center"/>
          </w:tcPr>
          <w:p w14:paraId="0DB54934" w14:textId="77777777" w:rsidR="00CC4634" w:rsidRPr="005D729F" w:rsidRDefault="00CC4634" w:rsidP="00927830">
            <w:pPr>
              <w:jc w:val="center"/>
              <w:rPr>
                <w:rFonts w:eastAsia="Calibri"/>
                <w:color w:val="000000"/>
                <w:sz w:val="20"/>
                <w:szCs w:val="20"/>
                <w:lang w:eastAsia="en-US"/>
              </w:rPr>
            </w:pPr>
            <w:r w:rsidRPr="005D729F">
              <w:rPr>
                <w:rFonts w:eastAsia="Calibri"/>
                <w:color w:val="000000"/>
                <w:sz w:val="20"/>
                <w:szCs w:val="20"/>
                <w:lang w:eastAsia="en-US"/>
              </w:rPr>
              <w:t>164686</w:t>
            </w:r>
          </w:p>
        </w:tc>
        <w:tc>
          <w:tcPr>
            <w:tcW w:w="686" w:type="dxa"/>
            <w:tcBorders>
              <w:top w:val="single" w:sz="4" w:space="0" w:color="auto"/>
              <w:left w:val="single" w:sz="4" w:space="0" w:color="auto"/>
              <w:bottom w:val="single" w:sz="4" w:space="0" w:color="auto"/>
              <w:right w:val="single" w:sz="4" w:space="0" w:color="auto"/>
            </w:tcBorders>
            <w:vAlign w:val="center"/>
          </w:tcPr>
          <w:p w14:paraId="7EC60C81" w14:textId="77777777" w:rsidR="00CC4634" w:rsidRPr="005D729F" w:rsidRDefault="00CC4634" w:rsidP="00927830">
            <w:pPr>
              <w:jc w:val="center"/>
              <w:rPr>
                <w:rFonts w:eastAsia="Calibri"/>
                <w:color w:val="000000"/>
                <w:sz w:val="20"/>
                <w:szCs w:val="20"/>
                <w:lang w:eastAsia="en-US"/>
              </w:rPr>
            </w:pPr>
            <w:r w:rsidRPr="005D729F">
              <w:rPr>
                <w:rFonts w:eastAsia="Calibri"/>
                <w:color w:val="000000"/>
                <w:sz w:val="20"/>
                <w:szCs w:val="20"/>
                <w:lang w:eastAsia="en-US"/>
              </w:rPr>
              <w:t>371,5</w:t>
            </w:r>
          </w:p>
        </w:tc>
      </w:tr>
    </w:tbl>
    <w:p w14:paraId="4DCBBD5B" w14:textId="77777777" w:rsidR="00CC4634" w:rsidRDefault="00CC4634" w:rsidP="005D729F">
      <w:pPr>
        <w:spacing w:before="120" w:after="120"/>
        <w:jc w:val="both"/>
        <w:rPr>
          <w:rFonts w:eastAsia="Calibri"/>
          <w:color w:val="000000"/>
          <w:sz w:val="28"/>
          <w:szCs w:val="28"/>
          <w:lang w:eastAsia="en-US"/>
        </w:rPr>
      </w:pPr>
    </w:p>
    <w:p w14:paraId="68735863" w14:textId="091764AF" w:rsidR="005D729F" w:rsidRPr="005D729F" w:rsidRDefault="005D729F" w:rsidP="005D729F">
      <w:pPr>
        <w:spacing w:before="120" w:after="120"/>
        <w:jc w:val="both"/>
        <w:rPr>
          <w:rFonts w:eastAsia="Calibri"/>
          <w:color w:val="000000"/>
          <w:sz w:val="28"/>
          <w:szCs w:val="28"/>
          <w:lang w:eastAsia="en-US"/>
        </w:rPr>
      </w:pPr>
      <w:r w:rsidRPr="005D729F">
        <w:rPr>
          <w:rFonts w:eastAsia="Calibri"/>
          <w:color w:val="000000"/>
          <w:sz w:val="28"/>
          <w:szCs w:val="28"/>
          <w:lang w:eastAsia="en-US"/>
        </w:rPr>
        <w:lastRenderedPageBreak/>
        <w:t>Продолжение таблицы 1.</w:t>
      </w:r>
      <w:r w:rsidR="00CC4634">
        <w:rPr>
          <w:rFonts w:eastAsia="Calibri"/>
          <w:color w:val="000000"/>
          <w:sz w:val="28"/>
          <w:szCs w:val="28"/>
          <w:lang w:eastAsia="en-US"/>
        </w:rPr>
        <w:t>2</w:t>
      </w:r>
    </w:p>
    <w:tbl>
      <w:tblPr>
        <w:tblW w:w="95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52"/>
        <w:gridCol w:w="1440"/>
        <w:gridCol w:w="1080"/>
        <w:gridCol w:w="1080"/>
        <w:gridCol w:w="1080"/>
        <w:gridCol w:w="720"/>
        <w:gridCol w:w="934"/>
        <w:gridCol w:w="686"/>
      </w:tblGrid>
      <w:tr w:rsidR="005D729F" w:rsidRPr="005D729F" w14:paraId="46F0B60C" w14:textId="77777777" w:rsidTr="00B83EC8">
        <w:trPr>
          <w:trHeight w:val="454"/>
        </w:trPr>
        <w:tc>
          <w:tcPr>
            <w:tcW w:w="2552" w:type="dxa"/>
            <w:vMerge w:val="restart"/>
            <w:vAlign w:val="center"/>
          </w:tcPr>
          <w:p w14:paraId="2C12BAC3"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Показатели</w:t>
            </w:r>
          </w:p>
        </w:tc>
        <w:tc>
          <w:tcPr>
            <w:tcW w:w="1440" w:type="dxa"/>
            <w:vMerge w:val="restart"/>
            <w:vAlign w:val="center"/>
          </w:tcPr>
          <w:p w14:paraId="65939AC9"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2021</w:t>
            </w:r>
          </w:p>
        </w:tc>
        <w:tc>
          <w:tcPr>
            <w:tcW w:w="1080" w:type="dxa"/>
            <w:vMerge w:val="restart"/>
            <w:vAlign w:val="center"/>
          </w:tcPr>
          <w:p w14:paraId="6AA609F4"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2022</w:t>
            </w:r>
          </w:p>
        </w:tc>
        <w:tc>
          <w:tcPr>
            <w:tcW w:w="1080" w:type="dxa"/>
            <w:vMerge w:val="restart"/>
            <w:vAlign w:val="center"/>
          </w:tcPr>
          <w:p w14:paraId="7ED8B5EC"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2023</w:t>
            </w:r>
          </w:p>
        </w:tc>
        <w:tc>
          <w:tcPr>
            <w:tcW w:w="3420" w:type="dxa"/>
            <w:gridSpan w:val="4"/>
            <w:vAlign w:val="center"/>
          </w:tcPr>
          <w:p w14:paraId="5AC8083B"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Отклонения</w:t>
            </w:r>
          </w:p>
        </w:tc>
      </w:tr>
      <w:tr w:rsidR="005D729F" w:rsidRPr="005D729F" w14:paraId="5B7CBC9E" w14:textId="77777777" w:rsidTr="00B83EC8">
        <w:trPr>
          <w:trHeight w:val="454"/>
        </w:trPr>
        <w:tc>
          <w:tcPr>
            <w:tcW w:w="2552" w:type="dxa"/>
            <w:vMerge/>
          </w:tcPr>
          <w:p w14:paraId="1B84B271" w14:textId="77777777" w:rsidR="005D729F" w:rsidRPr="005D729F" w:rsidRDefault="005D729F" w:rsidP="005D729F">
            <w:pPr>
              <w:jc w:val="both"/>
              <w:rPr>
                <w:rFonts w:eastAsia="Calibri"/>
                <w:color w:val="000000"/>
                <w:sz w:val="20"/>
                <w:szCs w:val="20"/>
                <w:lang w:eastAsia="en-US"/>
              </w:rPr>
            </w:pPr>
          </w:p>
        </w:tc>
        <w:tc>
          <w:tcPr>
            <w:tcW w:w="1440" w:type="dxa"/>
            <w:vMerge/>
            <w:vAlign w:val="center"/>
          </w:tcPr>
          <w:p w14:paraId="4CBE68D9" w14:textId="77777777" w:rsidR="005D729F" w:rsidRPr="005D729F" w:rsidRDefault="005D729F" w:rsidP="005D729F">
            <w:pPr>
              <w:jc w:val="center"/>
              <w:rPr>
                <w:rFonts w:eastAsia="Calibri"/>
                <w:color w:val="000000"/>
                <w:sz w:val="20"/>
                <w:szCs w:val="20"/>
                <w:lang w:eastAsia="en-US"/>
              </w:rPr>
            </w:pPr>
          </w:p>
        </w:tc>
        <w:tc>
          <w:tcPr>
            <w:tcW w:w="1080" w:type="dxa"/>
            <w:vMerge/>
            <w:vAlign w:val="center"/>
          </w:tcPr>
          <w:p w14:paraId="3FC937D4" w14:textId="77777777" w:rsidR="005D729F" w:rsidRPr="005D729F" w:rsidRDefault="005D729F" w:rsidP="005D729F">
            <w:pPr>
              <w:jc w:val="center"/>
              <w:rPr>
                <w:rFonts w:eastAsia="Calibri"/>
                <w:color w:val="000000"/>
                <w:sz w:val="20"/>
                <w:szCs w:val="20"/>
                <w:lang w:eastAsia="en-US"/>
              </w:rPr>
            </w:pPr>
          </w:p>
        </w:tc>
        <w:tc>
          <w:tcPr>
            <w:tcW w:w="1080" w:type="dxa"/>
            <w:vMerge/>
            <w:vAlign w:val="center"/>
          </w:tcPr>
          <w:p w14:paraId="256FA88B" w14:textId="77777777" w:rsidR="005D729F" w:rsidRPr="005D729F" w:rsidRDefault="005D729F" w:rsidP="005D729F">
            <w:pPr>
              <w:jc w:val="center"/>
              <w:rPr>
                <w:rFonts w:eastAsia="Calibri"/>
                <w:color w:val="000000"/>
                <w:sz w:val="20"/>
                <w:szCs w:val="20"/>
                <w:lang w:eastAsia="en-US"/>
              </w:rPr>
            </w:pPr>
          </w:p>
        </w:tc>
        <w:tc>
          <w:tcPr>
            <w:tcW w:w="1800" w:type="dxa"/>
            <w:gridSpan w:val="2"/>
            <w:vAlign w:val="center"/>
          </w:tcPr>
          <w:p w14:paraId="47A19EE2"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2022 от 2021</w:t>
            </w:r>
          </w:p>
        </w:tc>
        <w:tc>
          <w:tcPr>
            <w:tcW w:w="1620" w:type="dxa"/>
            <w:gridSpan w:val="2"/>
            <w:vAlign w:val="center"/>
          </w:tcPr>
          <w:p w14:paraId="1E591B65"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2023 от 2022</w:t>
            </w:r>
          </w:p>
        </w:tc>
      </w:tr>
      <w:tr w:rsidR="005D729F" w:rsidRPr="005D729F" w14:paraId="3FE56359" w14:textId="77777777" w:rsidTr="00B83EC8">
        <w:trPr>
          <w:trHeight w:val="454"/>
        </w:trPr>
        <w:tc>
          <w:tcPr>
            <w:tcW w:w="2552" w:type="dxa"/>
            <w:vMerge/>
          </w:tcPr>
          <w:p w14:paraId="5B5CEBD0" w14:textId="77777777" w:rsidR="005D729F" w:rsidRPr="005D729F" w:rsidRDefault="005D729F" w:rsidP="005D729F">
            <w:pPr>
              <w:jc w:val="both"/>
              <w:rPr>
                <w:rFonts w:eastAsia="Calibri"/>
                <w:color w:val="000000"/>
                <w:sz w:val="20"/>
                <w:szCs w:val="20"/>
                <w:lang w:eastAsia="en-US"/>
              </w:rPr>
            </w:pPr>
          </w:p>
        </w:tc>
        <w:tc>
          <w:tcPr>
            <w:tcW w:w="1440" w:type="dxa"/>
            <w:vMerge/>
            <w:vAlign w:val="center"/>
          </w:tcPr>
          <w:p w14:paraId="16CF726A" w14:textId="77777777" w:rsidR="005D729F" w:rsidRPr="005D729F" w:rsidRDefault="005D729F" w:rsidP="005D729F">
            <w:pPr>
              <w:jc w:val="center"/>
              <w:rPr>
                <w:rFonts w:eastAsia="Calibri"/>
                <w:color w:val="000000"/>
                <w:sz w:val="20"/>
                <w:szCs w:val="20"/>
                <w:lang w:eastAsia="en-US"/>
              </w:rPr>
            </w:pPr>
          </w:p>
        </w:tc>
        <w:tc>
          <w:tcPr>
            <w:tcW w:w="1080" w:type="dxa"/>
            <w:vMerge/>
            <w:vAlign w:val="center"/>
          </w:tcPr>
          <w:p w14:paraId="2F651CE8" w14:textId="77777777" w:rsidR="005D729F" w:rsidRPr="005D729F" w:rsidRDefault="005D729F" w:rsidP="005D729F">
            <w:pPr>
              <w:jc w:val="center"/>
              <w:rPr>
                <w:rFonts w:eastAsia="Calibri"/>
                <w:color w:val="000000"/>
                <w:sz w:val="20"/>
                <w:szCs w:val="20"/>
                <w:lang w:eastAsia="en-US"/>
              </w:rPr>
            </w:pPr>
          </w:p>
        </w:tc>
        <w:tc>
          <w:tcPr>
            <w:tcW w:w="1080" w:type="dxa"/>
            <w:vMerge/>
            <w:vAlign w:val="center"/>
          </w:tcPr>
          <w:p w14:paraId="5512C64C" w14:textId="77777777" w:rsidR="005D729F" w:rsidRPr="005D729F" w:rsidRDefault="005D729F" w:rsidP="005D729F">
            <w:pPr>
              <w:jc w:val="center"/>
              <w:rPr>
                <w:rFonts w:eastAsia="Calibri"/>
                <w:color w:val="000000"/>
                <w:sz w:val="20"/>
                <w:szCs w:val="20"/>
                <w:lang w:eastAsia="en-US"/>
              </w:rPr>
            </w:pPr>
          </w:p>
        </w:tc>
        <w:tc>
          <w:tcPr>
            <w:tcW w:w="1080" w:type="dxa"/>
            <w:vAlign w:val="center"/>
          </w:tcPr>
          <w:p w14:paraId="4C4E3F87"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абс</w:t>
            </w:r>
            <w:proofErr w:type="spellEnd"/>
            <w:r w:rsidRPr="005D729F">
              <w:rPr>
                <w:rFonts w:eastAsia="Calibri"/>
                <w:color w:val="000000"/>
                <w:sz w:val="20"/>
                <w:szCs w:val="20"/>
                <w:lang w:eastAsia="en-US"/>
              </w:rPr>
              <w:t>.</w:t>
            </w:r>
          </w:p>
        </w:tc>
        <w:tc>
          <w:tcPr>
            <w:tcW w:w="720" w:type="dxa"/>
            <w:vAlign w:val="center"/>
          </w:tcPr>
          <w:p w14:paraId="70E809CA"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отн</w:t>
            </w:r>
            <w:proofErr w:type="spellEnd"/>
            <w:r w:rsidRPr="005D729F">
              <w:rPr>
                <w:rFonts w:eastAsia="Calibri"/>
                <w:color w:val="000000"/>
                <w:sz w:val="20"/>
                <w:szCs w:val="20"/>
                <w:lang w:eastAsia="en-US"/>
              </w:rPr>
              <w:t>., в %</w:t>
            </w:r>
          </w:p>
        </w:tc>
        <w:tc>
          <w:tcPr>
            <w:tcW w:w="934" w:type="dxa"/>
            <w:vAlign w:val="center"/>
          </w:tcPr>
          <w:p w14:paraId="10CC6BDE"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абс</w:t>
            </w:r>
            <w:proofErr w:type="spellEnd"/>
            <w:r w:rsidRPr="005D729F">
              <w:rPr>
                <w:rFonts w:eastAsia="Calibri"/>
                <w:color w:val="000000"/>
                <w:sz w:val="20"/>
                <w:szCs w:val="20"/>
                <w:lang w:eastAsia="en-US"/>
              </w:rPr>
              <w:t>.</w:t>
            </w:r>
          </w:p>
        </w:tc>
        <w:tc>
          <w:tcPr>
            <w:tcW w:w="686" w:type="dxa"/>
            <w:vAlign w:val="center"/>
          </w:tcPr>
          <w:p w14:paraId="0D52E344" w14:textId="77777777" w:rsidR="005D729F" w:rsidRPr="005D729F" w:rsidRDefault="005D729F" w:rsidP="005D729F">
            <w:pPr>
              <w:jc w:val="center"/>
              <w:rPr>
                <w:rFonts w:eastAsia="Calibri"/>
                <w:color w:val="000000"/>
                <w:sz w:val="20"/>
                <w:szCs w:val="20"/>
                <w:lang w:eastAsia="en-US"/>
              </w:rPr>
            </w:pPr>
            <w:proofErr w:type="spellStart"/>
            <w:r w:rsidRPr="005D729F">
              <w:rPr>
                <w:rFonts w:eastAsia="Calibri"/>
                <w:color w:val="000000"/>
                <w:sz w:val="20"/>
                <w:szCs w:val="20"/>
                <w:lang w:eastAsia="en-US"/>
              </w:rPr>
              <w:t>отн</w:t>
            </w:r>
            <w:proofErr w:type="spellEnd"/>
            <w:r w:rsidRPr="005D729F">
              <w:rPr>
                <w:rFonts w:eastAsia="Calibri"/>
                <w:color w:val="000000"/>
                <w:sz w:val="20"/>
                <w:szCs w:val="20"/>
                <w:lang w:eastAsia="en-US"/>
              </w:rPr>
              <w:t>., в %</w:t>
            </w:r>
          </w:p>
        </w:tc>
      </w:tr>
      <w:tr w:rsidR="007863FD" w:rsidRPr="005D729F" w14:paraId="7536B43B" w14:textId="77777777" w:rsidTr="00B83EC8">
        <w:trPr>
          <w:trHeight w:val="1577"/>
        </w:trPr>
        <w:tc>
          <w:tcPr>
            <w:tcW w:w="2552" w:type="dxa"/>
            <w:vAlign w:val="center"/>
          </w:tcPr>
          <w:p w14:paraId="0407E0C8" w14:textId="277ED19A" w:rsidR="007863FD" w:rsidRPr="005D729F" w:rsidRDefault="00CC4634" w:rsidP="007863FD">
            <w:pPr>
              <w:jc w:val="both"/>
              <w:rPr>
                <w:rFonts w:eastAsia="Calibri"/>
                <w:color w:val="000000"/>
                <w:sz w:val="20"/>
                <w:szCs w:val="20"/>
                <w:lang w:eastAsia="en-US"/>
              </w:rPr>
            </w:pPr>
            <w:r>
              <w:rPr>
                <w:rFonts w:eastAsia="Calibri"/>
                <w:color w:val="000000"/>
                <w:sz w:val="20"/>
                <w:szCs w:val="20"/>
                <w:lang w:eastAsia="en-US"/>
              </w:rPr>
              <w:t>6</w:t>
            </w:r>
            <w:r w:rsidR="007863FD" w:rsidRPr="005D729F">
              <w:rPr>
                <w:rFonts w:eastAsia="Calibri"/>
                <w:color w:val="000000"/>
                <w:sz w:val="20"/>
                <w:szCs w:val="20"/>
                <w:lang w:eastAsia="en-US"/>
              </w:rPr>
              <w:t xml:space="preserve"> Чистые доходы от операций с ценными бумагами, оцениваемыми по справедливой стоимости через прочий совокупный доход</w:t>
            </w:r>
          </w:p>
        </w:tc>
        <w:tc>
          <w:tcPr>
            <w:tcW w:w="1440" w:type="dxa"/>
            <w:vAlign w:val="center"/>
          </w:tcPr>
          <w:p w14:paraId="3D47195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818,2</w:t>
            </w:r>
          </w:p>
        </w:tc>
        <w:tc>
          <w:tcPr>
            <w:tcW w:w="1080" w:type="dxa"/>
            <w:vAlign w:val="center"/>
          </w:tcPr>
          <w:p w14:paraId="6BA32F4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-482,6</w:t>
            </w:r>
          </w:p>
        </w:tc>
        <w:tc>
          <w:tcPr>
            <w:tcW w:w="1080" w:type="dxa"/>
            <w:vAlign w:val="center"/>
          </w:tcPr>
          <w:p w14:paraId="6E58FA53"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-480,4</w:t>
            </w:r>
          </w:p>
        </w:tc>
        <w:tc>
          <w:tcPr>
            <w:tcW w:w="1080" w:type="dxa"/>
            <w:vAlign w:val="center"/>
          </w:tcPr>
          <w:p w14:paraId="66882C06"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-1300,8</w:t>
            </w:r>
          </w:p>
        </w:tc>
        <w:tc>
          <w:tcPr>
            <w:tcW w:w="720" w:type="dxa"/>
            <w:vAlign w:val="center"/>
          </w:tcPr>
          <w:p w14:paraId="110DD559"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5ABE71C6"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2196</w:t>
            </w:r>
          </w:p>
        </w:tc>
        <w:tc>
          <w:tcPr>
            <w:tcW w:w="686" w:type="dxa"/>
            <w:vAlign w:val="center"/>
          </w:tcPr>
          <w:p w14:paraId="571FACD8"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-0,5</w:t>
            </w:r>
          </w:p>
        </w:tc>
      </w:tr>
      <w:tr w:rsidR="007863FD" w:rsidRPr="005D729F" w14:paraId="1DBC27B3" w14:textId="77777777" w:rsidTr="00B83EC8">
        <w:trPr>
          <w:trHeight w:val="1313"/>
        </w:trPr>
        <w:tc>
          <w:tcPr>
            <w:tcW w:w="2552" w:type="dxa"/>
            <w:vAlign w:val="center"/>
          </w:tcPr>
          <w:p w14:paraId="4EAD2C80" w14:textId="5AE3E99E" w:rsidR="007863FD" w:rsidRPr="005D729F" w:rsidRDefault="00CC4634" w:rsidP="007863FD">
            <w:pPr>
              <w:jc w:val="both"/>
              <w:rPr>
                <w:rFonts w:eastAsia="Calibri"/>
                <w:color w:val="000000"/>
                <w:sz w:val="20"/>
                <w:szCs w:val="20"/>
                <w:lang w:eastAsia="en-US"/>
              </w:rPr>
            </w:pPr>
            <w:r>
              <w:rPr>
                <w:rFonts w:eastAsia="Calibri"/>
                <w:color w:val="000000"/>
                <w:sz w:val="20"/>
                <w:szCs w:val="20"/>
                <w:lang w:eastAsia="en-US"/>
              </w:rPr>
              <w:t>7</w:t>
            </w:r>
            <w:r w:rsidR="007863FD" w:rsidRPr="005D729F">
              <w:rPr>
                <w:rFonts w:eastAsia="Calibri"/>
                <w:color w:val="000000"/>
                <w:sz w:val="20"/>
                <w:szCs w:val="20"/>
                <w:lang w:eastAsia="en-US"/>
              </w:rPr>
              <w:t xml:space="preserve"> Чистые доходы от операций с ценными бумагами, оцениваемыми по амортизированной стоимости</w:t>
            </w:r>
          </w:p>
        </w:tc>
        <w:tc>
          <w:tcPr>
            <w:tcW w:w="1440" w:type="dxa"/>
            <w:vAlign w:val="center"/>
          </w:tcPr>
          <w:p w14:paraId="64910815"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12,2</w:t>
            </w:r>
          </w:p>
        </w:tc>
        <w:tc>
          <w:tcPr>
            <w:tcW w:w="1080" w:type="dxa"/>
            <w:vAlign w:val="center"/>
          </w:tcPr>
          <w:p w14:paraId="2AF008D0"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-4045,6</w:t>
            </w:r>
          </w:p>
        </w:tc>
        <w:tc>
          <w:tcPr>
            <w:tcW w:w="1080" w:type="dxa"/>
            <w:vAlign w:val="center"/>
          </w:tcPr>
          <w:p w14:paraId="558EDEB7"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-1244,1</w:t>
            </w:r>
          </w:p>
        </w:tc>
        <w:tc>
          <w:tcPr>
            <w:tcW w:w="1080" w:type="dxa"/>
            <w:vAlign w:val="center"/>
          </w:tcPr>
          <w:p w14:paraId="6502F370"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-4057,8</w:t>
            </w:r>
          </w:p>
        </w:tc>
        <w:tc>
          <w:tcPr>
            <w:tcW w:w="720" w:type="dxa"/>
            <w:vAlign w:val="center"/>
          </w:tcPr>
          <w:p w14:paraId="3D41EB2D"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24E7EEDF"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2801,4</w:t>
            </w:r>
          </w:p>
        </w:tc>
        <w:tc>
          <w:tcPr>
            <w:tcW w:w="686" w:type="dxa"/>
            <w:vAlign w:val="center"/>
          </w:tcPr>
          <w:p w14:paraId="70C3AC76"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-69,2</w:t>
            </w:r>
          </w:p>
        </w:tc>
      </w:tr>
      <w:tr w:rsidR="007863FD" w:rsidRPr="005D729F" w14:paraId="78EEE6AA" w14:textId="77777777" w:rsidTr="00B83EC8">
        <w:trPr>
          <w:trHeight w:val="454"/>
        </w:trPr>
        <w:tc>
          <w:tcPr>
            <w:tcW w:w="2552" w:type="dxa"/>
            <w:vAlign w:val="center"/>
          </w:tcPr>
          <w:p w14:paraId="564BC92E" w14:textId="5C363C7E" w:rsidR="007863FD" w:rsidRPr="005D729F" w:rsidRDefault="00CC4634" w:rsidP="007863FD">
            <w:pPr>
              <w:jc w:val="both"/>
              <w:rPr>
                <w:rFonts w:eastAsia="Calibri"/>
                <w:color w:val="000000"/>
                <w:sz w:val="20"/>
                <w:szCs w:val="20"/>
                <w:lang w:eastAsia="en-US"/>
              </w:rPr>
            </w:pPr>
            <w:r>
              <w:rPr>
                <w:rFonts w:eastAsia="Calibri"/>
                <w:color w:val="000000"/>
                <w:sz w:val="20"/>
                <w:szCs w:val="20"/>
                <w:lang w:eastAsia="en-US"/>
              </w:rPr>
              <w:t>8</w:t>
            </w:r>
            <w:r w:rsidR="007863FD" w:rsidRPr="005D729F">
              <w:rPr>
                <w:rFonts w:eastAsia="Calibri"/>
                <w:color w:val="000000"/>
                <w:sz w:val="20"/>
                <w:szCs w:val="20"/>
                <w:lang w:eastAsia="en-US"/>
              </w:rPr>
              <w:t xml:space="preserve"> Чистые доходы от операций с драгоценными металлами</w:t>
            </w:r>
          </w:p>
        </w:tc>
        <w:tc>
          <w:tcPr>
            <w:tcW w:w="1440" w:type="dxa"/>
            <w:vAlign w:val="center"/>
          </w:tcPr>
          <w:p w14:paraId="3471CAAB"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97,4</w:t>
            </w:r>
          </w:p>
        </w:tc>
        <w:tc>
          <w:tcPr>
            <w:tcW w:w="1080" w:type="dxa"/>
            <w:vAlign w:val="center"/>
          </w:tcPr>
          <w:p w14:paraId="0C78DD9D"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190,9</w:t>
            </w:r>
          </w:p>
        </w:tc>
        <w:tc>
          <w:tcPr>
            <w:tcW w:w="1080" w:type="dxa"/>
            <w:vAlign w:val="center"/>
          </w:tcPr>
          <w:p w14:paraId="13DA7B3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180,3</w:t>
            </w:r>
          </w:p>
        </w:tc>
        <w:tc>
          <w:tcPr>
            <w:tcW w:w="1080" w:type="dxa"/>
            <w:vAlign w:val="center"/>
          </w:tcPr>
          <w:p w14:paraId="3FB4F89E"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93,5</w:t>
            </w:r>
          </w:p>
        </w:tc>
        <w:tc>
          <w:tcPr>
            <w:tcW w:w="720" w:type="dxa"/>
            <w:vAlign w:val="center"/>
          </w:tcPr>
          <w:p w14:paraId="1CB29BDE"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96,0</w:t>
            </w:r>
          </w:p>
        </w:tc>
        <w:tc>
          <w:tcPr>
            <w:tcW w:w="934" w:type="dxa"/>
            <w:vAlign w:val="center"/>
          </w:tcPr>
          <w:p w14:paraId="0B125EA8"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-10,6</w:t>
            </w:r>
          </w:p>
        </w:tc>
        <w:tc>
          <w:tcPr>
            <w:tcW w:w="686" w:type="dxa"/>
            <w:vAlign w:val="center"/>
          </w:tcPr>
          <w:p w14:paraId="5AC5FFB0"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-5,6</w:t>
            </w:r>
          </w:p>
        </w:tc>
      </w:tr>
      <w:tr w:rsidR="007863FD" w:rsidRPr="005D729F" w14:paraId="0B3CFE4E" w14:textId="77777777" w:rsidTr="00B83EC8">
        <w:trPr>
          <w:trHeight w:val="454"/>
        </w:trPr>
        <w:tc>
          <w:tcPr>
            <w:tcW w:w="2552" w:type="dxa"/>
            <w:vAlign w:val="center"/>
          </w:tcPr>
          <w:p w14:paraId="0013FEE6" w14:textId="4FBC3146" w:rsidR="007863FD" w:rsidRPr="005D729F" w:rsidRDefault="00CC4634" w:rsidP="007863FD">
            <w:pPr>
              <w:jc w:val="both"/>
              <w:rPr>
                <w:rFonts w:eastAsia="Calibri"/>
                <w:color w:val="000000"/>
                <w:sz w:val="20"/>
                <w:szCs w:val="20"/>
                <w:lang w:eastAsia="en-US"/>
              </w:rPr>
            </w:pPr>
            <w:r>
              <w:rPr>
                <w:rFonts w:eastAsia="Calibri"/>
                <w:color w:val="000000"/>
                <w:sz w:val="20"/>
                <w:szCs w:val="20"/>
                <w:lang w:eastAsia="en-US"/>
              </w:rPr>
              <w:t>9</w:t>
            </w:r>
            <w:r w:rsidR="007863FD" w:rsidRPr="005D729F">
              <w:rPr>
                <w:rFonts w:eastAsia="Calibri"/>
                <w:color w:val="000000"/>
                <w:sz w:val="20"/>
                <w:szCs w:val="20"/>
                <w:lang w:eastAsia="en-US"/>
              </w:rPr>
              <w:t xml:space="preserve"> Комиссионные доходы</w:t>
            </w:r>
          </w:p>
        </w:tc>
        <w:tc>
          <w:tcPr>
            <w:tcW w:w="1440" w:type="dxa"/>
            <w:vAlign w:val="center"/>
          </w:tcPr>
          <w:p w14:paraId="1A2669D7"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193587,7</w:t>
            </w:r>
          </w:p>
        </w:tc>
        <w:tc>
          <w:tcPr>
            <w:tcW w:w="1080" w:type="dxa"/>
            <w:vAlign w:val="center"/>
          </w:tcPr>
          <w:p w14:paraId="4EB71DFF"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202802,1</w:t>
            </w:r>
          </w:p>
        </w:tc>
        <w:tc>
          <w:tcPr>
            <w:tcW w:w="1080" w:type="dxa"/>
            <w:vAlign w:val="center"/>
          </w:tcPr>
          <w:p w14:paraId="62068C4E"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226544,9</w:t>
            </w:r>
          </w:p>
        </w:tc>
        <w:tc>
          <w:tcPr>
            <w:tcW w:w="1080" w:type="dxa"/>
            <w:vAlign w:val="center"/>
          </w:tcPr>
          <w:p w14:paraId="30417DB4"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9214,4</w:t>
            </w:r>
          </w:p>
        </w:tc>
        <w:tc>
          <w:tcPr>
            <w:tcW w:w="720" w:type="dxa"/>
            <w:vAlign w:val="center"/>
          </w:tcPr>
          <w:p w14:paraId="5B803569"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4,8</w:t>
            </w:r>
          </w:p>
        </w:tc>
        <w:tc>
          <w:tcPr>
            <w:tcW w:w="934" w:type="dxa"/>
            <w:vAlign w:val="center"/>
          </w:tcPr>
          <w:p w14:paraId="608DE0DF"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23742,8</w:t>
            </w:r>
          </w:p>
        </w:tc>
        <w:tc>
          <w:tcPr>
            <w:tcW w:w="686" w:type="dxa"/>
            <w:vAlign w:val="center"/>
          </w:tcPr>
          <w:p w14:paraId="3DF8C226"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11,7</w:t>
            </w:r>
          </w:p>
        </w:tc>
      </w:tr>
      <w:tr w:rsidR="007863FD" w:rsidRPr="005D729F" w14:paraId="73C36477" w14:textId="77777777" w:rsidTr="00B83EC8">
        <w:trPr>
          <w:trHeight w:val="454"/>
        </w:trPr>
        <w:tc>
          <w:tcPr>
            <w:tcW w:w="2552" w:type="dxa"/>
            <w:vAlign w:val="center"/>
          </w:tcPr>
          <w:p w14:paraId="3DF4A94A" w14:textId="03909B10" w:rsidR="007863FD" w:rsidRPr="005D729F" w:rsidRDefault="007863FD" w:rsidP="007863FD">
            <w:pPr>
              <w:jc w:val="both"/>
              <w:rPr>
                <w:rFonts w:eastAsia="Calibri"/>
                <w:color w:val="000000"/>
                <w:sz w:val="20"/>
                <w:szCs w:val="20"/>
                <w:lang w:eastAsia="en-US"/>
              </w:rPr>
            </w:pPr>
            <w:r w:rsidRPr="005D729F">
              <w:rPr>
                <w:rFonts w:eastAsia="Calibri"/>
                <w:color w:val="000000"/>
                <w:sz w:val="20"/>
                <w:szCs w:val="20"/>
                <w:lang w:eastAsia="en-US"/>
              </w:rPr>
              <w:t>1</w:t>
            </w:r>
            <w:r w:rsidR="00CC4634">
              <w:rPr>
                <w:rFonts w:eastAsia="Calibri"/>
                <w:color w:val="000000"/>
                <w:sz w:val="20"/>
                <w:szCs w:val="20"/>
                <w:lang w:eastAsia="en-US"/>
              </w:rPr>
              <w:t>0</w:t>
            </w:r>
            <w:r w:rsidRPr="005D729F">
              <w:rPr>
                <w:rFonts w:eastAsia="Calibri"/>
                <w:color w:val="000000"/>
                <w:sz w:val="20"/>
                <w:szCs w:val="20"/>
                <w:lang w:eastAsia="en-US"/>
              </w:rPr>
              <w:t xml:space="preserve"> Комиссионные расходы</w:t>
            </w:r>
          </w:p>
        </w:tc>
        <w:tc>
          <w:tcPr>
            <w:tcW w:w="1440" w:type="dxa"/>
            <w:vAlign w:val="center"/>
          </w:tcPr>
          <w:p w14:paraId="6E0F4323"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42100,6</w:t>
            </w:r>
          </w:p>
        </w:tc>
        <w:tc>
          <w:tcPr>
            <w:tcW w:w="1080" w:type="dxa"/>
            <w:vAlign w:val="center"/>
          </w:tcPr>
          <w:p w14:paraId="5A8F8BF3"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42043,9</w:t>
            </w:r>
          </w:p>
        </w:tc>
        <w:tc>
          <w:tcPr>
            <w:tcW w:w="1080" w:type="dxa"/>
            <w:vAlign w:val="center"/>
          </w:tcPr>
          <w:p w14:paraId="4FF8DB64"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50369,9</w:t>
            </w:r>
          </w:p>
        </w:tc>
        <w:tc>
          <w:tcPr>
            <w:tcW w:w="1080" w:type="dxa"/>
            <w:vAlign w:val="center"/>
          </w:tcPr>
          <w:p w14:paraId="19057DAC"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-56,7</w:t>
            </w:r>
          </w:p>
        </w:tc>
        <w:tc>
          <w:tcPr>
            <w:tcW w:w="720" w:type="dxa"/>
            <w:vAlign w:val="center"/>
          </w:tcPr>
          <w:p w14:paraId="02B2EA0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-0,1</w:t>
            </w:r>
          </w:p>
        </w:tc>
        <w:tc>
          <w:tcPr>
            <w:tcW w:w="934" w:type="dxa"/>
            <w:vAlign w:val="center"/>
          </w:tcPr>
          <w:p w14:paraId="24C7FCE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8326</w:t>
            </w:r>
          </w:p>
        </w:tc>
        <w:tc>
          <w:tcPr>
            <w:tcW w:w="686" w:type="dxa"/>
            <w:vAlign w:val="center"/>
          </w:tcPr>
          <w:p w14:paraId="273D3FC0"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19,8</w:t>
            </w:r>
          </w:p>
        </w:tc>
      </w:tr>
      <w:tr w:rsidR="007863FD" w:rsidRPr="005D729F" w14:paraId="27B4A94B" w14:textId="77777777" w:rsidTr="00B83EC8">
        <w:trPr>
          <w:trHeight w:val="454"/>
        </w:trPr>
        <w:tc>
          <w:tcPr>
            <w:tcW w:w="2552" w:type="dxa"/>
            <w:vAlign w:val="center"/>
          </w:tcPr>
          <w:p w14:paraId="29F22085" w14:textId="5EEA0293" w:rsidR="007863FD" w:rsidRPr="005D729F" w:rsidRDefault="007863FD" w:rsidP="007863FD">
            <w:pPr>
              <w:jc w:val="both"/>
              <w:rPr>
                <w:rFonts w:eastAsia="Calibri"/>
                <w:color w:val="000000"/>
                <w:sz w:val="20"/>
                <w:szCs w:val="20"/>
                <w:lang w:eastAsia="en-US"/>
              </w:rPr>
            </w:pPr>
            <w:r w:rsidRPr="005D729F">
              <w:rPr>
                <w:rFonts w:eastAsia="Calibri"/>
                <w:color w:val="000000"/>
                <w:sz w:val="20"/>
                <w:szCs w:val="20"/>
                <w:lang w:eastAsia="en-US"/>
              </w:rPr>
              <w:t>1</w:t>
            </w:r>
            <w:r w:rsidR="00CC4634">
              <w:rPr>
                <w:rFonts w:eastAsia="Calibri"/>
                <w:color w:val="000000"/>
                <w:sz w:val="20"/>
                <w:szCs w:val="20"/>
                <w:lang w:eastAsia="en-US"/>
              </w:rPr>
              <w:t>1</w:t>
            </w:r>
            <w:r w:rsidRPr="005D729F">
              <w:rPr>
                <w:rFonts w:eastAsia="Calibri"/>
                <w:color w:val="000000"/>
                <w:sz w:val="20"/>
                <w:szCs w:val="20"/>
                <w:lang w:eastAsia="en-US"/>
              </w:rPr>
              <w:t xml:space="preserve"> Изменение резерва на возможные потери и оценочного резерва под ожидаемые кредитные убытки по ценным бумагам, оцениваемым по амортизированной стоимости</w:t>
            </w:r>
          </w:p>
        </w:tc>
        <w:tc>
          <w:tcPr>
            <w:tcW w:w="1440" w:type="dxa"/>
            <w:vAlign w:val="center"/>
          </w:tcPr>
          <w:p w14:paraId="48D64863"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748,0</w:t>
            </w:r>
          </w:p>
        </w:tc>
        <w:tc>
          <w:tcPr>
            <w:tcW w:w="1080" w:type="dxa"/>
            <w:vAlign w:val="center"/>
          </w:tcPr>
          <w:p w14:paraId="5FA3CF09"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-4245,6</w:t>
            </w:r>
          </w:p>
        </w:tc>
        <w:tc>
          <w:tcPr>
            <w:tcW w:w="1080" w:type="dxa"/>
            <w:vAlign w:val="center"/>
          </w:tcPr>
          <w:p w14:paraId="2A4A7AA4"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-14680,7</w:t>
            </w:r>
          </w:p>
        </w:tc>
        <w:tc>
          <w:tcPr>
            <w:tcW w:w="1080" w:type="dxa"/>
            <w:vAlign w:val="center"/>
          </w:tcPr>
          <w:p w14:paraId="064FAE6A"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-4246,4</w:t>
            </w:r>
          </w:p>
        </w:tc>
        <w:tc>
          <w:tcPr>
            <w:tcW w:w="720" w:type="dxa"/>
            <w:vAlign w:val="center"/>
          </w:tcPr>
          <w:p w14:paraId="39E2BAE7"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4A28F1B4"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-10435</w:t>
            </w:r>
          </w:p>
        </w:tc>
        <w:tc>
          <w:tcPr>
            <w:tcW w:w="686" w:type="dxa"/>
            <w:vAlign w:val="center"/>
          </w:tcPr>
          <w:p w14:paraId="1FCD72AA"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245,8</w:t>
            </w:r>
          </w:p>
        </w:tc>
      </w:tr>
      <w:tr w:rsidR="007863FD" w:rsidRPr="005D729F" w14:paraId="32241F54" w14:textId="77777777" w:rsidTr="00B83EC8">
        <w:trPr>
          <w:trHeight w:val="633"/>
        </w:trPr>
        <w:tc>
          <w:tcPr>
            <w:tcW w:w="2552" w:type="dxa"/>
            <w:vAlign w:val="center"/>
          </w:tcPr>
          <w:p w14:paraId="58CF6B4D" w14:textId="6FFDB5E9" w:rsidR="007863FD" w:rsidRPr="005D729F" w:rsidRDefault="007863FD" w:rsidP="007863FD">
            <w:pPr>
              <w:jc w:val="both"/>
              <w:rPr>
                <w:rFonts w:eastAsia="Calibri"/>
                <w:color w:val="000000"/>
                <w:sz w:val="20"/>
                <w:szCs w:val="20"/>
                <w:lang w:eastAsia="en-US"/>
              </w:rPr>
            </w:pPr>
            <w:r w:rsidRPr="005D729F">
              <w:rPr>
                <w:rFonts w:eastAsia="Calibri"/>
                <w:color w:val="000000"/>
                <w:sz w:val="20"/>
                <w:szCs w:val="20"/>
                <w:lang w:eastAsia="en-US"/>
              </w:rPr>
              <w:t>1</w:t>
            </w:r>
            <w:r w:rsidR="00CC4634">
              <w:rPr>
                <w:rFonts w:eastAsia="Calibri"/>
                <w:color w:val="000000"/>
                <w:sz w:val="20"/>
                <w:szCs w:val="20"/>
                <w:lang w:eastAsia="en-US"/>
              </w:rPr>
              <w:t>2</w:t>
            </w:r>
            <w:r w:rsidRPr="005D729F">
              <w:rPr>
                <w:rFonts w:eastAsia="Calibri"/>
                <w:color w:val="000000"/>
                <w:sz w:val="20"/>
                <w:szCs w:val="20"/>
                <w:lang w:eastAsia="en-US"/>
              </w:rPr>
              <w:t xml:space="preserve"> Изменение резерва по прочим потерям</w:t>
            </w:r>
          </w:p>
        </w:tc>
        <w:tc>
          <w:tcPr>
            <w:tcW w:w="1440" w:type="dxa"/>
            <w:vAlign w:val="center"/>
          </w:tcPr>
          <w:p w14:paraId="285446A3"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-7542</w:t>
            </w:r>
          </w:p>
        </w:tc>
        <w:tc>
          <w:tcPr>
            <w:tcW w:w="1080" w:type="dxa"/>
            <w:vAlign w:val="center"/>
          </w:tcPr>
          <w:p w14:paraId="442690A4"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-30882,8</w:t>
            </w:r>
          </w:p>
        </w:tc>
        <w:tc>
          <w:tcPr>
            <w:tcW w:w="1080" w:type="dxa"/>
            <w:vAlign w:val="center"/>
          </w:tcPr>
          <w:p w14:paraId="1687AA9D"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-64370,2</w:t>
            </w:r>
          </w:p>
        </w:tc>
        <w:tc>
          <w:tcPr>
            <w:tcW w:w="1080" w:type="dxa"/>
            <w:vAlign w:val="center"/>
          </w:tcPr>
          <w:p w14:paraId="6DA90400"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-23340,8</w:t>
            </w:r>
          </w:p>
        </w:tc>
        <w:tc>
          <w:tcPr>
            <w:tcW w:w="720" w:type="dxa"/>
            <w:vAlign w:val="center"/>
          </w:tcPr>
          <w:p w14:paraId="080B7255"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309,5</w:t>
            </w:r>
          </w:p>
        </w:tc>
        <w:tc>
          <w:tcPr>
            <w:tcW w:w="934" w:type="dxa"/>
            <w:vAlign w:val="center"/>
          </w:tcPr>
          <w:p w14:paraId="3A2DE3F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-33487,4</w:t>
            </w:r>
          </w:p>
        </w:tc>
        <w:tc>
          <w:tcPr>
            <w:tcW w:w="686" w:type="dxa"/>
            <w:vAlign w:val="center"/>
          </w:tcPr>
          <w:p w14:paraId="0D8E962E"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108,4</w:t>
            </w:r>
          </w:p>
        </w:tc>
      </w:tr>
      <w:tr w:rsidR="007863FD" w:rsidRPr="005D729F" w14:paraId="75B91C1C" w14:textId="77777777" w:rsidTr="00B83EC8">
        <w:trPr>
          <w:trHeight w:val="454"/>
        </w:trPr>
        <w:tc>
          <w:tcPr>
            <w:tcW w:w="2552" w:type="dxa"/>
            <w:vAlign w:val="center"/>
          </w:tcPr>
          <w:p w14:paraId="2ED2B155" w14:textId="5E98C76D" w:rsidR="007863FD" w:rsidRPr="005D729F" w:rsidRDefault="007863FD" w:rsidP="007863FD">
            <w:pPr>
              <w:jc w:val="both"/>
              <w:rPr>
                <w:rFonts w:eastAsia="Calibri"/>
                <w:color w:val="000000"/>
                <w:sz w:val="20"/>
                <w:szCs w:val="20"/>
                <w:lang w:eastAsia="en-US"/>
              </w:rPr>
            </w:pPr>
            <w:r w:rsidRPr="005D729F">
              <w:rPr>
                <w:rFonts w:eastAsia="Calibri"/>
                <w:color w:val="000000"/>
                <w:sz w:val="20"/>
                <w:szCs w:val="20"/>
                <w:lang w:eastAsia="en-US"/>
              </w:rPr>
              <w:t>1</w:t>
            </w:r>
            <w:r w:rsidR="00CC4634">
              <w:rPr>
                <w:rFonts w:eastAsia="Calibri"/>
                <w:color w:val="000000"/>
                <w:sz w:val="20"/>
                <w:szCs w:val="20"/>
                <w:lang w:eastAsia="en-US"/>
              </w:rPr>
              <w:t>3</w:t>
            </w:r>
            <w:r w:rsidRPr="005D729F">
              <w:rPr>
                <w:rFonts w:eastAsia="Calibri"/>
                <w:color w:val="000000"/>
                <w:sz w:val="20"/>
                <w:szCs w:val="20"/>
                <w:lang w:eastAsia="en-US"/>
              </w:rPr>
              <w:t xml:space="preserve"> Прочие операционные доходы</w:t>
            </w:r>
          </w:p>
        </w:tc>
        <w:tc>
          <w:tcPr>
            <w:tcW w:w="1440" w:type="dxa"/>
            <w:vAlign w:val="center"/>
          </w:tcPr>
          <w:p w14:paraId="63E9DF38"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16459,8</w:t>
            </w:r>
          </w:p>
        </w:tc>
        <w:tc>
          <w:tcPr>
            <w:tcW w:w="1080" w:type="dxa"/>
            <w:vAlign w:val="center"/>
          </w:tcPr>
          <w:p w14:paraId="1E256347"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38493</w:t>
            </w:r>
          </w:p>
        </w:tc>
        <w:tc>
          <w:tcPr>
            <w:tcW w:w="1080" w:type="dxa"/>
            <w:vAlign w:val="center"/>
          </w:tcPr>
          <w:p w14:paraId="1B5E5EE8"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36571,1</w:t>
            </w:r>
          </w:p>
        </w:tc>
        <w:tc>
          <w:tcPr>
            <w:tcW w:w="1080" w:type="dxa"/>
            <w:vAlign w:val="center"/>
          </w:tcPr>
          <w:p w14:paraId="0E6BA208"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22033,3</w:t>
            </w:r>
          </w:p>
        </w:tc>
        <w:tc>
          <w:tcPr>
            <w:tcW w:w="720" w:type="dxa"/>
            <w:vAlign w:val="center"/>
          </w:tcPr>
          <w:p w14:paraId="5233C5C7"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133,9</w:t>
            </w:r>
          </w:p>
        </w:tc>
        <w:tc>
          <w:tcPr>
            <w:tcW w:w="934" w:type="dxa"/>
            <w:vAlign w:val="center"/>
          </w:tcPr>
          <w:p w14:paraId="273737F7"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-1921,9</w:t>
            </w:r>
          </w:p>
        </w:tc>
        <w:tc>
          <w:tcPr>
            <w:tcW w:w="686" w:type="dxa"/>
            <w:vAlign w:val="center"/>
          </w:tcPr>
          <w:p w14:paraId="0C6ABBF3"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-5,0</w:t>
            </w:r>
          </w:p>
        </w:tc>
      </w:tr>
      <w:tr w:rsidR="007863FD" w:rsidRPr="005D729F" w14:paraId="388EB784" w14:textId="77777777" w:rsidTr="00B83EC8">
        <w:trPr>
          <w:trHeight w:val="454"/>
        </w:trPr>
        <w:tc>
          <w:tcPr>
            <w:tcW w:w="2552" w:type="dxa"/>
            <w:vAlign w:val="center"/>
          </w:tcPr>
          <w:p w14:paraId="59785F46" w14:textId="538B2C9E" w:rsidR="007863FD" w:rsidRPr="005D729F" w:rsidRDefault="007863FD" w:rsidP="007863FD">
            <w:pPr>
              <w:jc w:val="both"/>
              <w:rPr>
                <w:rFonts w:eastAsia="Calibri"/>
                <w:color w:val="000000"/>
                <w:sz w:val="20"/>
                <w:szCs w:val="20"/>
                <w:lang w:eastAsia="en-US"/>
              </w:rPr>
            </w:pPr>
            <w:r w:rsidRPr="005D729F">
              <w:rPr>
                <w:rFonts w:eastAsia="Calibri"/>
                <w:color w:val="000000"/>
                <w:sz w:val="20"/>
                <w:szCs w:val="20"/>
                <w:lang w:eastAsia="en-US"/>
              </w:rPr>
              <w:t>1</w:t>
            </w:r>
            <w:r w:rsidR="00CC4634">
              <w:rPr>
                <w:rFonts w:eastAsia="Calibri"/>
                <w:color w:val="000000"/>
                <w:sz w:val="20"/>
                <w:szCs w:val="20"/>
                <w:lang w:eastAsia="en-US"/>
              </w:rPr>
              <w:t>4</w:t>
            </w:r>
            <w:r w:rsidRPr="005D729F">
              <w:rPr>
                <w:rFonts w:eastAsia="Calibri"/>
                <w:color w:val="000000"/>
                <w:sz w:val="20"/>
                <w:szCs w:val="20"/>
                <w:lang w:eastAsia="en-US"/>
              </w:rPr>
              <w:t xml:space="preserve"> Чистые доходы (расходы)</w:t>
            </w:r>
          </w:p>
        </w:tc>
        <w:tc>
          <w:tcPr>
            <w:tcW w:w="1440" w:type="dxa"/>
            <w:vAlign w:val="center"/>
          </w:tcPr>
          <w:p w14:paraId="79EBD911"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328218,6</w:t>
            </w:r>
          </w:p>
        </w:tc>
        <w:tc>
          <w:tcPr>
            <w:tcW w:w="1080" w:type="dxa"/>
            <w:vAlign w:val="center"/>
          </w:tcPr>
          <w:p w14:paraId="67F35CCE"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64895</w:t>
            </w:r>
          </w:p>
        </w:tc>
        <w:tc>
          <w:tcPr>
            <w:tcW w:w="1080" w:type="dxa"/>
            <w:vAlign w:val="center"/>
          </w:tcPr>
          <w:p w14:paraId="7E3C3FF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 xml:space="preserve">396717 </w:t>
            </w:r>
          </w:p>
        </w:tc>
        <w:tc>
          <w:tcPr>
            <w:tcW w:w="1080" w:type="dxa"/>
            <w:vAlign w:val="center"/>
          </w:tcPr>
          <w:p w14:paraId="686E2371"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-263323,6</w:t>
            </w:r>
          </w:p>
        </w:tc>
        <w:tc>
          <w:tcPr>
            <w:tcW w:w="720" w:type="dxa"/>
            <w:vAlign w:val="center"/>
          </w:tcPr>
          <w:p w14:paraId="6452A20E"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-80,2</w:t>
            </w:r>
          </w:p>
        </w:tc>
        <w:tc>
          <w:tcPr>
            <w:tcW w:w="934" w:type="dxa"/>
            <w:vAlign w:val="center"/>
          </w:tcPr>
          <w:p w14:paraId="511FE487"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331821,9</w:t>
            </w:r>
          </w:p>
        </w:tc>
        <w:tc>
          <w:tcPr>
            <w:tcW w:w="686" w:type="dxa"/>
            <w:vAlign w:val="center"/>
          </w:tcPr>
          <w:p w14:paraId="4F8EE908"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511,3</w:t>
            </w:r>
          </w:p>
        </w:tc>
      </w:tr>
      <w:tr w:rsidR="007863FD" w:rsidRPr="005D729F" w14:paraId="47E6078B" w14:textId="77777777" w:rsidTr="00B83EC8">
        <w:trPr>
          <w:trHeight w:val="454"/>
        </w:trPr>
        <w:tc>
          <w:tcPr>
            <w:tcW w:w="2552" w:type="dxa"/>
            <w:vAlign w:val="center"/>
          </w:tcPr>
          <w:p w14:paraId="56231419" w14:textId="10517F63" w:rsidR="007863FD" w:rsidRPr="005D729F" w:rsidRDefault="007863FD" w:rsidP="007863FD">
            <w:pPr>
              <w:jc w:val="both"/>
              <w:rPr>
                <w:rFonts w:eastAsia="Calibri"/>
                <w:color w:val="000000"/>
                <w:sz w:val="20"/>
                <w:szCs w:val="20"/>
                <w:lang w:eastAsia="en-US"/>
              </w:rPr>
            </w:pPr>
            <w:r w:rsidRPr="005D729F">
              <w:rPr>
                <w:rFonts w:eastAsia="Calibri"/>
                <w:color w:val="000000"/>
                <w:sz w:val="20"/>
                <w:szCs w:val="20"/>
                <w:lang w:eastAsia="en-US"/>
              </w:rPr>
              <w:t>1</w:t>
            </w:r>
            <w:r w:rsidR="00CC4634">
              <w:rPr>
                <w:rFonts w:eastAsia="Calibri"/>
                <w:color w:val="000000"/>
                <w:sz w:val="20"/>
                <w:szCs w:val="20"/>
                <w:lang w:eastAsia="en-US"/>
              </w:rPr>
              <w:t>5</w:t>
            </w:r>
            <w:r w:rsidRPr="005D729F">
              <w:rPr>
                <w:rFonts w:eastAsia="Calibri"/>
                <w:color w:val="000000"/>
                <w:sz w:val="20"/>
                <w:szCs w:val="20"/>
                <w:lang w:eastAsia="en-US"/>
              </w:rPr>
              <w:t xml:space="preserve"> Операционные расходы</w:t>
            </w:r>
          </w:p>
        </w:tc>
        <w:tc>
          <w:tcPr>
            <w:tcW w:w="1440" w:type="dxa"/>
            <w:vAlign w:val="center"/>
          </w:tcPr>
          <w:p w14:paraId="1AC6F86C"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157502,6</w:t>
            </w:r>
          </w:p>
        </w:tc>
        <w:tc>
          <w:tcPr>
            <w:tcW w:w="1080" w:type="dxa"/>
            <w:vAlign w:val="center"/>
          </w:tcPr>
          <w:p w14:paraId="5E350BF1"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209277,3</w:t>
            </w:r>
          </w:p>
        </w:tc>
        <w:tc>
          <w:tcPr>
            <w:tcW w:w="1080" w:type="dxa"/>
            <w:vAlign w:val="center"/>
          </w:tcPr>
          <w:p w14:paraId="34180C0C"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247625,8</w:t>
            </w:r>
          </w:p>
        </w:tc>
        <w:tc>
          <w:tcPr>
            <w:tcW w:w="1080" w:type="dxa"/>
            <w:vAlign w:val="center"/>
          </w:tcPr>
          <w:p w14:paraId="1992E6A1"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51774,7</w:t>
            </w:r>
          </w:p>
        </w:tc>
        <w:tc>
          <w:tcPr>
            <w:tcW w:w="720" w:type="dxa"/>
            <w:vAlign w:val="center"/>
          </w:tcPr>
          <w:p w14:paraId="33A65FCB"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32,9</w:t>
            </w:r>
          </w:p>
        </w:tc>
        <w:tc>
          <w:tcPr>
            <w:tcW w:w="934" w:type="dxa"/>
            <w:vAlign w:val="center"/>
          </w:tcPr>
          <w:p w14:paraId="10B5B628"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38348,5</w:t>
            </w:r>
          </w:p>
        </w:tc>
        <w:tc>
          <w:tcPr>
            <w:tcW w:w="686" w:type="dxa"/>
            <w:vAlign w:val="center"/>
          </w:tcPr>
          <w:p w14:paraId="2619D3FB"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18,3</w:t>
            </w:r>
          </w:p>
        </w:tc>
      </w:tr>
      <w:tr w:rsidR="007863FD" w:rsidRPr="005D729F" w14:paraId="148807B0" w14:textId="77777777" w:rsidTr="00B83EC8">
        <w:trPr>
          <w:trHeight w:val="454"/>
        </w:trPr>
        <w:tc>
          <w:tcPr>
            <w:tcW w:w="2552" w:type="dxa"/>
            <w:vAlign w:val="center"/>
          </w:tcPr>
          <w:p w14:paraId="5EBC44A6" w14:textId="452608E1" w:rsidR="007863FD" w:rsidRPr="005D729F" w:rsidRDefault="007863FD" w:rsidP="007863FD">
            <w:pPr>
              <w:jc w:val="both"/>
              <w:rPr>
                <w:rFonts w:eastAsia="Calibri"/>
                <w:color w:val="000000"/>
                <w:sz w:val="20"/>
                <w:szCs w:val="20"/>
                <w:lang w:eastAsia="en-US"/>
              </w:rPr>
            </w:pPr>
            <w:r w:rsidRPr="005D729F">
              <w:rPr>
                <w:rFonts w:eastAsia="Calibri"/>
                <w:color w:val="000000"/>
                <w:sz w:val="20"/>
                <w:szCs w:val="20"/>
                <w:lang w:eastAsia="en-US"/>
              </w:rPr>
              <w:t>1</w:t>
            </w:r>
            <w:r w:rsidR="00CC4634">
              <w:rPr>
                <w:rFonts w:eastAsia="Calibri"/>
                <w:color w:val="000000"/>
                <w:sz w:val="20"/>
                <w:szCs w:val="20"/>
                <w:lang w:eastAsia="en-US"/>
              </w:rPr>
              <w:t>6</w:t>
            </w:r>
            <w:r w:rsidRPr="005D729F">
              <w:rPr>
                <w:rFonts w:eastAsia="Calibri"/>
                <w:color w:val="000000"/>
                <w:sz w:val="20"/>
                <w:szCs w:val="20"/>
                <w:lang w:eastAsia="en-US"/>
              </w:rPr>
              <w:t xml:space="preserve"> Прибыль (убыток) до налогообложения</w:t>
            </w:r>
          </w:p>
        </w:tc>
        <w:tc>
          <w:tcPr>
            <w:tcW w:w="1440" w:type="dxa"/>
            <w:vAlign w:val="center"/>
          </w:tcPr>
          <w:p w14:paraId="77A2766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170716,0</w:t>
            </w:r>
          </w:p>
        </w:tc>
        <w:tc>
          <w:tcPr>
            <w:tcW w:w="1080" w:type="dxa"/>
            <w:vAlign w:val="center"/>
          </w:tcPr>
          <w:p w14:paraId="2EA484E4"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-144382,2</w:t>
            </w:r>
          </w:p>
        </w:tc>
        <w:tc>
          <w:tcPr>
            <w:tcW w:w="1080" w:type="dxa"/>
            <w:vAlign w:val="center"/>
          </w:tcPr>
          <w:p w14:paraId="788AD8E5"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149091,3</w:t>
            </w:r>
          </w:p>
        </w:tc>
        <w:tc>
          <w:tcPr>
            <w:tcW w:w="1080" w:type="dxa"/>
            <w:vAlign w:val="center"/>
          </w:tcPr>
          <w:p w14:paraId="01AFC0A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-315098</w:t>
            </w:r>
          </w:p>
        </w:tc>
        <w:tc>
          <w:tcPr>
            <w:tcW w:w="720" w:type="dxa"/>
            <w:vAlign w:val="center"/>
          </w:tcPr>
          <w:p w14:paraId="4E7DA8A5"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45BB98B6"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293473,5</w:t>
            </w:r>
          </w:p>
        </w:tc>
        <w:tc>
          <w:tcPr>
            <w:tcW w:w="686" w:type="dxa"/>
            <w:vAlign w:val="center"/>
          </w:tcPr>
          <w:p w14:paraId="48DE55A2" w14:textId="77777777" w:rsidR="007863FD" w:rsidRPr="005D729F" w:rsidRDefault="007863FD" w:rsidP="007863FD">
            <w:pPr>
              <w:jc w:val="center"/>
              <w:rPr>
                <w:rFonts w:eastAsia="Calibri"/>
                <w:color w:val="000000"/>
                <w:sz w:val="20"/>
                <w:szCs w:val="20"/>
                <w:lang w:eastAsia="en-US"/>
              </w:rPr>
            </w:pPr>
            <w:r w:rsidRPr="005D729F">
              <w:rPr>
                <w:rFonts w:eastAsia="Calibri"/>
                <w:color w:val="000000"/>
                <w:sz w:val="20"/>
                <w:szCs w:val="20"/>
                <w:lang w:eastAsia="en-US"/>
              </w:rPr>
              <w:t>-</w:t>
            </w:r>
          </w:p>
        </w:tc>
      </w:tr>
      <w:tr w:rsidR="00CC4634" w:rsidRPr="005D729F" w14:paraId="4E073A54" w14:textId="77777777" w:rsidTr="00B83EC8">
        <w:trPr>
          <w:trHeight w:val="454"/>
        </w:trPr>
        <w:tc>
          <w:tcPr>
            <w:tcW w:w="2552" w:type="dxa"/>
            <w:vAlign w:val="center"/>
          </w:tcPr>
          <w:p w14:paraId="3E7DEE73" w14:textId="5A03096A" w:rsidR="00CC4634" w:rsidRPr="005D729F" w:rsidRDefault="00CC4634" w:rsidP="00CC4634">
            <w:pPr>
              <w:jc w:val="both"/>
              <w:rPr>
                <w:rFonts w:eastAsia="Calibri"/>
                <w:color w:val="000000"/>
                <w:sz w:val="20"/>
                <w:szCs w:val="20"/>
                <w:lang w:eastAsia="en-US"/>
              </w:rPr>
            </w:pPr>
            <w:r>
              <w:rPr>
                <w:rFonts w:eastAsia="Calibri"/>
                <w:color w:val="000000"/>
                <w:sz w:val="20"/>
                <w:szCs w:val="20"/>
                <w:lang w:eastAsia="en-US"/>
              </w:rPr>
              <w:t>17</w:t>
            </w:r>
            <w:r w:rsidRPr="005D729F">
              <w:rPr>
                <w:rFonts w:eastAsia="Calibri"/>
                <w:color w:val="000000"/>
                <w:sz w:val="20"/>
                <w:szCs w:val="20"/>
                <w:lang w:eastAsia="en-US"/>
              </w:rPr>
              <w:t xml:space="preserve"> Возмещение (расход) по налогу на прибыль</w:t>
            </w:r>
          </w:p>
        </w:tc>
        <w:tc>
          <w:tcPr>
            <w:tcW w:w="1440" w:type="dxa"/>
            <w:vAlign w:val="center"/>
          </w:tcPr>
          <w:p w14:paraId="00317B96" w14:textId="03BFFCFF"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34085,6</w:t>
            </w:r>
          </w:p>
        </w:tc>
        <w:tc>
          <w:tcPr>
            <w:tcW w:w="1080" w:type="dxa"/>
            <w:vAlign w:val="center"/>
          </w:tcPr>
          <w:p w14:paraId="055ED9C0" w14:textId="775981F3"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-27309,2</w:t>
            </w:r>
          </w:p>
        </w:tc>
        <w:tc>
          <w:tcPr>
            <w:tcW w:w="1080" w:type="dxa"/>
            <w:vAlign w:val="center"/>
          </w:tcPr>
          <w:p w14:paraId="22D44D55" w14:textId="3FDB33C6"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28223,1</w:t>
            </w:r>
          </w:p>
        </w:tc>
        <w:tc>
          <w:tcPr>
            <w:tcW w:w="1080" w:type="dxa"/>
            <w:vAlign w:val="center"/>
          </w:tcPr>
          <w:p w14:paraId="45A768AB" w14:textId="575E0D5E"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-61394,8</w:t>
            </w:r>
          </w:p>
        </w:tc>
        <w:tc>
          <w:tcPr>
            <w:tcW w:w="720" w:type="dxa"/>
            <w:vAlign w:val="center"/>
          </w:tcPr>
          <w:p w14:paraId="426730EA" w14:textId="4E33B234"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0BCC596D" w14:textId="304853AD"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55532,4</w:t>
            </w:r>
          </w:p>
        </w:tc>
        <w:tc>
          <w:tcPr>
            <w:tcW w:w="686" w:type="dxa"/>
            <w:vAlign w:val="center"/>
          </w:tcPr>
          <w:p w14:paraId="398F6AF6" w14:textId="61BEE511"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r>
      <w:tr w:rsidR="00CC4634" w:rsidRPr="005D729F" w14:paraId="20125ADC" w14:textId="77777777" w:rsidTr="00B83EC8">
        <w:trPr>
          <w:trHeight w:val="454"/>
        </w:trPr>
        <w:tc>
          <w:tcPr>
            <w:tcW w:w="2552" w:type="dxa"/>
            <w:vAlign w:val="center"/>
          </w:tcPr>
          <w:p w14:paraId="5584B6D6" w14:textId="5CC97EDA" w:rsidR="00CC4634" w:rsidRPr="005D729F" w:rsidRDefault="00CC4634" w:rsidP="00CC4634">
            <w:pPr>
              <w:jc w:val="both"/>
              <w:rPr>
                <w:rFonts w:eastAsia="Calibri"/>
                <w:color w:val="000000"/>
                <w:sz w:val="20"/>
                <w:szCs w:val="20"/>
                <w:lang w:eastAsia="en-US"/>
              </w:rPr>
            </w:pPr>
            <w:r w:rsidRPr="005D729F">
              <w:rPr>
                <w:rFonts w:eastAsia="Calibri"/>
                <w:color w:val="000000"/>
                <w:sz w:val="20"/>
                <w:szCs w:val="20"/>
                <w:lang w:eastAsia="en-US"/>
              </w:rPr>
              <w:t>1</w:t>
            </w:r>
            <w:r>
              <w:rPr>
                <w:rFonts w:eastAsia="Calibri"/>
                <w:color w:val="000000"/>
                <w:sz w:val="20"/>
                <w:szCs w:val="20"/>
                <w:lang w:eastAsia="en-US"/>
              </w:rPr>
              <w:t>8</w:t>
            </w:r>
            <w:r w:rsidRPr="005D729F">
              <w:rPr>
                <w:rFonts w:eastAsia="Calibri"/>
                <w:color w:val="000000"/>
                <w:sz w:val="20"/>
                <w:szCs w:val="20"/>
                <w:lang w:eastAsia="en-US"/>
              </w:rPr>
              <w:t xml:space="preserve"> Прибыль (убыток) от продолжающейся деятельности</w:t>
            </w:r>
          </w:p>
        </w:tc>
        <w:tc>
          <w:tcPr>
            <w:tcW w:w="1440" w:type="dxa"/>
            <w:vAlign w:val="center"/>
          </w:tcPr>
          <w:p w14:paraId="5F670768" w14:textId="46E68AA3"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136630,5</w:t>
            </w:r>
          </w:p>
        </w:tc>
        <w:tc>
          <w:tcPr>
            <w:tcW w:w="1080" w:type="dxa"/>
            <w:vAlign w:val="center"/>
          </w:tcPr>
          <w:p w14:paraId="0E940E8E" w14:textId="156158DF"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-117073</w:t>
            </w:r>
          </w:p>
        </w:tc>
        <w:tc>
          <w:tcPr>
            <w:tcW w:w="1080" w:type="dxa"/>
            <w:vAlign w:val="center"/>
          </w:tcPr>
          <w:p w14:paraId="60FF1508" w14:textId="529B2BB1"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120868,1</w:t>
            </w:r>
          </w:p>
        </w:tc>
        <w:tc>
          <w:tcPr>
            <w:tcW w:w="1080" w:type="dxa"/>
            <w:vAlign w:val="center"/>
          </w:tcPr>
          <w:p w14:paraId="34D6BDA2" w14:textId="25E8067C"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-253703,4</w:t>
            </w:r>
          </w:p>
        </w:tc>
        <w:tc>
          <w:tcPr>
            <w:tcW w:w="720" w:type="dxa"/>
            <w:vAlign w:val="center"/>
          </w:tcPr>
          <w:p w14:paraId="2D35AEA5" w14:textId="514D8D13"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7F79ABA8" w14:textId="2729FD6D"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237941,1</w:t>
            </w:r>
          </w:p>
        </w:tc>
        <w:tc>
          <w:tcPr>
            <w:tcW w:w="686" w:type="dxa"/>
            <w:vAlign w:val="center"/>
          </w:tcPr>
          <w:p w14:paraId="79BB4350" w14:textId="10EC0B2D"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r>
      <w:tr w:rsidR="00CC4634" w:rsidRPr="005D729F" w14:paraId="38A4520F" w14:textId="77777777" w:rsidTr="00B83EC8">
        <w:trPr>
          <w:trHeight w:val="454"/>
        </w:trPr>
        <w:tc>
          <w:tcPr>
            <w:tcW w:w="2552" w:type="dxa"/>
            <w:vAlign w:val="center"/>
          </w:tcPr>
          <w:p w14:paraId="1E5C3890" w14:textId="0B38A9CD" w:rsidR="00CC4634" w:rsidRPr="005D729F" w:rsidRDefault="00CC4634" w:rsidP="00CC4634">
            <w:pPr>
              <w:jc w:val="both"/>
              <w:rPr>
                <w:rFonts w:eastAsia="Calibri"/>
                <w:color w:val="000000"/>
                <w:sz w:val="20"/>
                <w:szCs w:val="20"/>
                <w:lang w:eastAsia="en-US"/>
              </w:rPr>
            </w:pPr>
            <w:r>
              <w:rPr>
                <w:rFonts w:eastAsia="Calibri"/>
                <w:color w:val="000000"/>
                <w:sz w:val="20"/>
                <w:szCs w:val="20"/>
                <w:lang w:eastAsia="en-US"/>
              </w:rPr>
              <w:t>19</w:t>
            </w:r>
            <w:r w:rsidRPr="005D729F">
              <w:rPr>
                <w:rFonts w:eastAsia="Calibri"/>
                <w:color w:val="000000"/>
                <w:sz w:val="20"/>
                <w:szCs w:val="20"/>
                <w:lang w:eastAsia="en-US"/>
              </w:rPr>
              <w:t xml:space="preserve"> Прибыль (убыток) за отчетный период</w:t>
            </w:r>
          </w:p>
        </w:tc>
        <w:tc>
          <w:tcPr>
            <w:tcW w:w="1440" w:type="dxa"/>
            <w:vAlign w:val="center"/>
          </w:tcPr>
          <w:p w14:paraId="52F2AB67" w14:textId="1A1F362B"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136630,5</w:t>
            </w:r>
          </w:p>
        </w:tc>
        <w:tc>
          <w:tcPr>
            <w:tcW w:w="1080" w:type="dxa"/>
            <w:vAlign w:val="center"/>
          </w:tcPr>
          <w:p w14:paraId="42A66602" w14:textId="3A6DC1E6"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-117073</w:t>
            </w:r>
          </w:p>
        </w:tc>
        <w:tc>
          <w:tcPr>
            <w:tcW w:w="1080" w:type="dxa"/>
            <w:vAlign w:val="center"/>
          </w:tcPr>
          <w:p w14:paraId="04A44188" w14:textId="1FB469D3"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120868,1</w:t>
            </w:r>
          </w:p>
        </w:tc>
        <w:tc>
          <w:tcPr>
            <w:tcW w:w="1080" w:type="dxa"/>
            <w:vAlign w:val="center"/>
          </w:tcPr>
          <w:p w14:paraId="2C72B9FA" w14:textId="674C9240"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-253703,5</w:t>
            </w:r>
          </w:p>
        </w:tc>
        <w:tc>
          <w:tcPr>
            <w:tcW w:w="720" w:type="dxa"/>
            <w:vAlign w:val="center"/>
          </w:tcPr>
          <w:p w14:paraId="48556ECE" w14:textId="7F938FD7"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1088BD84" w14:textId="5B022F34"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237941,1</w:t>
            </w:r>
          </w:p>
        </w:tc>
        <w:tc>
          <w:tcPr>
            <w:tcW w:w="686" w:type="dxa"/>
            <w:vAlign w:val="center"/>
          </w:tcPr>
          <w:p w14:paraId="68DB1AE9" w14:textId="7DD9C0B8"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r>
      <w:tr w:rsidR="00CC4634" w:rsidRPr="005D729F" w14:paraId="014C62C5" w14:textId="77777777" w:rsidTr="00B83EC8">
        <w:trPr>
          <w:trHeight w:val="454"/>
        </w:trPr>
        <w:tc>
          <w:tcPr>
            <w:tcW w:w="2552" w:type="dxa"/>
            <w:vAlign w:val="center"/>
          </w:tcPr>
          <w:p w14:paraId="2136E811" w14:textId="2A7C0506" w:rsidR="00CC4634" w:rsidRPr="005D729F" w:rsidRDefault="00CC4634" w:rsidP="00CC4634">
            <w:pPr>
              <w:jc w:val="both"/>
              <w:rPr>
                <w:rFonts w:eastAsia="Calibri"/>
                <w:color w:val="000000"/>
                <w:sz w:val="20"/>
                <w:szCs w:val="20"/>
                <w:lang w:eastAsia="en-US"/>
              </w:rPr>
            </w:pPr>
            <w:r w:rsidRPr="005D729F">
              <w:rPr>
                <w:rFonts w:eastAsia="Calibri"/>
                <w:color w:val="000000"/>
                <w:sz w:val="20"/>
                <w:szCs w:val="20"/>
              </w:rPr>
              <w:t>2</w:t>
            </w:r>
            <w:r>
              <w:rPr>
                <w:rFonts w:eastAsia="Calibri"/>
                <w:color w:val="000000"/>
                <w:sz w:val="20"/>
                <w:szCs w:val="20"/>
              </w:rPr>
              <w:t>0</w:t>
            </w:r>
            <w:r w:rsidRPr="005D729F">
              <w:rPr>
                <w:rFonts w:eastAsia="Calibri"/>
                <w:color w:val="000000"/>
                <w:sz w:val="20"/>
                <w:szCs w:val="20"/>
              </w:rPr>
              <w:t xml:space="preserve"> Прочий совокупный доход /убыток), за вычетом налога на прибыль </w:t>
            </w:r>
          </w:p>
        </w:tc>
        <w:tc>
          <w:tcPr>
            <w:tcW w:w="1440" w:type="dxa"/>
            <w:vAlign w:val="center"/>
          </w:tcPr>
          <w:p w14:paraId="52719A28" w14:textId="4EF180BA"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-1478,3</w:t>
            </w:r>
          </w:p>
        </w:tc>
        <w:tc>
          <w:tcPr>
            <w:tcW w:w="1080" w:type="dxa"/>
            <w:vAlign w:val="center"/>
          </w:tcPr>
          <w:p w14:paraId="6B33E365" w14:textId="21E44254"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-1648,9</w:t>
            </w:r>
          </w:p>
        </w:tc>
        <w:tc>
          <w:tcPr>
            <w:tcW w:w="1080" w:type="dxa"/>
            <w:vAlign w:val="center"/>
          </w:tcPr>
          <w:p w14:paraId="40A784FD" w14:textId="4CD1536D"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4857,5</w:t>
            </w:r>
          </w:p>
        </w:tc>
        <w:tc>
          <w:tcPr>
            <w:tcW w:w="1080" w:type="dxa"/>
            <w:vAlign w:val="center"/>
          </w:tcPr>
          <w:p w14:paraId="75A5BBF1" w14:textId="157A5E4F"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-170,6</w:t>
            </w:r>
          </w:p>
        </w:tc>
        <w:tc>
          <w:tcPr>
            <w:tcW w:w="720" w:type="dxa"/>
            <w:vAlign w:val="center"/>
          </w:tcPr>
          <w:p w14:paraId="72280B2D" w14:textId="1280AAC9"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11,5</w:t>
            </w:r>
          </w:p>
        </w:tc>
        <w:tc>
          <w:tcPr>
            <w:tcW w:w="934" w:type="dxa"/>
            <w:vAlign w:val="center"/>
          </w:tcPr>
          <w:p w14:paraId="0541BCA8" w14:textId="6D248954"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6506,2</w:t>
            </w:r>
          </w:p>
        </w:tc>
        <w:tc>
          <w:tcPr>
            <w:tcW w:w="686" w:type="dxa"/>
            <w:vAlign w:val="center"/>
          </w:tcPr>
          <w:p w14:paraId="45EF1D85" w14:textId="2DB55114"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r>
      <w:tr w:rsidR="00CC4634" w:rsidRPr="005D729F" w14:paraId="787A8AC3" w14:textId="77777777" w:rsidTr="00B83EC8">
        <w:trPr>
          <w:trHeight w:val="454"/>
        </w:trPr>
        <w:tc>
          <w:tcPr>
            <w:tcW w:w="2552" w:type="dxa"/>
            <w:vAlign w:val="center"/>
          </w:tcPr>
          <w:p w14:paraId="640DE0F7" w14:textId="1DA07562" w:rsidR="00CC4634" w:rsidRPr="005D729F" w:rsidRDefault="00CC4634" w:rsidP="00CC4634">
            <w:pPr>
              <w:jc w:val="both"/>
              <w:rPr>
                <w:rFonts w:eastAsia="Calibri"/>
                <w:color w:val="000000"/>
                <w:sz w:val="20"/>
                <w:szCs w:val="20"/>
                <w:lang w:eastAsia="en-US"/>
              </w:rPr>
            </w:pPr>
            <w:r w:rsidRPr="005D729F">
              <w:rPr>
                <w:rFonts w:eastAsia="Calibri"/>
                <w:color w:val="000000"/>
                <w:sz w:val="20"/>
                <w:szCs w:val="20"/>
              </w:rPr>
              <w:t>2</w:t>
            </w:r>
            <w:r>
              <w:rPr>
                <w:rFonts w:eastAsia="Calibri"/>
                <w:color w:val="000000"/>
                <w:sz w:val="20"/>
                <w:szCs w:val="20"/>
              </w:rPr>
              <w:t>1</w:t>
            </w:r>
            <w:r w:rsidRPr="005D729F">
              <w:rPr>
                <w:rFonts w:eastAsia="Calibri"/>
                <w:color w:val="000000"/>
                <w:sz w:val="20"/>
                <w:szCs w:val="20"/>
              </w:rPr>
              <w:t xml:space="preserve"> Финансовый результат за отчетный период</w:t>
            </w:r>
          </w:p>
        </w:tc>
        <w:tc>
          <w:tcPr>
            <w:tcW w:w="1440" w:type="dxa"/>
            <w:vAlign w:val="center"/>
          </w:tcPr>
          <w:p w14:paraId="037C48AA" w14:textId="792C8BBC"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135152,1</w:t>
            </w:r>
          </w:p>
        </w:tc>
        <w:tc>
          <w:tcPr>
            <w:tcW w:w="1080" w:type="dxa"/>
            <w:vAlign w:val="center"/>
          </w:tcPr>
          <w:p w14:paraId="51FC4892" w14:textId="3CF9B34B"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-118721,9</w:t>
            </w:r>
          </w:p>
        </w:tc>
        <w:tc>
          <w:tcPr>
            <w:tcW w:w="1080" w:type="dxa"/>
            <w:vAlign w:val="center"/>
          </w:tcPr>
          <w:p w14:paraId="5678E653" w14:textId="526011CC"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125725,6</w:t>
            </w:r>
          </w:p>
        </w:tc>
        <w:tc>
          <w:tcPr>
            <w:tcW w:w="1080" w:type="dxa"/>
            <w:vAlign w:val="center"/>
          </w:tcPr>
          <w:p w14:paraId="7728DD75" w14:textId="4A9798E0"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 xml:space="preserve">-253874 </w:t>
            </w:r>
          </w:p>
        </w:tc>
        <w:tc>
          <w:tcPr>
            <w:tcW w:w="720" w:type="dxa"/>
            <w:vAlign w:val="center"/>
          </w:tcPr>
          <w:p w14:paraId="75C4D380" w14:textId="34D09414"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c>
          <w:tcPr>
            <w:tcW w:w="934" w:type="dxa"/>
            <w:vAlign w:val="center"/>
          </w:tcPr>
          <w:p w14:paraId="1AF2DB66" w14:textId="40CDA0C7"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244447,4</w:t>
            </w:r>
          </w:p>
        </w:tc>
        <w:tc>
          <w:tcPr>
            <w:tcW w:w="686" w:type="dxa"/>
            <w:vAlign w:val="center"/>
          </w:tcPr>
          <w:p w14:paraId="71D7A24E" w14:textId="2B9DC025" w:rsidR="00CC4634" w:rsidRPr="005D729F" w:rsidRDefault="00CC4634" w:rsidP="00CC4634">
            <w:pPr>
              <w:jc w:val="center"/>
              <w:rPr>
                <w:rFonts w:eastAsia="Calibri"/>
                <w:color w:val="000000"/>
                <w:sz w:val="20"/>
                <w:szCs w:val="20"/>
                <w:lang w:eastAsia="en-US"/>
              </w:rPr>
            </w:pPr>
            <w:r w:rsidRPr="005D729F">
              <w:rPr>
                <w:rFonts w:eastAsia="Calibri"/>
                <w:color w:val="000000"/>
                <w:sz w:val="20"/>
                <w:szCs w:val="20"/>
                <w:lang w:eastAsia="en-US"/>
              </w:rPr>
              <w:t>-</w:t>
            </w:r>
          </w:p>
        </w:tc>
      </w:tr>
    </w:tbl>
    <w:p w14:paraId="3BD66EBF" w14:textId="77777777" w:rsidR="00CC4634" w:rsidRDefault="00CC4634" w:rsidP="005D729F">
      <w:pPr>
        <w:spacing w:before="120" w:after="120"/>
        <w:jc w:val="both"/>
        <w:rPr>
          <w:rFonts w:eastAsia="Calibri"/>
          <w:color w:val="000000"/>
          <w:sz w:val="28"/>
          <w:szCs w:val="28"/>
          <w:lang w:eastAsia="en-US"/>
        </w:rPr>
      </w:pPr>
    </w:p>
    <w:p w14:paraId="7D354D87" w14:textId="4244F065" w:rsidR="005D729F" w:rsidRPr="005D729F" w:rsidRDefault="005D729F" w:rsidP="005D729F">
      <w:pPr>
        <w:spacing w:before="120" w:line="360" w:lineRule="auto"/>
        <w:ind w:firstLine="709"/>
        <w:jc w:val="both"/>
        <w:rPr>
          <w:rFonts w:eastAsia="Calibri"/>
          <w:color w:val="000000"/>
          <w:sz w:val="28"/>
          <w:szCs w:val="28"/>
          <w:lang w:eastAsia="en-US"/>
        </w:rPr>
      </w:pPr>
      <w:r w:rsidRPr="005D729F">
        <w:rPr>
          <w:rFonts w:eastAsia="Calibri"/>
          <w:color w:val="000000"/>
          <w:sz w:val="28"/>
          <w:szCs w:val="28"/>
          <w:lang w:eastAsia="en-US"/>
        </w:rPr>
        <w:lastRenderedPageBreak/>
        <w:t>Как видно из таблицы 1.</w:t>
      </w:r>
      <w:r w:rsidR="00CC4634">
        <w:rPr>
          <w:rFonts w:eastAsia="Calibri"/>
          <w:color w:val="000000"/>
          <w:sz w:val="28"/>
          <w:szCs w:val="28"/>
          <w:lang w:eastAsia="en-US"/>
        </w:rPr>
        <w:t>2</w:t>
      </w:r>
      <w:r w:rsidRPr="005D729F">
        <w:rPr>
          <w:rFonts w:eastAsia="Calibri"/>
          <w:color w:val="000000"/>
          <w:sz w:val="28"/>
          <w:szCs w:val="28"/>
          <w:lang w:eastAsia="en-US"/>
        </w:rPr>
        <w:t xml:space="preserve">, наблюдается рост процентных доходов банка на более чем 52% в 2022 году и более, чем на 54,2% - в </w:t>
      </w:r>
      <w:smartTag w:uri="urn:schemas-microsoft-com:office:smarttags" w:element="metricconverter">
        <w:smartTagPr>
          <w:attr w:name="ProductID" w:val="2023 г"/>
        </w:smartTagPr>
        <w:r w:rsidRPr="005D729F">
          <w:rPr>
            <w:rFonts w:eastAsia="Calibri"/>
            <w:color w:val="000000"/>
            <w:sz w:val="28"/>
            <w:szCs w:val="28"/>
            <w:lang w:eastAsia="en-US"/>
          </w:rPr>
          <w:t>2023 г</w:t>
        </w:r>
      </w:smartTag>
      <w:r w:rsidRPr="005D729F">
        <w:rPr>
          <w:rFonts w:eastAsia="Calibri"/>
          <w:color w:val="000000"/>
          <w:sz w:val="28"/>
          <w:szCs w:val="28"/>
          <w:lang w:eastAsia="en-US"/>
        </w:rPr>
        <w:t>. Это было определено ростом средств от размещения в кредитных организациях (более 80%) и процентом от ссуд, предоставленных клиентам, не являющимся кредитными организациями (более 50%).</w:t>
      </w:r>
    </w:p>
    <w:p w14:paraId="00EC1EE5"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Однако снижение чистой прибыли банка составило в 2022 году более 80%, что выступает крайне негативным показателем. При этом в 2023 году банк снова вышел на положительный финансовый результат своей деятельности.  Судя по всему, это стало результатом того, что операционные расходы банка на 2022 год значительно выросли, а в 2023 году – сократились. </w:t>
      </w:r>
    </w:p>
    <w:p w14:paraId="7D69EB90"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2022 год был для банка, таким образом, крайне убыточным. При этом убыток вдвое превышает прибыль за 2021 год. Основным фактором, определяющим убыток в 2022 году, стали затраты на создание резервов.  Это выступает негативной тенденцией, если не учитывать риски (что подтверждается фактами) снижения объемов кредитования. В 2023 году банк выровнял показатели и вышел на чистую прибыль. </w:t>
      </w:r>
    </w:p>
    <w:bookmarkEnd w:id="2"/>
    <w:p w14:paraId="637EF23E"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Для выявления данных рисков следует обратиться к финансовым показателям банка. Рассмотрим иные финансовые показатели в динамике развития АО «Альфа-Банк» в таблице 1.5. </w:t>
      </w:r>
    </w:p>
    <w:p w14:paraId="62F4535C" w14:textId="67C42B64" w:rsidR="005D729F" w:rsidRPr="005D729F" w:rsidRDefault="005D729F" w:rsidP="005D729F">
      <w:pPr>
        <w:jc w:val="both"/>
        <w:rPr>
          <w:rFonts w:eastAsia="Calibri"/>
          <w:color w:val="000000"/>
          <w:sz w:val="28"/>
          <w:szCs w:val="28"/>
          <w:lang w:eastAsia="en-US"/>
        </w:rPr>
      </w:pPr>
      <w:r w:rsidRPr="005D729F">
        <w:rPr>
          <w:rFonts w:eastAsia="Calibri"/>
          <w:color w:val="000000"/>
          <w:sz w:val="28"/>
          <w:szCs w:val="28"/>
          <w:lang w:eastAsia="en-US"/>
        </w:rPr>
        <w:t>Таблица 1.</w:t>
      </w:r>
      <w:r w:rsidR="00D10C83">
        <w:rPr>
          <w:rFonts w:eastAsia="Calibri"/>
          <w:color w:val="000000"/>
          <w:sz w:val="28"/>
          <w:szCs w:val="28"/>
          <w:lang w:eastAsia="en-US"/>
        </w:rPr>
        <w:t>3</w:t>
      </w:r>
      <w:r w:rsidRPr="005D729F">
        <w:rPr>
          <w:rFonts w:eastAsia="Calibri"/>
          <w:color w:val="000000"/>
          <w:sz w:val="28"/>
          <w:szCs w:val="28"/>
          <w:lang w:eastAsia="en-US"/>
        </w:rPr>
        <w:t xml:space="preserve"> – Коэффициенты, характеризующие финансовое положение                  </w:t>
      </w:r>
    </w:p>
    <w:p w14:paraId="522EE443" w14:textId="77777777" w:rsidR="005D729F" w:rsidRPr="005D729F" w:rsidRDefault="005D729F" w:rsidP="005D729F">
      <w:pPr>
        <w:jc w:val="both"/>
        <w:rPr>
          <w:rFonts w:eastAsia="Calibri"/>
          <w:color w:val="000000"/>
          <w:sz w:val="28"/>
          <w:szCs w:val="28"/>
          <w:lang w:eastAsia="en-US"/>
        </w:rPr>
      </w:pPr>
      <w:r w:rsidRPr="005D729F">
        <w:rPr>
          <w:rFonts w:eastAsia="Calibri"/>
          <w:color w:val="000000"/>
          <w:sz w:val="28"/>
          <w:szCs w:val="28"/>
          <w:lang w:eastAsia="en-US"/>
        </w:rPr>
        <w:t xml:space="preserve">                        АО «Альфа-Банк» в 2021 – 2023 гг.  </w:t>
      </w:r>
    </w:p>
    <w:tbl>
      <w:tblPr>
        <w:tblW w:w="491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A0" w:firstRow="1" w:lastRow="0" w:firstColumn="1" w:lastColumn="0" w:noHBand="0" w:noVBand="0"/>
      </w:tblPr>
      <w:tblGrid>
        <w:gridCol w:w="1707"/>
        <w:gridCol w:w="2709"/>
        <w:gridCol w:w="1111"/>
        <w:gridCol w:w="874"/>
        <w:gridCol w:w="960"/>
        <w:gridCol w:w="886"/>
        <w:gridCol w:w="628"/>
        <w:gridCol w:w="615"/>
      </w:tblGrid>
      <w:tr w:rsidR="005D729F" w:rsidRPr="005D729F" w14:paraId="001E085D" w14:textId="77777777" w:rsidTr="00B83EC8">
        <w:trPr>
          <w:trHeight w:val="454"/>
          <w:jc w:val="center"/>
        </w:trPr>
        <w:tc>
          <w:tcPr>
            <w:tcW w:w="899" w:type="pct"/>
            <w:vMerge w:val="restart"/>
            <w:vAlign w:val="center"/>
          </w:tcPr>
          <w:p w14:paraId="6BF7B122" w14:textId="77777777" w:rsidR="005D729F" w:rsidRPr="005D729F" w:rsidRDefault="005D729F" w:rsidP="005D729F">
            <w:pPr>
              <w:widowControl w:val="0"/>
              <w:autoSpaceDE w:val="0"/>
              <w:autoSpaceDN w:val="0"/>
              <w:jc w:val="center"/>
              <w:rPr>
                <w:rFonts w:eastAsia="Calibri"/>
                <w:color w:val="000000"/>
                <w:sz w:val="20"/>
                <w:szCs w:val="20"/>
                <w:lang w:val="en-US" w:eastAsia="en-US"/>
              </w:rPr>
            </w:pPr>
            <w:proofErr w:type="spellStart"/>
            <w:r w:rsidRPr="005D729F">
              <w:rPr>
                <w:rFonts w:eastAsia="Calibri"/>
                <w:color w:val="000000"/>
                <w:sz w:val="20"/>
                <w:szCs w:val="20"/>
                <w:lang w:val="en-US" w:eastAsia="en-US"/>
              </w:rPr>
              <w:t>Показатели</w:t>
            </w:r>
            <w:proofErr w:type="spellEnd"/>
            <w:r w:rsidRPr="005D729F">
              <w:rPr>
                <w:rFonts w:eastAsia="Calibri"/>
                <w:color w:val="000000"/>
                <w:sz w:val="20"/>
                <w:szCs w:val="20"/>
                <w:lang w:val="en-US" w:eastAsia="en-US"/>
              </w:rPr>
              <w:t>/</w:t>
            </w:r>
          </w:p>
          <w:p w14:paraId="18535A8B" w14:textId="77777777" w:rsidR="005D729F" w:rsidRPr="005D729F" w:rsidRDefault="005D729F" w:rsidP="005D729F">
            <w:pPr>
              <w:widowControl w:val="0"/>
              <w:autoSpaceDE w:val="0"/>
              <w:autoSpaceDN w:val="0"/>
              <w:jc w:val="center"/>
              <w:rPr>
                <w:rFonts w:eastAsia="Calibri"/>
                <w:color w:val="000000"/>
                <w:sz w:val="20"/>
                <w:szCs w:val="20"/>
                <w:lang w:val="en-US" w:eastAsia="en-US"/>
              </w:rPr>
            </w:pPr>
            <w:r w:rsidRPr="005D729F">
              <w:rPr>
                <w:rFonts w:eastAsia="Calibri"/>
                <w:color w:val="000000"/>
                <w:sz w:val="20"/>
                <w:szCs w:val="20"/>
                <w:lang w:val="en-US" w:eastAsia="en-US"/>
              </w:rPr>
              <w:t xml:space="preserve"> </w:t>
            </w:r>
            <w:proofErr w:type="spellStart"/>
            <w:r w:rsidRPr="005D729F">
              <w:rPr>
                <w:rFonts w:eastAsia="Calibri"/>
                <w:color w:val="000000"/>
                <w:sz w:val="20"/>
                <w:szCs w:val="20"/>
                <w:lang w:val="en-US" w:eastAsia="en-US"/>
              </w:rPr>
              <w:t>период</w:t>
            </w:r>
            <w:proofErr w:type="spellEnd"/>
          </w:p>
        </w:tc>
        <w:tc>
          <w:tcPr>
            <w:tcW w:w="1427" w:type="pct"/>
            <w:vMerge w:val="restart"/>
            <w:vAlign w:val="center"/>
          </w:tcPr>
          <w:p w14:paraId="50C53D45"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Методика расчета </w:t>
            </w:r>
          </w:p>
        </w:tc>
        <w:tc>
          <w:tcPr>
            <w:tcW w:w="585" w:type="pct"/>
            <w:vMerge w:val="restart"/>
            <w:vAlign w:val="center"/>
          </w:tcPr>
          <w:p w14:paraId="39CC5170"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Норматив </w:t>
            </w:r>
          </w:p>
        </w:tc>
        <w:tc>
          <w:tcPr>
            <w:tcW w:w="460" w:type="pct"/>
            <w:vMerge w:val="restart"/>
            <w:vAlign w:val="center"/>
          </w:tcPr>
          <w:p w14:paraId="6E5D1990"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2021 </w:t>
            </w:r>
          </w:p>
        </w:tc>
        <w:tc>
          <w:tcPr>
            <w:tcW w:w="506" w:type="pct"/>
            <w:vMerge w:val="restart"/>
            <w:vAlign w:val="center"/>
          </w:tcPr>
          <w:p w14:paraId="04AAAE64"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val="en-US" w:eastAsia="en-US"/>
              </w:rPr>
              <w:t>202</w:t>
            </w:r>
            <w:r w:rsidRPr="005D729F">
              <w:rPr>
                <w:rFonts w:eastAsia="Calibri"/>
                <w:color w:val="000000"/>
                <w:sz w:val="20"/>
                <w:szCs w:val="20"/>
                <w:lang w:eastAsia="en-US"/>
              </w:rPr>
              <w:t>2</w:t>
            </w:r>
          </w:p>
        </w:tc>
        <w:tc>
          <w:tcPr>
            <w:tcW w:w="467" w:type="pct"/>
            <w:vMerge w:val="restart"/>
            <w:vAlign w:val="center"/>
          </w:tcPr>
          <w:p w14:paraId="22F0D639"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val="en-US" w:eastAsia="en-US"/>
              </w:rPr>
              <w:t>202</w:t>
            </w:r>
            <w:r w:rsidRPr="005D729F">
              <w:rPr>
                <w:rFonts w:eastAsia="Calibri"/>
                <w:color w:val="000000"/>
                <w:sz w:val="20"/>
                <w:szCs w:val="20"/>
                <w:lang w:eastAsia="en-US"/>
              </w:rPr>
              <w:t>3</w:t>
            </w:r>
          </w:p>
        </w:tc>
        <w:tc>
          <w:tcPr>
            <w:tcW w:w="655" w:type="pct"/>
            <w:gridSpan w:val="2"/>
            <w:tcBorders>
              <w:bottom w:val="single" w:sz="4" w:space="0" w:color="auto"/>
            </w:tcBorders>
            <w:vAlign w:val="center"/>
          </w:tcPr>
          <w:p w14:paraId="0C56FC69"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Отклонение 2023 от 2022  </w:t>
            </w:r>
          </w:p>
        </w:tc>
      </w:tr>
      <w:tr w:rsidR="005D729F" w:rsidRPr="005D729F" w14:paraId="17C37FCA" w14:textId="77777777" w:rsidTr="00B83EC8">
        <w:trPr>
          <w:trHeight w:val="454"/>
          <w:jc w:val="center"/>
        </w:trPr>
        <w:tc>
          <w:tcPr>
            <w:tcW w:w="899" w:type="pct"/>
            <w:vMerge/>
            <w:vAlign w:val="center"/>
          </w:tcPr>
          <w:p w14:paraId="1B337E73"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1427" w:type="pct"/>
            <w:vMerge/>
            <w:vAlign w:val="center"/>
          </w:tcPr>
          <w:p w14:paraId="2186D121" w14:textId="77777777" w:rsidR="005D729F" w:rsidRPr="005D729F" w:rsidRDefault="005D729F" w:rsidP="005D729F">
            <w:pPr>
              <w:widowControl w:val="0"/>
              <w:autoSpaceDE w:val="0"/>
              <w:autoSpaceDN w:val="0"/>
              <w:jc w:val="center"/>
              <w:rPr>
                <w:rFonts w:eastAsia="Calibri"/>
                <w:color w:val="000000"/>
                <w:sz w:val="20"/>
                <w:szCs w:val="20"/>
                <w:lang w:eastAsia="en-US"/>
              </w:rPr>
            </w:pPr>
          </w:p>
        </w:tc>
        <w:tc>
          <w:tcPr>
            <w:tcW w:w="585" w:type="pct"/>
            <w:vMerge/>
            <w:vAlign w:val="center"/>
          </w:tcPr>
          <w:p w14:paraId="4C11AE90"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460" w:type="pct"/>
            <w:vMerge/>
            <w:vAlign w:val="center"/>
          </w:tcPr>
          <w:p w14:paraId="5D62A067"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506" w:type="pct"/>
            <w:vMerge/>
            <w:vAlign w:val="center"/>
          </w:tcPr>
          <w:p w14:paraId="2BB0844F"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467" w:type="pct"/>
            <w:vMerge/>
            <w:vAlign w:val="center"/>
          </w:tcPr>
          <w:p w14:paraId="2DD08BF7"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331" w:type="pct"/>
            <w:tcBorders>
              <w:top w:val="single" w:sz="4" w:space="0" w:color="auto"/>
              <w:bottom w:val="single" w:sz="4" w:space="0" w:color="auto"/>
              <w:right w:val="single" w:sz="4" w:space="0" w:color="auto"/>
            </w:tcBorders>
            <w:vAlign w:val="center"/>
          </w:tcPr>
          <w:p w14:paraId="34963E39" w14:textId="77777777" w:rsidR="005D729F" w:rsidRPr="005D729F" w:rsidRDefault="005D729F" w:rsidP="005D729F">
            <w:pPr>
              <w:widowControl w:val="0"/>
              <w:autoSpaceDE w:val="0"/>
              <w:autoSpaceDN w:val="0"/>
              <w:jc w:val="center"/>
              <w:rPr>
                <w:rFonts w:eastAsia="Calibri"/>
                <w:color w:val="000000"/>
                <w:sz w:val="20"/>
                <w:szCs w:val="20"/>
                <w:lang w:eastAsia="en-US"/>
              </w:rPr>
            </w:pPr>
            <w:proofErr w:type="spellStart"/>
            <w:r w:rsidRPr="005D729F">
              <w:rPr>
                <w:rFonts w:eastAsia="Calibri"/>
                <w:color w:val="000000"/>
                <w:sz w:val="20"/>
                <w:szCs w:val="20"/>
                <w:lang w:eastAsia="en-US"/>
              </w:rPr>
              <w:t>абс</w:t>
            </w:r>
            <w:proofErr w:type="spellEnd"/>
            <w:r w:rsidRPr="005D729F">
              <w:rPr>
                <w:rFonts w:eastAsia="Calibri"/>
                <w:color w:val="000000"/>
                <w:sz w:val="20"/>
                <w:szCs w:val="20"/>
                <w:lang w:eastAsia="en-US"/>
              </w:rPr>
              <w:t>.</w:t>
            </w:r>
          </w:p>
        </w:tc>
        <w:tc>
          <w:tcPr>
            <w:tcW w:w="324" w:type="pct"/>
            <w:tcBorders>
              <w:top w:val="single" w:sz="4" w:space="0" w:color="auto"/>
              <w:left w:val="single" w:sz="4" w:space="0" w:color="auto"/>
              <w:bottom w:val="single" w:sz="4" w:space="0" w:color="auto"/>
            </w:tcBorders>
            <w:vAlign w:val="center"/>
          </w:tcPr>
          <w:p w14:paraId="02DDF318" w14:textId="77777777" w:rsidR="005D729F" w:rsidRPr="005D729F" w:rsidRDefault="005D729F" w:rsidP="005D729F">
            <w:pPr>
              <w:widowControl w:val="0"/>
              <w:autoSpaceDE w:val="0"/>
              <w:autoSpaceDN w:val="0"/>
              <w:jc w:val="center"/>
              <w:rPr>
                <w:rFonts w:eastAsia="Calibri"/>
                <w:color w:val="000000"/>
                <w:sz w:val="20"/>
                <w:szCs w:val="20"/>
                <w:lang w:eastAsia="en-US"/>
              </w:rPr>
            </w:pPr>
            <w:proofErr w:type="spellStart"/>
            <w:r w:rsidRPr="005D729F">
              <w:rPr>
                <w:rFonts w:eastAsia="Calibri"/>
                <w:color w:val="000000"/>
                <w:sz w:val="20"/>
                <w:szCs w:val="20"/>
                <w:lang w:eastAsia="en-US"/>
              </w:rPr>
              <w:t>отн</w:t>
            </w:r>
            <w:proofErr w:type="spellEnd"/>
            <w:r w:rsidRPr="005D729F">
              <w:rPr>
                <w:rFonts w:eastAsia="Calibri"/>
                <w:color w:val="000000"/>
                <w:sz w:val="20"/>
                <w:szCs w:val="20"/>
                <w:lang w:eastAsia="en-US"/>
              </w:rPr>
              <w:t>, в %</w:t>
            </w:r>
          </w:p>
        </w:tc>
      </w:tr>
      <w:tr w:rsidR="005D729F" w:rsidRPr="005D729F" w14:paraId="1A3E8F95" w14:textId="77777777" w:rsidTr="00B83EC8">
        <w:trPr>
          <w:trHeight w:val="454"/>
          <w:jc w:val="center"/>
        </w:trPr>
        <w:tc>
          <w:tcPr>
            <w:tcW w:w="899" w:type="pct"/>
            <w:vAlign w:val="center"/>
          </w:tcPr>
          <w:p w14:paraId="420A3855"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 xml:space="preserve">Коэффициент </w:t>
            </w:r>
          </w:p>
          <w:p w14:paraId="1D1FFE75"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достаточности</w:t>
            </w:r>
          </w:p>
          <w:p w14:paraId="6F717F5B"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собственных средств банка</w:t>
            </w:r>
          </w:p>
        </w:tc>
        <w:tc>
          <w:tcPr>
            <w:tcW w:w="1427" w:type="pct"/>
            <w:vAlign w:val="center"/>
          </w:tcPr>
          <w:p w14:paraId="702FB061"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КФА=Собственный капитал/Суммарные обязательства</w:t>
            </w:r>
          </w:p>
          <w:p w14:paraId="708E6FD9"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где КФА – показатель достаточности капитала, известный также как коэффициент финансовой автономии.</w:t>
            </w:r>
          </w:p>
        </w:tc>
        <w:tc>
          <w:tcPr>
            <w:tcW w:w="585" w:type="pct"/>
            <w:vAlign w:val="center"/>
          </w:tcPr>
          <w:p w14:paraId="2365C65A" w14:textId="77777777" w:rsidR="005D729F" w:rsidRPr="005D729F" w:rsidRDefault="005D729F" w:rsidP="005D729F">
            <w:pPr>
              <w:widowControl w:val="0"/>
              <w:autoSpaceDE w:val="0"/>
              <w:autoSpaceDN w:val="0"/>
              <w:jc w:val="center"/>
              <w:rPr>
                <w:rFonts w:eastAsia="Calibri"/>
                <w:color w:val="000000"/>
                <w:sz w:val="20"/>
                <w:szCs w:val="20"/>
                <w:lang w:val="en-US" w:eastAsia="en-US"/>
              </w:rPr>
            </w:pPr>
            <w:r w:rsidRPr="005D729F">
              <w:rPr>
                <w:rFonts w:eastAsia="Calibri"/>
                <w:color w:val="000000"/>
                <w:sz w:val="20"/>
                <w:szCs w:val="20"/>
                <w:lang w:eastAsia="en-US"/>
              </w:rPr>
              <w:t xml:space="preserve">Не </w:t>
            </w:r>
            <w:r w:rsidRPr="005D729F">
              <w:rPr>
                <w:rFonts w:eastAsia="Calibri"/>
                <w:color w:val="000000"/>
                <w:sz w:val="20"/>
                <w:szCs w:val="20"/>
                <w:lang w:val="en-US" w:eastAsia="en-US"/>
              </w:rPr>
              <w:t>&lt; 8</w:t>
            </w:r>
          </w:p>
        </w:tc>
        <w:tc>
          <w:tcPr>
            <w:tcW w:w="460" w:type="pct"/>
            <w:vAlign w:val="center"/>
          </w:tcPr>
          <w:p w14:paraId="1277418A"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val="en-US" w:eastAsia="en-US"/>
              </w:rPr>
              <w:t>14,</w:t>
            </w:r>
            <w:r w:rsidRPr="005D729F">
              <w:rPr>
                <w:rFonts w:eastAsia="Calibri"/>
                <w:color w:val="000000"/>
                <w:sz w:val="20"/>
                <w:szCs w:val="20"/>
                <w:lang w:eastAsia="en-US"/>
              </w:rPr>
              <w:t>01</w:t>
            </w:r>
          </w:p>
        </w:tc>
        <w:tc>
          <w:tcPr>
            <w:tcW w:w="506" w:type="pct"/>
            <w:vAlign w:val="center"/>
          </w:tcPr>
          <w:p w14:paraId="041A129E" w14:textId="77777777" w:rsidR="005D729F" w:rsidRPr="005D729F" w:rsidRDefault="005D729F" w:rsidP="005D729F">
            <w:pPr>
              <w:widowControl w:val="0"/>
              <w:autoSpaceDE w:val="0"/>
              <w:autoSpaceDN w:val="0"/>
              <w:jc w:val="center"/>
              <w:rPr>
                <w:rFonts w:eastAsia="Calibri"/>
                <w:color w:val="000000"/>
                <w:sz w:val="20"/>
                <w:szCs w:val="20"/>
                <w:lang w:val="en-US" w:eastAsia="en-US"/>
              </w:rPr>
            </w:pPr>
            <w:r w:rsidRPr="005D729F">
              <w:rPr>
                <w:rFonts w:eastAsia="Calibri"/>
                <w:color w:val="000000"/>
                <w:sz w:val="20"/>
                <w:szCs w:val="20"/>
                <w:lang w:val="en-US" w:eastAsia="en-US"/>
              </w:rPr>
              <w:t>14,07</w:t>
            </w:r>
          </w:p>
        </w:tc>
        <w:tc>
          <w:tcPr>
            <w:tcW w:w="467" w:type="pct"/>
            <w:vAlign w:val="center"/>
          </w:tcPr>
          <w:p w14:paraId="7748F5D0"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14,59</w:t>
            </w:r>
          </w:p>
        </w:tc>
        <w:tc>
          <w:tcPr>
            <w:tcW w:w="331" w:type="pct"/>
            <w:tcBorders>
              <w:top w:val="single" w:sz="4" w:space="0" w:color="auto"/>
              <w:bottom w:val="single" w:sz="4" w:space="0" w:color="auto"/>
              <w:right w:val="single" w:sz="4" w:space="0" w:color="auto"/>
            </w:tcBorders>
            <w:vAlign w:val="center"/>
          </w:tcPr>
          <w:p w14:paraId="450B122A"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val="en-US" w:eastAsia="en-US"/>
              </w:rPr>
              <w:t>0,52</w:t>
            </w:r>
          </w:p>
        </w:tc>
        <w:tc>
          <w:tcPr>
            <w:tcW w:w="324" w:type="pct"/>
            <w:tcBorders>
              <w:top w:val="single" w:sz="4" w:space="0" w:color="auto"/>
              <w:left w:val="single" w:sz="4" w:space="0" w:color="auto"/>
              <w:bottom w:val="single" w:sz="4" w:space="0" w:color="auto"/>
            </w:tcBorders>
            <w:vAlign w:val="center"/>
          </w:tcPr>
          <w:p w14:paraId="54C4BAC9"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val="en-US" w:eastAsia="en-US"/>
              </w:rPr>
              <w:t>3,7</w:t>
            </w:r>
          </w:p>
        </w:tc>
      </w:tr>
      <w:tr w:rsidR="005D729F" w:rsidRPr="005D729F" w14:paraId="0CA61434" w14:textId="77777777" w:rsidTr="00B83EC8">
        <w:trPr>
          <w:trHeight w:val="817"/>
          <w:jc w:val="center"/>
        </w:trPr>
        <w:tc>
          <w:tcPr>
            <w:tcW w:w="899" w:type="pct"/>
            <w:vAlign w:val="center"/>
          </w:tcPr>
          <w:p w14:paraId="6D170372" w14:textId="77777777" w:rsidR="005D729F" w:rsidRPr="005D729F" w:rsidRDefault="005D729F" w:rsidP="005D729F">
            <w:pPr>
              <w:widowControl w:val="0"/>
              <w:autoSpaceDE w:val="0"/>
              <w:autoSpaceDN w:val="0"/>
              <w:jc w:val="both"/>
              <w:rPr>
                <w:rFonts w:eastAsia="Calibri"/>
                <w:color w:val="000000"/>
                <w:sz w:val="20"/>
                <w:szCs w:val="20"/>
                <w:lang w:val="en-US" w:eastAsia="en-US"/>
              </w:rPr>
            </w:pPr>
            <w:proofErr w:type="spellStart"/>
            <w:r w:rsidRPr="005D729F">
              <w:rPr>
                <w:rFonts w:eastAsia="Calibri"/>
                <w:color w:val="000000"/>
                <w:sz w:val="20"/>
                <w:szCs w:val="20"/>
                <w:lang w:val="en-US" w:eastAsia="en-US"/>
              </w:rPr>
              <w:t>Коэффициент</w:t>
            </w:r>
            <w:proofErr w:type="spellEnd"/>
            <w:r w:rsidRPr="005D729F">
              <w:rPr>
                <w:rFonts w:eastAsia="Calibri"/>
                <w:color w:val="000000"/>
                <w:sz w:val="20"/>
                <w:szCs w:val="20"/>
                <w:lang w:val="en-US" w:eastAsia="en-US"/>
              </w:rPr>
              <w:t xml:space="preserve"> </w:t>
            </w:r>
            <w:proofErr w:type="spellStart"/>
            <w:r w:rsidRPr="005D729F">
              <w:rPr>
                <w:rFonts w:eastAsia="Calibri"/>
                <w:color w:val="000000"/>
                <w:sz w:val="20"/>
                <w:szCs w:val="20"/>
                <w:lang w:val="en-US" w:eastAsia="en-US"/>
              </w:rPr>
              <w:t>роста</w:t>
            </w:r>
            <w:proofErr w:type="spellEnd"/>
            <w:r w:rsidRPr="005D729F">
              <w:rPr>
                <w:rFonts w:eastAsia="Calibri"/>
                <w:color w:val="000000"/>
                <w:sz w:val="20"/>
                <w:szCs w:val="20"/>
                <w:lang w:val="en-US" w:eastAsia="en-US"/>
              </w:rPr>
              <w:t xml:space="preserve"> </w:t>
            </w:r>
            <w:proofErr w:type="spellStart"/>
            <w:r w:rsidRPr="005D729F">
              <w:rPr>
                <w:rFonts w:eastAsia="Calibri"/>
                <w:color w:val="000000"/>
                <w:sz w:val="20"/>
                <w:szCs w:val="20"/>
                <w:lang w:val="en-US" w:eastAsia="en-US"/>
              </w:rPr>
              <w:t>капитала</w:t>
            </w:r>
            <w:proofErr w:type="spellEnd"/>
          </w:p>
        </w:tc>
        <w:tc>
          <w:tcPr>
            <w:tcW w:w="1427" w:type="pct"/>
            <w:vAlign w:val="center"/>
          </w:tcPr>
          <w:p w14:paraId="26EC0EB9"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Отношению капитала банка к его риску</w:t>
            </w:r>
          </w:p>
        </w:tc>
        <w:tc>
          <w:tcPr>
            <w:tcW w:w="585" w:type="pct"/>
            <w:vAlign w:val="center"/>
          </w:tcPr>
          <w:p w14:paraId="48FD8EAC"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Не </w:t>
            </w:r>
            <w:r w:rsidRPr="005D729F">
              <w:rPr>
                <w:rFonts w:eastAsia="Calibri"/>
                <w:color w:val="000000"/>
                <w:sz w:val="20"/>
                <w:szCs w:val="20"/>
                <w:lang w:val="en-US" w:eastAsia="en-US"/>
              </w:rPr>
              <w:t>&lt; 50</w:t>
            </w:r>
          </w:p>
        </w:tc>
        <w:tc>
          <w:tcPr>
            <w:tcW w:w="460" w:type="pct"/>
            <w:vAlign w:val="center"/>
          </w:tcPr>
          <w:p w14:paraId="4257308E"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74</w:t>
            </w:r>
          </w:p>
        </w:tc>
        <w:tc>
          <w:tcPr>
            <w:tcW w:w="506" w:type="pct"/>
            <w:vAlign w:val="center"/>
          </w:tcPr>
          <w:p w14:paraId="25EE89C9"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76</w:t>
            </w:r>
          </w:p>
        </w:tc>
        <w:tc>
          <w:tcPr>
            <w:tcW w:w="467" w:type="pct"/>
            <w:vAlign w:val="center"/>
          </w:tcPr>
          <w:p w14:paraId="4B28A176"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74</w:t>
            </w:r>
          </w:p>
        </w:tc>
        <w:tc>
          <w:tcPr>
            <w:tcW w:w="331" w:type="pct"/>
            <w:tcBorders>
              <w:right w:val="single" w:sz="4" w:space="0" w:color="auto"/>
            </w:tcBorders>
            <w:vAlign w:val="center"/>
          </w:tcPr>
          <w:p w14:paraId="70C7039B"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val="en-US" w:eastAsia="en-US"/>
              </w:rPr>
              <w:t>-2</w:t>
            </w:r>
          </w:p>
        </w:tc>
        <w:tc>
          <w:tcPr>
            <w:tcW w:w="324" w:type="pct"/>
            <w:tcBorders>
              <w:left w:val="single" w:sz="4" w:space="0" w:color="auto"/>
            </w:tcBorders>
            <w:vAlign w:val="center"/>
          </w:tcPr>
          <w:p w14:paraId="1DE2460D"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val="en-US" w:eastAsia="en-US"/>
              </w:rPr>
              <w:t>-2,6</w:t>
            </w:r>
          </w:p>
        </w:tc>
      </w:tr>
      <w:tr w:rsidR="005D729F" w:rsidRPr="005D729F" w14:paraId="2535FCC2" w14:textId="77777777" w:rsidTr="00B83EC8">
        <w:trPr>
          <w:trHeight w:val="857"/>
          <w:jc w:val="center"/>
        </w:trPr>
        <w:tc>
          <w:tcPr>
            <w:tcW w:w="899" w:type="pct"/>
            <w:vAlign w:val="center"/>
          </w:tcPr>
          <w:p w14:paraId="5A61BA33" w14:textId="77777777" w:rsidR="005D729F" w:rsidRPr="005D729F" w:rsidRDefault="005D729F" w:rsidP="005D729F">
            <w:pPr>
              <w:widowControl w:val="0"/>
              <w:autoSpaceDE w:val="0"/>
              <w:autoSpaceDN w:val="0"/>
              <w:jc w:val="both"/>
              <w:rPr>
                <w:rFonts w:eastAsia="Calibri"/>
                <w:color w:val="000000"/>
                <w:sz w:val="20"/>
                <w:szCs w:val="20"/>
                <w:lang w:val="en-US" w:eastAsia="en-US"/>
              </w:rPr>
            </w:pPr>
            <w:proofErr w:type="spellStart"/>
            <w:r w:rsidRPr="005D729F">
              <w:rPr>
                <w:rFonts w:eastAsia="Calibri"/>
                <w:color w:val="000000"/>
                <w:sz w:val="20"/>
                <w:szCs w:val="20"/>
                <w:lang w:val="en-US" w:eastAsia="en-US"/>
              </w:rPr>
              <w:t>Коэффициент</w:t>
            </w:r>
            <w:proofErr w:type="spellEnd"/>
            <w:r w:rsidRPr="005D729F">
              <w:rPr>
                <w:rFonts w:eastAsia="Calibri"/>
                <w:color w:val="000000"/>
                <w:sz w:val="20"/>
                <w:szCs w:val="20"/>
                <w:lang w:val="en-US" w:eastAsia="en-US"/>
              </w:rPr>
              <w:t xml:space="preserve"> </w:t>
            </w:r>
            <w:proofErr w:type="spellStart"/>
            <w:r w:rsidRPr="005D729F">
              <w:rPr>
                <w:rFonts w:eastAsia="Calibri"/>
                <w:color w:val="000000"/>
                <w:sz w:val="20"/>
                <w:szCs w:val="20"/>
                <w:lang w:val="en-US" w:eastAsia="en-US"/>
              </w:rPr>
              <w:t>достаточности</w:t>
            </w:r>
            <w:proofErr w:type="spellEnd"/>
          </w:p>
          <w:p w14:paraId="72310FEA" w14:textId="77777777" w:rsidR="005D729F" w:rsidRPr="005D729F" w:rsidRDefault="005D729F" w:rsidP="005D729F">
            <w:pPr>
              <w:widowControl w:val="0"/>
              <w:autoSpaceDE w:val="0"/>
              <w:autoSpaceDN w:val="0"/>
              <w:jc w:val="both"/>
              <w:rPr>
                <w:rFonts w:eastAsia="Calibri"/>
                <w:color w:val="000000"/>
                <w:sz w:val="20"/>
                <w:szCs w:val="20"/>
                <w:lang w:val="en-US" w:eastAsia="en-US"/>
              </w:rPr>
            </w:pPr>
            <w:proofErr w:type="spellStart"/>
            <w:r w:rsidRPr="005D729F">
              <w:rPr>
                <w:rFonts w:eastAsia="Calibri"/>
                <w:color w:val="000000"/>
                <w:sz w:val="20"/>
                <w:szCs w:val="20"/>
                <w:lang w:val="en-US" w:eastAsia="en-US"/>
              </w:rPr>
              <w:t>капитала</w:t>
            </w:r>
            <w:proofErr w:type="spellEnd"/>
            <w:r w:rsidRPr="005D729F">
              <w:rPr>
                <w:rFonts w:eastAsia="Calibri"/>
                <w:color w:val="000000"/>
                <w:sz w:val="20"/>
                <w:szCs w:val="20"/>
                <w:lang w:val="en-US" w:eastAsia="en-US"/>
              </w:rPr>
              <w:t>, %</w:t>
            </w:r>
          </w:p>
        </w:tc>
        <w:tc>
          <w:tcPr>
            <w:tcW w:w="1427" w:type="pct"/>
            <w:vAlign w:val="center"/>
          </w:tcPr>
          <w:p w14:paraId="5F3C7898"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Отношение капитала банка к его риску</w:t>
            </w:r>
          </w:p>
        </w:tc>
        <w:tc>
          <w:tcPr>
            <w:tcW w:w="585" w:type="pct"/>
            <w:vAlign w:val="center"/>
          </w:tcPr>
          <w:p w14:paraId="2DEB5156"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10 %</w:t>
            </w:r>
          </w:p>
        </w:tc>
        <w:tc>
          <w:tcPr>
            <w:tcW w:w="460" w:type="pct"/>
            <w:vAlign w:val="center"/>
          </w:tcPr>
          <w:p w14:paraId="379C1C38"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14,5</w:t>
            </w:r>
          </w:p>
        </w:tc>
        <w:tc>
          <w:tcPr>
            <w:tcW w:w="506" w:type="pct"/>
            <w:vAlign w:val="center"/>
          </w:tcPr>
          <w:p w14:paraId="7AF37139"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14,7</w:t>
            </w:r>
          </w:p>
        </w:tc>
        <w:tc>
          <w:tcPr>
            <w:tcW w:w="467" w:type="pct"/>
            <w:vAlign w:val="center"/>
          </w:tcPr>
          <w:p w14:paraId="684B9296"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14,2</w:t>
            </w:r>
          </w:p>
        </w:tc>
        <w:tc>
          <w:tcPr>
            <w:tcW w:w="331" w:type="pct"/>
            <w:tcBorders>
              <w:right w:val="single" w:sz="4" w:space="0" w:color="auto"/>
            </w:tcBorders>
            <w:vAlign w:val="center"/>
          </w:tcPr>
          <w:p w14:paraId="36438080"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val="en-US" w:eastAsia="en-US"/>
              </w:rPr>
              <w:t>-0,5</w:t>
            </w:r>
          </w:p>
        </w:tc>
        <w:tc>
          <w:tcPr>
            <w:tcW w:w="324" w:type="pct"/>
            <w:tcBorders>
              <w:left w:val="single" w:sz="4" w:space="0" w:color="auto"/>
            </w:tcBorders>
            <w:vAlign w:val="center"/>
          </w:tcPr>
          <w:p w14:paraId="56A57994"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val="en-US" w:eastAsia="en-US"/>
              </w:rPr>
              <w:t>-3,4</w:t>
            </w:r>
          </w:p>
        </w:tc>
      </w:tr>
    </w:tbl>
    <w:p w14:paraId="232E57B9" w14:textId="7A1A28DF" w:rsidR="005D729F" w:rsidRPr="005D729F" w:rsidRDefault="005D729F" w:rsidP="005D729F">
      <w:pPr>
        <w:spacing w:before="120" w:line="360" w:lineRule="auto"/>
        <w:ind w:firstLine="709"/>
        <w:jc w:val="both"/>
        <w:rPr>
          <w:rFonts w:eastAsia="Calibri"/>
          <w:color w:val="000000"/>
          <w:sz w:val="28"/>
          <w:szCs w:val="28"/>
          <w:lang w:eastAsia="en-US"/>
        </w:rPr>
      </w:pPr>
      <w:r w:rsidRPr="005D729F">
        <w:rPr>
          <w:rFonts w:eastAsia="Calibri"/>
          <w:color w:val="000000"/>
          <w:sz w:val="28"/>
          <w:szCs w:val="28"/>
          <w:lang w:eastAsia="en-US"/>
        </w:rPr>
        <w:lastRenderedPageBreak/>
        <w:t>Как видно из таблицы 1.</w:t>
      </w:r>
      <w:r w:rsidR="00D10C83">
        <w:rPr>
          <w:rFonts w:eastAsia="Calibri"/>
          <w:color w:val="000000"/>
          <w:sz w:val="28"/>
          <w:szCs w:val="28"/>
          <w:lang w:eastAsia="en-US"/>
        </w:rPr>
        <w:t>3</w:t>
      </w:r>
      <w:r w:rsidRPr="005D729F">
        <w:rPr>
          <w:rFonts w:eastAsia="Calibri"/>
          <w:color w:val="000000"/>
          <w:sz w:val="28"/>
          <w:szCs w:val="28"/>
          <w:lang w:eastAsia="en-US"/>
        </w:rPr>
        <w:t>, большинство показателей финансового положения находятся в норме, однако наблюдается некоторое снижение.  В частности, на 2,6 % снизился коэффициент роста капитала. Это индикатор устойчивости банка, отражающий его способность покрыть финансовые потери за счет собственных средств в случае неплатежеспособности заемщика</w:t>
      </w:r>
      <w:r>
        <w:rPr>
          <w:rFonts w:eastAsia="Calibri"/>
          <w:color w:val="000000"/>
          <w:sz w:val="28"/>
          <w:szCs w:val="28"/>
          <w:lang w:eastAsia="en-US"/>
        </w:rPr>
        <w:t>.</w:t>
      </w:r>
    </w:p>
    <w:p w14:paraId="43E8255B"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Также на 3,4% понизился коэффициент достаточности капитала.  Это основной норматив, который обязаны соблюдать все кредитные организации. Это один из наиболее важных показателей надежности банка. Он характеризует способность банка нивелировать возможные финансовые потери за свой счет, не в ущерб своим клиентам.  </w:t>
      </w:r>
    </w:p>
    <w:p w14:paraId="3BEDE309" w14:textId="6627483E"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В таблице 1.</w:t>
      </w:r>
      <w:r w:rsidR="00D10C83">
        <w:rPr>
          <w:rFonts w:eastAsia="Calibri"/>
          <w:color w:val="000000"/>
          <w:sz w:val="28"/>
          <w:szCs w:val="28"/>
          <w:lang w:eastAsia="en-US"/>
        </w:rPr>
        <w:t>4</w:t>
      </w:r>
      <w:r w:rsidRPr="005D729F">
        <w:rPr>
          <w:rFonts w:eastAsia="Calibri"/>
          <w:color w:val="000000"/>
          <w:sz w:val="28"/>
          <w:szCs w:val="28"/>
          <w:lang w:eastAsia="en-US"/>
        </w:rPr>
        <w:t xml:space="preserve"> приведем расчет иных нормативов АО «Альфа-Банк» в 2021-2023 гг.  </w:t>
      </w:r>
    </w:p>
    <w:p w14:paraId="302B94FB" w14:textId="68789876" w:rsidR="005D729F" w:rsidRPr="005D729F" w:rsidRDefault="005D729F" w:rsidP="005D729F">
      <w:pPr>
        <w:spacing w:before="240" w:after="120"/>
        <w:jc w:val="both"/>
        <w:rPr>
          <w:rFonts w:eastAsia="Calibri"/>
          <w:color w:val="000000"/>
          <w:sz w:val="28"/>
          <w:szCs w:val="28"/>
          <w:lang w:eastAsia="en-US"/>
        </w:rPr>
      </w:pPr>
      <w:r w:rsidRPr="005D729F">
        <w:rPr>
          <w:rFonts w:eastAsia="Calibri"/>
          <w:color w:val="000000"/>
          <w:sz w:val="28"/>
          <w:szCs w:val="28"/>
          <w:lang w:eastAsia="en-US"/>
        </w:rPr>
        <w:t xml:space="preserve">Таблица </w:t>
      </w:r>
      <w:r w:rsidR="00D10C83">
        <w:rPr>
          <w:rFonts w:eastAsia="Calibri"/>
          <w:color w:val="000000"/>
          <w:sz w:val="28"/>
          <w:szCs w:val="28"/>
          <w:lang w:eastAsia="en-US"/>
        </w:rPr>
        <w:t>1.4</w:t>
      </w:r>
      <w:r w:rsidRPr="005D729F">
        <w:rPr>
          <w:rFonts w:eastAsia="Calibri"/>
          <w:color w:val="000000"/>
          <w:sz w:val="28"/>
          <w:szCs w:val="28"/>
          <w:lang w:eastAsia="en-US"/>
        </w:rPr>
        <w:t xml:space="preserve"> – Выполнение нормативов АО «Альфа-Банк» 2021-2023 гг.</w:t>
      </w:r>
    </w:p>
    <w:tbl>
      <w:tblPr>
        <w:tblW w:w="492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firstRow="1" w:lastRow="0" w:firstColumn="1" w:lastColumn="0" w:noHBand="0" w:noVBand="0"/>
      </w:tblPr>
      <w:tblGrid>
        <w:gridCol w:w="1785"/>
        <w:gridCol w:w="2900"/>
        <w:gridCol w:w="878"/>
        <w:gridCol w:w="618"/>
        <w:gridCol w:w="671"/>
        <w:gridCol w:w="680"/>
        <w:gridCol w:w="1021"/>
        <w:gridCol w:w="950"/>
      </w:tblGrid>
      <w:tr w:rsidR="005D729F" w:rsidRPr="005D729F" w14:paraId="21BF4964" w14:textId="77777777" w:rsidTr="00D10C83">
        <w:trPr>
          <w:trHeight w:val="20"/>
          <w:jc w:val="center"/>
        </w:trPr>
        <w:tc>
          <w:tcPr>
            <w:tcW w:w="939" w:type="pct"/>
            <w:vMerge w:val="restart"/>
            <w:vAlign w:val="center"/>
          </w:tcPr>
          <w:p w14:paraId="12FF2A51" w14:textId="77777777" w:rsidR="005D729F" w:rsidRPr="005D729F" w:rsidRDefault="005D729F" w:rsidP="005D729F">
            <w:pPr>
              <w:widowControl w:val="0"/>
              <w:autoSpaceDE w:val="0"/>
              <w:autoSpaceDN w:val="0"/>
              <w:jc w:val="center"/>
              <w:rPr>
                <w:rFonts w:eastAsia="Calibri"/>
                <w:color w:val="000000"/>
                <w:sz w:val="20"/>
                <w:szCs w:val="20"/>
                <w:lang w:val="en-US" w:eastAsia="en-US"/>
              </w:rPr>
            </w:pPr>
            <w:proofErr w:type="spellStart"/>
            <w:r w:rsidRPr="005D729F">
              <w:rPr>
                <w:rFonts w:eastAsia="Calibri"/>
                <w:color w:val="000000"/>
                <w:sz w:val="20"/>
                <w:szCs w:val="20"/>
                <w:lang w:val="en-US" w:eastAsia="en-US"/>
              </w:rPr>
              <w:t>Наименование</w:t>
            </w:r>
            <w:proofErr w:type="spellEnd"/>
            <w:r w:rsidRPr="005D729F">
              <w:rPr>
                <w:rFonts w:eastAsia="Calibri"/>
                <w:color w:val="000000"/>
                <w:sz w:val="20"/>
                <w:szCs w:val="20"/>
                <w:lang w:val="en-US" w:eastAsia="en-US"/>
              </w:rPr>
              <w:t xml:space="preserve"> </w:t>
            </w:r>
            <w:proofErr w:type="spellStart"/>
            <w:r w:rsidRPr="005D729F">
              <w:rPr>
                <w:rFonts w:eastAsia="Calibri"/>
                <w:color w:val="000000"/>
                <w:sz w:val="20"/>
                <w:szCs w:val="20"/>
                <w:lang w:val="en-US" w:eastAsia="en-US"/>
              </w:rPr>
              <w:t>норматива</w:t>
            </w:r>
            <w:proofErr w:type="spellEnd"/>
          </w:p>
        </w:tc>
        <w:tc>
          <w:tcPr>
            <w:tcW w:w="1526" w:type="pct"/>
            <w:vMerge w:val="restart"/>
            <w:vAlign w:val="center"/>
          </w:tcPr>
          <w:p w14:paraId="620723B0"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Методика расчета </w:t>
            </w:r>
          </w:p>
        </w:tc>
        <w:tc>
          <w:tcPr>
            <w:tcW w:w="462" w:type="pct"/>
            <w:vMerge w:val="restart"/>
            <w:vAlign w:val="center"/>
          </w:tcPr>
          <w:p w14:paraId="46F114F7" w14:textId="77777777" w:rsidR="005D729F" w:rsidRPr="005D729F" w:rsidRDefault="005D729F" w:rsidP="005D729F">
            <w:pPr>
              <w:widowControl w:val="0"/>
              <w:autoSpaceDE w:val="0"/>
              <w:autoSpaceDN w:val="0"/>
              <w:jc w:val="both"/>
              <w:rPr>
                <w:rFonts w:eastAsia="Calibri"/>
                <w:color w:val="000000"/>
                <w:sz w:val="20"/>
                <w:szCs w:val="20"/>
                <w:lang w:val="en-US" w:eastAsia="en-US"/>
              </w:rPr>
            </w:pPr>
            <w:r w:rsidRPr="005D729F">
              <w:rPr>
                <w:rFonts w:eastAsia="Calibri"/>
                <w:color w:val="000000"/>
                <w:sz w:val="20"/>
                <w:szCs w:val="20"/>
                <w:lang w:eastAsia="en-US"/>
              </w:rPr>
              <w:t>Норматив</w:t>
            </w:r>
          </w:p>
        </w:tc>
        <w:tc>
          <w:tcPr>
            <w:tcW w:w="1036" w:type="pct"/>
            <w:gridSpan w:val="3"/>
            <w:tcBorders>
              <w:left w:val="single" w:sz="4" w:space="0" w:color="auto"/>
            </w:tcBorders>
            <w:vAlign w:val="center"/>
          </w:tcPr>
          <w:p w14:paraId="29BE3581" w14:textId="77777777" w:rsidR="005D729F" w:rsidRPr="005D729F" w:rsidRDefault="005D729F" w:rsidP="005D729F">
            <w:pPr>
              <w:widowControl w:val="0"/>
              <w:autoSpaceDE w:val="0"/>
              <w:autoSpaceDN w:val="0"/>
              <w:jc w:val="center"/>
              <w:rPr>
                <w:rFonts w:eastAsia="Calibri"/>
                <w:color w:val="000000"/>
                <w:sz w:val="20"/>
                <w:szCs w:val="20"/>
                <w:lang w:val="en-US" w:eastAsia="en-US"/>
              </w:rPr>
            </w:pPr>
            <w:proofErr w:type="spellStart"/>
            <w:r w:rsidRPr="005D729F">
              <w:rPr>
                <w:rFonts w:eastAsia="Calibri"/>
                <w:color w:val="000000"/>
                <w:sz w:val="20"/>
                <w:szCs w:val="20"/>
                <w:lang w:val="en-US" w:eastAsia="en-US"/>
              </w:rPr>
              <w:t>Фактическое</w:t>
            </w:r>
            <w:proofErr w:type="spellEnd"/>
          </w:p>
          <w:p w14:paraId="01174D50" w14:textId="77777777" w:rsidR="005D729F" w:rsidRPr="005D729F" w:rsidRDefault="005D729F" w:rsidP="005D729F">
            <w:pPr>
              <w:widowControl w:val="0"/>
              <w:autoSpaceDE w:val="0"/>
              <w:autoSpaceDN w:val="0"/>
              <w:jc w:val="center"/>
              <w:rPr>
                <w:rFonts w:eastAsia="Calibri"/>
                <w:color w:val="000000"/>
                <w:sz w:val="20"/>
                <w:szCs w:val="20"/>
                <w:lang w:val="en-US" w:eastAsia="en-US"/>
              </w:rPr>
            </w:pPr>
            <w:r w:rsidRPr="005D729F">
              <w:rPr>
                <w:rFonts w:eastAsia="Calibri"/>
                <w:color w:val="000000"/>
                <w:sz w:val="20"/>
                <w:szCs w:val="20"/>
                <w:lang w:val="en-US" w:eastAsia="en-US"/>
              </w:rPr>
              <w:t xml:space="preserve"> </w:t>
            </w:r>
            <w:proofErr w:type="spellStart"/>
            <w:r w:rsidRPr="005D729F">
              <w:rPr>
                <w:rFonts w:eastAsia="Calibri"/>
                <w:color w:val="000000"/>
                <w:sz w:val="20"/>
                <w:szCs w:val="20"/>
                <w:lang w:val="en-US" w:eastAsia="en-US"/>
              </w:rPr>
              <w:t>значение</w:t>
            </w:r>
            <w:proofErr w:type="spellEnd"/>
          </w:p>
        </w:tc>
        <w:tc>
          <w:tcPr>
            <w:tcW w:w="1037" w:type="pct"/>
            <w:gridSpan w:val="2"/>
            <w:tcBorders>
              <w:left w:val="single" w:sz="4" w:space="0" w:color="auto"/>
            </w:tcBorders>
            <w:vAlign w:val="center"/>
          </w:tcPr>
          <w:p w14:paraId="75FDB96C"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Отклонения</w:t>
            </w:r>
          </w:p>
        </w:tc>
      </w:tr>
      <w:tr w:rsidR="005D729F" w:rsidRPr="005D729F" w14:paraId="77F3C49A" w14:textId="77777777" w:rsidTr="00B83EC8">
        <w:trPr>
          <w:trHeight w:val="20"/>
          <w:jc w:val="center"/>
        </w:trPr>
        <w:tc>
          <w:tcPr>
            <w:tcW w:w="939" w:type="pct"/>
            <w:vMerge/>
            <w:tcBorders>
              <w:bottom w:val="single" w:sz="6" w:space="0" w:color="000000"/>
            </w:tcBorders>
            <w:vAlign w:val="center"/>
          </w:tcPr>
          <w:p w14:paraId="426F4896"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1526" w:type="pct"/>
            <w:vMerge/>
            <w:tcBorders>
              <w:bottom w:val="single" w:sz="6" w:space="0" w:color="000000"/>
            </w:tcBorders>
            <w:vAlign w:val="center"/>
          </w:tcPr>
          <w:p w14:paraId="4240725E"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462" w:type="pct"/>
            <w:vMerge/>
            <w:tcBorders>
              <w:bottom w:val="single" w:sz="6" w:space="0" w:color="000000"/>
            </w:tcBorders>
            <w:vAlign w:val="center"/>
          </w:tcPr>
          <w:p w14:paraId="3D704BC0" w14:textId="77777777" w:rsidR="005D729F" w:rsidRPr="005D729F" w:rsidRDefault="005D729F" w:rsidP="005D729F">
            <w:pPr>
              <w:widowControl w:val="0"/>
              <w:autoSpaceDE w:val="0"/>
              <w:autoSpaceDN w:val="0"/>
              <w:jc w:val="center"/>
              <w:rPr>
                <w:rFonts w:eastAsia="Calibri"/>
                <w:color w:val="000000"/>
                <w:sz w:val="20"/>
                <w:szCs w:val="20"/>
                <w:lang w:val="en-US" w:eastAsia="en-US"/>
              </w:rPr>
            </w:pPr>
          </w:p>
        </w:tc>
        <w:tc>
          <w:tcPr>
            <w:tcW w:w="325" w:type="pct"/>
            <w:tcBorders>
              <w:top w:val="nil"/>
              <w:bottom w:val="single" w:sz="6" w:space="0" w:color="000000"/>
              <w:right w:val="single" w:sz="4" w:space="0" w:color="auto"/>
            </w:tcBorders>
            <w:vAlign w:val="center"/>
          </w:tcPr>
          <w:p w14:paraId="1816E928"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2021 </w:t>
            </w:r>
          </w:p>
        </w:tc>
        <w:tc>
          <w:tcPr>
            <w:tcW w:w="353" w:type="pct"/>
            <w:tcBorders>
              <w:top w:val="nil"/>
              <w:left w:val="single" w:sz="4" w:space="0" w:color="auto"/>
              <w:bottom w:val="single" w:sz="6" w:space="0" w:color="000000"/>
            </w:tcBorders>
            <w:vAlign w:val="center"/>
          </w:tcPr>
          <w:p w14:paraId="41FB664B"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val="en-US" w:eastAsia="en-US"/>
              </w:rPr>
              <w:t>202</w:t>
            </w:r>
            <w:r w:rsidRPr="005D729F">
              <w:rPr>
                <w:rFonts w:eastAsia="Calibri"/>
                <w:color w:val="000000"/>
                <w:sz w:val="20"/>
                <w:szCs w:val="20"/>
                <w:lang w:eastAsia="en-US"/>
              </w:rPr>
              <w:t>2</w:t>
            </w:r>
          </w:p>
        </w:tc>
        <w:tc>
          <w:tcPr>
            <w:tcW w:w="358" w:type="pct"/>
            <w:tcBorders>
              <w:top w:val="nil"/>
              <w:bottom w:val="single" w:sz="6" w:space="0" w:color="000000"/>
            </w:tcBorders>
            <w:vAlign w:val="center"/>
          </w:tcPr>
          <w:p w14:paraId="64901F04"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val="en-US" w:eastAsia="en-US"/>
              </w:rPr>
              <w:t>202</w:t>
            </w:r>
            <w:r w:rsidRPr="005D729F">
              <w:rPr>
                <w:rFonts w:eastAsia="Calibri"/>
                <w:color w:val="000000"/>
                <w:sz w:val="20"/>
                <w:szCs w:val="20"/>
                <w:lang w:eastAsia="en-US"/>
              </w:rPr>
              <w:t>3</w:t>
            </w:r>
          </w:p>
        </w:tc>
        <w:tc>
          <w:tcPr>
            <w:tcW w:w="537" w:type="pct"/>
            <w:tcBorders>
              <w:top w:val="single" w:sz="4" w:space="0" w:color="auto"/>
              <w:bottom w:val="single" w:sz="4" w:space="0" w:color="auto"/>
              <w:right w:val="single" w:sz="4" w:space="0" w:color="auto"/>
            </w:tcBorders>
            <w:vAlign w:val="center"/>
          </w:tcPr>
          <w:p w14:paraId="0802B925" w14:textId="77777777" w:rsidR="005D729F" w:rsidRPr="005D729F" w:rsidRDefault="005D729F" w:rsidP="005D729F">
            <w:pPr>
              <w:widowControl w:val="0"/>
              <w:autoSpaceDE w:val="0"/>
              <w:autoSpaceDN w:val="0"/>
              <w:jc w:val="center"/>
              <w:rPr>
                <w:rFonts w:eastAsia="Calibri"/>
                <w:color w:val="000000"/>
                <w:sz w:val="20"/>
                <w:szCs w:val="20"/>
                <w:lang w:eastAsia="en-US"/>
              </w:rPr>
            </w:pPr>
            <w:proofErr w:type="spellStart"/>
            <w:r w:rsidRPr="005D729F">
              <w:rPr>
                <w:rFonts w:eastAsia="Calibri"/>
                <w:color w:val="000000"/>
                <w:sz w:val="20"/>
                <w:szCs w:val="20"/>
                <w:lang w:eastAsia="en-US"/>
              </w:rPr>
              <w:t>абс</w:t>
            </w:r>
            <w:proofErr w:type="spellEnd"/>
            <w:r w:rsidRPr="005D729F">
              <w:rPr>
                <w:rFonts w:eastAsia="Calibri"/>
                <w:color w:val="000000"/>
                <w:sz w:val="20"/>
                <w:szCs w:val="20"/>
                <w:lang w:eastAsia="en-US"/>
              </w:rPr>
              <w:t>.</w:t>
            </w:r>
          </w:p>
        </w:tc>
        <w:tc>
          <w:tcPr>
            <w:tcW w:w="500" w:type="pct"/>
            <w:tcBorders>
              <w:top w:val="single" w:sz="4" w:space="0" w:color="auto"/>
              <w:left w:val="single" w:sz="4" w:space="0" w:color="auto"/>
              <w:bottom w:val="single" w:sz="4" w:space="0" w:color="auto"/>
            </w:tcBorders>
            <w:vAlign w:val="center"/>
          </w:tcPr>
          <w:p w14:paraId="6B856800" w14:textId="77777777" w:rsidR="005D729F" w:rsidRPr="005D729F" w:rsidRDefault="005D729F" w:rsidP="005D729F">
            <w:pPr>
              <w:widowControl w:val="0"/>
              <w:autoSpaceDE w:val="0"/>
              <w:autoSpaceDN w:val="0"/>
              <w:jc w:val="center"/>
              <w:rPr>
                <w:rFonts w:eastAsia="Calibri"/>
                <w:color w:val="000000"/>
                <w:sz w:val="20"/>
                <w:szCs w:val="20"/>
                <w:lang w:eastAsia="en-US"/>
              </w:rPr>
            </w:pPr>
            <w:proofErr w:type="spellStart"/>
            <w:r w:rsidRPr="005D729F">
              <w:rPr>
                <w:rFonts w:eastAsia="Calibri"/>
                <w:color w:val="000000"/>
                <w:sz w:val="20"/>
                <w:szCs w:val="20"/>
                <w:lang w:eastAsia="en-US"/>
              </w:rPr>
              <w:t>отн</w:t>
            </w:r>
            <w:proofErr w:type="spellEnd"/>
            <w:r w:rsidRPr="005D729F">
              <w:rPr>
                <w:rFonts w:eastAsia="Calibri"/>
                <w:color w:val="000000"/>
                <w:sz w:val="20"/>
                <w:szCs w:val="20"/>
                <w:lang w:eastAsia="en-US"/>
              </w:rPr>
              <w:t>, в %</w:t>
            </w:r>
          </w:p>
        </w:tc>
      </w:tr>
      <w:tr w:rsidR="005D729F" w:rsidRPr="005D729F" w14:paraId="7E7831F7" w14:textId="77777777" w:rsidTr="00B83EC8">
        <w:trPr>
          <w:trHeight w:val="20"/>
          <w:jc w:val="center"/>
        </w:trPr>
        <w:tc>
          <w:tcPr>
            <w:tcW w:w="939" w:type="pct"/>
            <w:tcBorders>
              <w:top w:val="single" w:sz="6" w:space="0" w:color="000000"/>
            </w:tcBorders>
            <w:vAlign w:val="center"/>
          </w:tcPr>
          <w:p w14:paraId="5DCA4AD8"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 xml:space="preserve">Н1 Достаточности собственных средств (капитала), % </w:t>
            </w:r>
            <w:r w:rsidRPr="005D729F">
              <w:rPr>
                <w:rFonts w:eastAsia="Calibri"/>
                <w:color w:val="000000"/>
                <w:sz w:val="20"/>
                <w:szCs w:val="20"/>
                <w:lang w:val="en-US" w:eastAsia="en-US"/>
              </w:rPr>
              <w:t>min</w:t>
            </w:r>
          </w:p>
        </w:tc>
        <w:tc>
          <w:tcPr>
            <w:tcW w:w="1526" w:type="pct"/>
            <w:tcBorders>
              <w:top w:val="single" w:sz="6" w:space="0" w:color="000000"/>
            </w:tcBorders>
            <w:vAlign w:val="center"/>
          </w:tcPr>
          <w:p w14:paraId="34A626E6"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Отношение размера собственных средств (капитала) банка и суммы его активов, взвешенных по уровню риска</w:t>
            </w:r>
          </w:p>
        </w:tc>
        <w:tc>
          <w:tcPr>
            <w:tcW w:w="462" w:type="pct"/>
            <w:tcBorders>
              <w:top w:val="single" w:sz="6" w:space="0" w:color="000000"/>
            </w:tcBorders>
            <w:vAlign w:val="center"/>
          </w:tcPr>
          <w:p w14:paraId="652F04A4" w14:textId="77777777" w:rsidR="005D729F" w:rsidRPr="005D729F" w:rsidRDefault="005D729F" w:rsidP="005D729F">
            <w:pPr>
              <w:widowControl w:val="0"/>
              <w:autoSpaceDE w:val="0"/>
              <w:autoSpaceDN w:val="0"/>
              <w:jc w:val="center"/>
              <w:rPr>
                <w:rFonts w:eastAsia="Calibri"/>
                <w:color w:val="000000"/>
                <w:sz w:val="20"/>
                <w:szCs w:val="20"/>
                <w:lang w:val="en-US" w:eastAsia="en-US"/>
              </w:rPr>
            </w:pPr>
            <w:r w:rsidRPr="005D729F">
              <w:rPr>
                <w:rFonts w:eastAsia="Calibri"/>
                <w:color w:val="000000"/>
                <w:sz w:val="20"/>
                <w:szCs w:val="20"/>
                <w:lang w:val="en-US" w:eastAsia="en-US"/>
              </w:rPr>
              <w:t>8</w:t>
            </w:r>
          </w:p>
        </w:tc>
        <w:tc>
          <w:tcPr>
            <w:tcW w:w="325" w:type="pct"/>
            <w:tcBorders>
              <w:top w:val="single" w:sz="6" w:space="0" w:color="000000"/>
              <w:right w:val="single" w:sz="4" w:space="0" w:color="auto"/>
            </w:tcBorders>
            <w:vAlign w:val="center"/>
          </w:tcPr>
          <w:p w14:paraId="57D20588"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13,1</w:t>
            </w:r>
          </w:p>
        </w:tc>
        <w:tc>
          <w:tcPr>
            <w:tcW w:w="353" w:type="pct"/>
            <w:tcBorders>
              <w:top w:val="single" w:sz="6" w:space="0" w:color="000000"/>
              <w:left w:val="single" w:sz="4" w:space="0" w:color="auto"/>
            </w:tcBorders>
            <w:vAlign w:val="center"/>
          </w:tcPr>
          <w:p w14:paraId="2F2B1936"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14,39</w:t>
            </w:r>
          </w:p>
        </w:tc>
        <w:tc>
          <w:tcPr>
            <w:tcW w:w="358" w:type="pct"/>
            <w:tcBorders>
              <w:top w:val="single" w:sz="6" w:space="0" w:color="000000"/>
            </w:tcBorders>
            <w:vAlign w:val="center"/>
          </w:tcPr>
          <w:p w14:paraId="2372E830"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13,84</w:t>
            </w:r>
          </w:p>
        </w:tc>
        <w:tc>
          <w:tcPr>
            <w:tcW w:w="537" w:type="pct"/>
            <w:tcBorders>
              <w:top w:val="single" w:sz="6" w:space="0" w:color="000000"/>
              <w:right w:val="single" w:sz="4" w:space="0" w:color="auto"/>
            </w:tcBorders>
            <w:vAlign w:val="center"/>
          </w:tcPr>
          <w:p w14:paraId="0A423C6D"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-0,55</w:t>
            </w:r>
          </w:p>
        </w:tc>
        <w:tc>
          <w:tcPr>
            <w:tcW w:w="500" w:type="pct"/>
            <w:tcBorders>
              <w:top w:val="single" w:sz="6" w:space="0" w:color="000000"/>
              <w:left w:val="single" w:sz="4" w:space="0" w:color="auto"/>
            </w:tcBorders>
            <w:vAlign w:val="center"/>
          </w:tcPr>
          <w:p w14:paraId="2A14E3E9"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-3,9</w:t>
            </w:r>
          </w:p>
        </w:tc>
      </w:tr>
      <w:tr w:rsidR="005D729F" w:rsidRPr="005D729F" w14:paraId="31EB99F4" w14:textId="77777777" w:rsidTr="00B83EC8">
        <w:trPr>
          <w:trHeight w:val="20"/>
          <w:jc w:val="center"/>
        </w:trPr>
        <w:tc>
          <w:tcPr>
            <w:tcW w:w="939" w:type="pct"/>
            <w:vAlign w:val="center"/>
          </w:tcPr>
          <w:p w14:paraId="6421C624" w14:textId="77777777" w:rsidR="005D729F" w:rsidRPr="005D729F" w:rsidRDefault="005D729F" w:rsidP="005D729F">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 xml:space="preserve">Н2 Мгновенной ликвидности, % </w:t>
            </w:r>
            <w:r w:rsidRPr="005D729F">
              <w:rPr>
                <w:rFonts w:eastAsia="Calibri"/>
                <w:color w:val="000000"/>
                <w:sz w:val="20"/>
                <w:szCs w:val="20"/>
                <w:lang w:val="en-US" w:eastAsia="en-US"/>
              </w:rPr>
              <w:t>min</w:t>
            </w:r>
          </w:p>
        </w:tc>
        <w:tc>
          <w:tcPr>
            <w:tcW w:w="1526" w:type="pct"/>
            <w:vAlign w:val="center"/>
          </w:tcPr>
          <w:p w14:paraId="7EBB4531"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 xml:space="preserve">Отношение высоколиквидных активов к обязательствам </w:t>
            </w:r>
          </w:p>
        </w:tc>
        <w:tc>
          <w:tcPr>
            <w:tcW w:w="462" w:type="pct"/>
            <w:vAlign w:val="center"/>
          </w:tcPr>
          <w:p w14:paraId="715A5B24" w14:textId="77777777" w:rsidR="005D729F" w:rsidRPr="005D729F" w:rsidRDefault="005D729F" w:rsidP="005D729F">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150</w:t>
            </w:r>
          </w:p>
        </w:tc>
        <w:tc>
          <w:tcPr>
            <w:tcW w:w="325" w:type="pct"/>
            <w:tcBorders>
              <w:right w:val="single" w:sz="4" w:space="0" w:color="auto"/>
            </w:tcBorders>
            <w:vAlign w:val="center"/>
          </w:tcPr>
          <w:p w14:paraId="3267551D"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81,08</w:t>
            </w:r>
          </w:p>
        </w:tc>
        <w:tc>
          <w:tcPr>
            <w:tcW w:w="353" w:type="pct"/>
            <w:tcBorders>
              <w:left w:val="single" w:sz="4" w:space="0" w:color="auto"/>
            </w:tcBorders>
            <w:vAlign w:val="center"/>
          </w:tcPr>
          <w:p w14:paraId="4138F5B4"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85,38</w:t>
            </w:r>
          </w:p>
        </w:tc>
        <w:tc>
          <w:tcPr>
            <w:tcW w:w="358" w:type="pct"/>
            <w:vAlign w:val="center"/>
          </w:tcPr>
          <w:p w14:paraId="4136CEC3"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118,2</w:t>
            </w:r>
          </w:p>
        </w:tc>
        <w:tc>
          <w:tcPr>
            <w:tcW w:w="537" w:type="pct"/>
            <w:tcBorders>
              <w:right w:val="single" w:sz="4" w:space="0" w:color="auto"/>
            </w:tcBorders>
            <w:vAlign w:val="center"/>
          </w:tcPr>
          <w:p w14:paraId="6EA6D68B"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32,87</w:t>
            </w:r>
          </w:p>
        </w:tc>
        <w:tc>
          <w:tcPr>
            <w:tcW w:w="500" w:type="pct"/>
            <w:tcBorders>
              <w:left w:val="single" w:sz="4" w:space="0" w:color="auto"/>
            </w:tcBorders>
            <w:vAlign w:val="center"/>
          </w:tcPr>
          <w:p w14:paraId="11818C2F" w14:textId="77777777" w:rsidR="005D729F" w:rsidRPr="005D729F" w:rsidRDefault="005D729F" w:rsidP="005D729F">
            <w:pPr>
              <w:jc w:val="center"/>
              <w:rPr>
                <w:rFonts w:eastAsia="Calibri"/>
                <w:color w:val="000000"/>
                <w:sz w:val="20"/>
                <w:szCs w:val="20"/>
                <w:lang w:eastAsia="en-US"/>
              </w:rPr>
            </w:pPr>
            <w:r w:rsidRPr="005D729F">
              <w:rPr>
                <w:rFonts w:eastAsia="Calibri"/>
                <w:color w:val="000000"/>
                <w:sz w:val="20"/>
                <w:szCs w:val="20"/>
                <w:lang w:eastAsia="en-US"/>
              </w:rPr>
              <w:t>38,5</w:t>
            </w:r>
          </w:p>
        </w:tc>
      </w:tr>
      <w:tr w:rsidR="00D10C83" w:rsidRPr="005D729F" w14:paraId="150F0009" w14:textId="77777777" w:rsidTr="00B83EC8">
        <w:trPr>
          <w:trHeight w:val="20"/>
          <w:jc w:val="center"/>
        </w:trPr>
        <w:tc>
          <w:tcPr>
            <w:tcW w:w="939" w:type="pct"/>
            <w:vAlign w:val="center"/>
          </w:tcPr>
          <w:p w14:paraId="0D197855" w14:textId="10DDE12E" w:rsidR="00D10C83" w:rsidRPr="005D729F" w:rsidRDefault="00D10C83" w:rsidP="00D10C83">
            <w:pPr>
              <w:widowControl w:val="0"/>
              <w:autoSpaceDE w:val="0"/>
              <w:autoSpaceDN w:val="0"/>
              <w:jc w:val="both"/>
              <w:rPr>
                <w:rFonts w:eastAsia="Calibri"/>
                <w:color w:val="000000"/>
                <w:sz w:val="20"/>
                <w:szCs w:val="20"/>
                <w:lang w:eastAsia="en-US"/>
              </w:rPr>
            </w:pPr>
            <w:r w:rsidRPr="005D729F">
              <w:rPr>
                <w:rFonts w:eastAsia="Calibri"/>
                <w:color w:val="000000"/>
                <w:sz w:val="20"/>
                <w:szCs w:val="20"/>
                <w:lang w:eastAsia="en-US"/>
              </w:rPr>
              <w:t xml:space="preserve">Н3 Текущей ликвидности, % </w:t>
            </w:r>
            <w:r w:rsidRPr="005D729F">
              <w:rPr>
                <w:rFonts w:eastAsia="Calibri"/>
                <w:color w:val="000000"/>
                <w:sz w:val="20"/>
                <w:szCs w:val="20"/>
                <w:lang w:val="en-US" w:eastAsia="en-US"/>
              </w:rPr>
              <w:t>min</w:t>
            </w:r>
          </w:p>
        </w:tc>
        <w:tc>
          <w:tcPr>
            <w:tcW w:w="1526" w:type="pct"/>
            <w:vAlign w:val="center"/>
          </w:tcPr>
          <w:p w14:paraId="252A1CAA" w14:textId="2B1466DF" w:rsidR="00D10C83" w:rsidRPr="005D729F" w:rsidRDefault="00D10C83" w:rsidP="00D10C83">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Отношение активов, которые банк может реализовать в течение ближайших 30-ти дней, к обязательствам, которые необходимо исполнить также в течение ближайших 30-ти дней</w:t>
            </w:r>
          </w:p>
        </w:tc>
        <w:tc>
          <w:tcPr>
            <w:tcW w:w="462" w:type="pct"/>
            <w:vAlign w:val="center"/>
          </w:tcPr>
          <w:p w14:paraId="5B9A59AF" w14:textId="48BB4597" w:rsidR="00D10C83" w:rsidRPr="005D729F" w:rsidRDefault="00D10C83" w:rsidP="00D10C83">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val="en-US" w:eastAsia="en-US"/>
              </w:rPr>
              <w:t>50</w:t>
            </w:r>
          </w:p>
        </w:tc>
        <w:tc>
          <w:tcPr>
            <w:tcW w:w="325" w:type="pct"/>
            <w:tcBorders>
              <w:right w:val="single" w:sz="4" w:space="0" w:color="auto"/>
            </w:tcBorders>
            <w:vAlign w:val="center"/>
          </w:tcPr>
          <w:p w14:paraId="4B6F63B1" w14:textId="53697DC2"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112,5</w:t>
            </w:r>
          </w:p>
        </w:tc>
        <w:tc>
          <w:tcPr>
            <w:tcW w:w="353" w:type="pct"/>
            <w:tcBorders>
              <w:left w:val="single" w:sz="4" w:space="0" w:color="auto"/>
            </w:tcBorders>
            <w:vAlign w:val="center"/>
          </w:tcPr>
          <w:p w14:paraId="0B506455" w14:textId="110A5565"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123,64</w:t>
            </w:r>
          </w:p>
        </w:tc>
        <w:tc>
          <w:tcPr>
            <w:tcW w:w="358" w:type="pct"/>
            <w:vAlign w:val="center"/>
          </w:tcPr>
          <w:p w14:paraId="2625BAFE" w14:textId="547AB5F8"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105,84</w:t>
            </w:r>
          </w:p>
        </w:tc>
        <w:tc>
          <w:tcPr>
            <w:tcW w:w="537" w:type="pct"/>
            <w:tcBorders>
              <w:right w:val="single" w:sz="4" w:space="0" w:color="auto"/>
            </w:tcBorders>
            <w:vAlign w:val="center"/>
          </w:tcPr>
          <w:p w14:paraId="108358E6" w14:textId="02A3C05E"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-17,80</w:t>
            </w:r>
          </w:p>
        </w:tc>
        <w:tc>
          <w:tcPr>
            <w:tcW w:w="500" w:type="pct"/>
            <w:tcBorders>
              <w:left w:val="single" w:sz="4" w:space="0" w:color="auto"/>
            </w:tcBorders>
            <w:vAlign w:val="center"/>
          </w:tcPr>
          <w:p w14:paraId="19F632FE" w14:textId="5F177E62"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-14,4</w:t>
            </w:r>
          </w:p>
        </w:tc>
      </w:tr>
      <w:tr w:rsidR="00D10C83" w:rsidRPr="005D729F" w14:paraId="2C89C5DE" w14:textId="77777777" w:rsidTr="00B83EC8">
        <w:trPr>
          <w:trHeight w:val="20"/>
          <w:jc w:val="center"/>
        </w:trPr>
        <w:tc>
          <w:tcPr>
            <w:tcW w:w="939" w:type="pct"/>
            <w:vAlign w:val="center"/>
          </w:tcPr>
          <w:p w14:paraId="593617E1" w14:textId="3C7896D6" w:rsidR="00D10C83" w:rsidRPr="005D729F" w:rsidRDefault="00D10C83" w:rsidP="00D10C83">
            <w:pPr>
              <w:widowControl w:val="0"/>
              <w:autoSpaceDE w:val="0"/>
              <w:autoSpaceDN w:val="0"/>
              <w:jc w:val="both"/>
              <w:rPr>
                <w:rFonts w:eastAsia="Calibri"/>
                <w:color w:val="000000"/>
                <w:sz w:val="20"/>
                <w:szCs w:val="20"/>
                <w:lang w:eastAsia="en-US"/>
              </w:rPr>
            </w:pPr>
            <w:r w:rsidRPr="005D729F">
              <w:rPr>
                <w:rFonts w:eastAsia="Calibri"/>
                <w:color w:val="000000"/>
                <w:sz w:val="20"/>
                <w:szCs w:val="20"/>
                <w:lang w:val="en-US" w:eastAsia="en-US"/>
              </w:rPr>
              <w:t xml:space="preserve">Н4 </w:t>
            </w:r>
            <w:proofErr w:type="spellStart"/>
            <w:r w:rsidRPr="005D729F">
              <w:rPr>
                <w:rFonts w:eastAsia="Calibri"/>
                <w:color w:val="000000"/>
                <w:sz w:val="20"/>
                <w:szCs w:val="20"/>
                <w:lang w:val="en-US" w:eastAsia="en-US"/>
              </w:rPr>
              <w:t>Долгосрочной</w:t>
            </w:r>
            <w:proofErr w:type="spellEnd"/>
            <w:r w:rsidRPr="005D729F">
              <w:rPr>
                <w:rFonts w:eastAsia="Calibri"/>
                <w:color w:val="000000"/>
                <w:sz w:val="20"/>
                <w:szCs w:val="20"/>
                <w:lang w:val="en-US" w:eastAsia="en-US"/>
              </w:rPr>
              <w:t xml:space="preserve"> </w:t>
            </w:r>
            <w:proofErr w:type="spellStart"/>
            <w:r w:rsidRPr="005D729F">
              <w:rPr>
                <w:rFonts w:eastAsia="Calibri"/>
                <w:color w:val="000000"/>
                <w:sz w:val="20"/>
                <w:szCs w:val="20"/>
                <w:lang w:val="en-US" w:eastAsia="en-US"/>
              </w:rPr>
              <w:t>ликвидности</w:t>
            </w:r>
            <w:proofErr w:type="spellEnd"/>
            <w:r w:rsidRPr="005D729F">
              <w:rPr>
                <w:rFonts w:eastAsia="Calibri"/>
                <w:color w:val="000000"/>
                <w:sz w:val="20"/>
                <w:szCs w:val="20"/>
                <w:lang w:val="en-US" w:eastAsia="en-US"/>
              </w:rPr>
              <w:t>, % max</w:t>
            </w:r>
          </w:p>
        </w:tc>
        <w:tc>
          <w:tcPr>
            <w:tcW w:w="1526" w:type="pct"/>
            <w:vAlign w:val="center"/>
          </w:tcPr>
          <w:p w14:paraId="0B3F0A7A" w14:textId="793F6AA1" w:rsidR="00D10C83" w:rsidRPr="005D729F" w:rsidRDefault="00D10C83" w:rsidP="00D10C83">
            <w:pPr>
              <w:widowControl w:val="0"/>
              <w:autoSpaceDE w:val="0"/>
              <w:autoSpaceDN w:val="0"/>
              <w:jc w:val="center"/>
              <w:rPr>
                <w:rFonts w:eastAsia="Calibri"/>
                <w:color w:val="000000"/>
                <w:sz w:val="20"/>
                <w:szCs w:val="20"/>
                <w:lang w:eastAsia="en-US"/>
              </w:rPr>
            </w:pPr>
            <w:r w:rsidRPr="005D729F">
              <w:rPr>
                <w:rFonts w:eastAsia="Calibri"/>
                <w:color w:val="000000"/>
                <w:sz w:val="20"/>
                <w:szCs w:val="20"/>
                <w:lang w:eastAsia="en-US"/>
              </w:rPr>
              <w:t>Отношение активов, которые будут реализованы не ранее, чем через год, к сумме капитала и обязательств, которые должны быть исполнены также не ранее, чем через год.</w:t>
            </w:r>
          </w:p>
        </w:tc>
        <w:tc>
          <w:tcPr>
            <w:tcW w:w="462" w:type="pct"/>
            <w:vAlign w:val="center"/>
          </w:tcPr>
          <w:p w14:paraId="0C81A7D7" w14:textId="10EA88FE" w:rsidR="00D10C83" w:rsidRPr="005D729F" w:rsidRDefault="00D10C83" w:rsidP="00D10C83">
            <w:pPr>
              <w:widowControl w:val="0"/>
              <w:autoSpaceDE w:val="0"/>
              <w:autoSpaceDN w:val="0"/>
              <w:jc w:val="center"/>
              <w:rPr>
                <w:rFonts w:eastAsia="Calibri"/>
                <w:color w:val="000000"/>
                <w:sz w:val="20"/>
                <w:szCs w:val="20"/>
                <w:lang w:val="en-US" w:eastAsia="en-US"/>
              </w:rPr>
            </w:pPr>
            <w:r w:rsidRPr="005D729F">
              <w:rPr>
                <w:rFonts w:eastAsia="Calibri"/>
                <w:color w:val="000000"/>
                <w:sz w:val="20"/>
                <w:szCs w:val="20"/>
                <w:lang w:val="en-US" w:eastAsia="en-US"/>
              </w:rPr>
              <w:t>120</w:t>
            </w:r>
          </w:p>
        </w:tc>
        <w:tc>
          <w:tcPr>
            <w:tcW w:w="325" w:type="pct"/>
            <w:tcBorders>
              <w:right w:val="single" w:sz="4" w:space="0" w:color="auto"/>
            </w:tcBorders>
            <w:vAlign w:val="center"/>
          </w:tcPr>
          <w:p w14:paraId="65109B73" w14:textId="10963E56"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54,2</w:t>
            </w:r>
          </w:p>
        </w:tc>
        <w:tc>
          <w:tcPr>
            <w:tcW w:w="353" w:type="pct"/>
            <w:tcBorders>
              <w:left w:val="single" w:sz="4" w:space="0" w:color="auto"/>
            </w:tcBorders>
            <w:vAlign w:val="center"/>
          </w:tcPr>
          <w:p w14:paraId="49287B65" w14:textId="6EE21659"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55,66</w:t>
            </w:r>
          </w:p>
        </w:tc>
        <w:tc>
          <w:tcPr>
            <w:tcW w:w="358" w:type="pct"/>
            <w:vAlign w:val="center"/>
          </w:tcPr>
          <w:p w14:paraId="3112ABC2" w14:textId="72803B81"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53,09</w:t>
            </w:r>
          </w:p>
        </w:tc>
        <w:tc>
          <w:tcPr>
            <w:tcW w:w="537" w:type="pct"/>
            <w:tcBorders>
              <w:right w:val="single" w:sz="4" w:space="0" w:color="auto"/>
            </w:tcBorders>
            <w:vAlign w:val="center"/>
          </w:tcPr>
          <w:p w14:paraId="3453F1B1" w14:textId="3C77C8B6"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-2,57</w:t>
            </w:r>
          </w:p>
        </w:tc>
        <w:tc>
          <w:tcPr>
            <w:tcW w:w="500" w:type="pct"/>
            <w:tcBorders>
              <w:left w:val="single" w:sz="4" w:space="0" w:color="auto"/>
            </w:tcBorders>
            <w:vAlign w:val="center"/>
          </w:tcPr>
          <w:p w14:paraId="136BE055" w14:textId="5A5BC9E7" w:rsidR="00D10C83" w:rsidRPr="005D729F" w:rsidRDefault="00D10C83" w:rsidP="00D10C83">
            <w:pPr>
              <w:jc w:val="center"/>
              <w:rPr>
                <w:rFonts w:eastAsia="Calibri"/>
                <w:color w:val="000000"/>
                <w:sz w:val="20"/>
                <w:szCs w:val="20"/>
                <w:lang w:eastAsia="en-US"/>
              </w:rPr>
            </w:pPr>
            <w:r w:rsidRPr="005D729F">
              <w:rPr>
                <w:rFonts w:eastAsia="Calibri"/>
                <w:color w:val="000000"/>
                <w:sz w:val="20"/>
                <w:szCs w:val="20"/>
                <w:lang w:eastAsia="en-US"/>
              </w:rPr>
              <w:t>-4,6</w:t>
            </w:r>
          </w:p>
        </w:tc>
      </w:tr>
    </w:tbl>
    <w:p w14:paraId="4B0B68A8" w14:textId="77777777" w:rsidR="005D729F" w:rsidRPr="005D729F" w:rsidRDefault="005D729F" w:rsidP="005D729F">
      <w:pPr>
        <w:spacing w:before="120" w:line="360" w:lineRule="auto"/>
        <w:ind w:firstLine="709"/>
        <w:jc w:val="both"/>
        <w:rPr>
          <w:rFonts w:eastAsia="Calibri"/>
          <w:color w:val="000000"/>
          <w:sz w:val="28"/>
          <w:szCs w:val="28"/>
          <w:lang w:eastAsia="en-US"/>
        </w:rPr>
      </w:pPr>
      <w:r w:rsidRPr="005D729F">
        <w:rPr>
          <w:rFonts w:eastAsia="Calibri"/>
          <w:color w:val="000000"/>
          <w:sz w:val="28"/>
          <w:szCs w:val="28"/>
          <w:lang w:eastAsia="en-US"/>
        </w:rPr>
        <w:t>Как видим, большая часть коэффициентов этой группы показывают отрицательную динамику.</w:t>
      </w:r>
    </w:p>
    <w:p w14:paraId="0FBACB80"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Коэффициент достаточности собственного капитала Н1 в 202</w:t>
      </w:r>
      <w:r w:rsidRPr="005D729F">
        <w:rPr>
          <w:rFonts w:eastAsia="SimSun"/>
          <w:color w:val="000000"/>
          <w:sz w:val="28"/>
          <w:szCs w:val="28"/>
          <w:lang w:eastAsia="zh-CN"/>
        </w:rPr>
        <w:t>2</w:t>
      </w:r>
      <w:r w:rsidRPr="005D729F">
        <w:rPr>
          <w:rFonts w:eastAsia="Calibri"/>
          <w:color w:val="000000"/>
          <w:sz w:val="28"/>
          <w:szCs w:val="28"/>
          <w:lang w:eastAsia="en-US"/>
        </w:rPr>
        <w:t xml:space="preserve"> году достиг 13,84 % при минимальном значении 8%. Снижение составило 3,9 %. Высокое значение стандарта Н1,0 на протяжении длительного периода времени свидетельствует о низкорисковой кредитной политике, высокой доходности и </w:t>
      </w:r>
      <w:r w:rsidRPr="005D729F">
        <w:rPr>
          <w:rFonts w:eastAsia="Calibri"/>
          <w:color w:val="000000"/>
          <w:sz w:val="28"/>
          <w:szCs w:val="28"/>
          <w:lang w:eastAsia="en-US"/>
        </w:rPr>
        <w:lastRenderedPageBreak/>
        <w:t>желании акционеров банка увеличить уставный капитал.  Такая динамика свидетельствует о росте устойчивого капитала в собственных средствах банка.</w:t>
      </w:r>
    </w:p>
    <w:p w14:paraId="0C1DB882"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Нормативы мгновенной и текущей ликвидности существенно превышают минимальные требования. Коэффициент мгновенной ликвидности Н2 вырос в 2022 году на </w:t>
      </w:r>
      <w:r w:rsidRPr="005D729F">
        <w:rPr>
          <w:rFonts w:eastAsia="SimSun"/>
          <w:color w:val="000000"/>
          <w:sz w:val="28"/>
          <w:szCs w:val="28"/>
          <w:lang w:eastAsia="zh-CN"/>
        </w:rPr>
        <w:t xml:space="preserve">38,5 </w:t>
      </w:r>
      <w:r w:rsidRPr="005D729F">
        <w:rPr>
          <w:rFonts w:eastAsia="Calibri"/>
          <w:color w:val="000000"/>
          <w:sz w:val="28"/>
          <w:szCs w:val="28"/>
          <w:lang w:eastAsia="en-US"/>
        </w:rPr>
        <w:t>%, т.е. банк наращивает объем высоколиквидных активов для покрытия своих обязательств перед клиентами.</w:t>
      </w:r>
    </w:p>
    <w:p w14:paraId="6B3BFFE2"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Коэффициент текущей ликвидности снизился на 13,3% и составил </w:t>
      </w:r>
      <w:r w:rsidRPr="005D729F">
        <w:rPr>
          <w:rFonts w:eastAsia="SimSun"/>
          <w:color w:val="000000"/>
          <w:sz w:val="28"/>
          <w:szCs w:val="28"/>
          <w:lang w:eastAsia="zh-CN"/>
        </w:rPr>
        <w:t>105,84</w:t>
      </w:r>
      <w:r w:rsidRPr="005D729F">
        <w:rPr>
          <w:rFonts w:eastAsia="Calibri"/>
          <w:color w:val="000000"/>
          <w:sz w:val="28"/>
          <w:szCs w:val="28"/>
          <w:lang w:eastAsia="en-US"/>
        </w:rPr>
        <w:t xml:space="preserve"> в 2022 году. Коэффициент долгосрочной ликвидности находится в пределах допустимых требований и снижается. В 2022 году упал более чем на </w:t>
      </w:r>
      <w:r w:rsidRPr="005D729F">
        <w:rPr>
          <w:rFonts w:eastAsia="SimSun"/>
          <w:color w:val="000000"/>
          <w:sz w:val="28"/>
          <w:szCs w:val="28"/>
          <w:lang w:eastAsia="zh-CN"/>
        </w:rPr>
        <w:t xml:space="preserve">4,6%. </w:t>
      </w:r>
      <w:r w:rsidRPr="005D729F">
        <w:rPr>
          <w:rFonts w:eastAsia="Calibri"/>
          <w:color w:val="000000"/>
          <w:sz w:val="28"/>
          <w:szCs w:val="28"/>
          <w:lang w:eastAsia="en-US"/>
        </w:rPr>
        <w:t xml:space="preserve"> </w:t>
      </w:r>
    </w:p>
    <w:p w14:paraId="77D464D4"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Текущая тенденция соблюдения стандартов свидетельствует о качественном управлении рисками в АО «Альфа-Банк», однако демонстрирует существенном снижении их уровня с течением времени.</w:t>
      </w:r>
    </w:p>
    <w:p w14:paraId="2A2D103A" w14:textId="170FC518"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Между тем, по результатам анализа, возможны операционные риски. Операционный риск связан с наличием ошибок, возникающих, как правило, по техническим причинам, а также в результате операционных сбоев и т.п. Эти факторы обычно не влекут за собой неисполнение Банком своих обязательств, но могут вызвать некоторые задержка выполнения конкретных обязательств Банка и/или влияние на непредвиденные расходы, убытки и репутационные издержки.</w:t>
      </w:r>
    </w:p>
    <w:p w14:paraId="1DD45A9D"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Сильная оценка рыночных позиций банка обусловлена его значимой долей на банковском рынке и широкой клиентской базой в сегментах розничного и корпоративного кредитования, а также расчетного обслуживания как юридических, так и физических лиц. Бизнес банка является сбалансированным по направления деятельности (индекс </w:t>
      </w:r>
      <w:proofErr w:type="spellStart"/>
      <w:r w:rsidRPr="005D729F">
        <w:rPr>
          <w:rFonts w:eastAsia="Calibri"/>
          <w:color w:val="000000"/>
          <w:sz w:val="28"/>
          <w:szCs w:val="28"/>
          <w:lang w:eastAsia="en-US"/>
        </w:rPr>
        <w:t>Херфиндаля-Хиршмана</w:t>
      </w:r>
      <w:proofErr w:type="spellEnd"/>
      <w:r w:rsidRPr="005D729F">
        <w:rPr>
          <w:rFonts w:eastAsia="Calibri"/>
          <w:color w:val="000000"/>
          <w:sz w:val="28"/>
          <w:szCs w:val="28"/>
          <w:lang w:eastAsia="en-US"/>
        </w:rPr>
        <w:t xml:space="preserve"> по активам составил 0,27 на 01.01.2024), при этом за период с 01.03.2023 по 01.03.2024 банк демонстрировал темпы роста как корпоративного (+49%), так и розничного портфелей (+42%) выше, чем в среднем по рынку, что позволило ему увеличить свою долю рынка. География деятельности банка оценивается как широкая (региональная сеть включает 7 филиалов и более 900 структурных подразделений, расположенных на территории России). Также </w:t>
      </w:r>
      <w:r w:rsidRPr="005D729F">
        <w:rPr>
          <w:rFonts w:eastAsia="Calibri"/>
          <w:color w:val="000000"/>
          <w:sz w:val="28"/>
          <w:szCs w:val="28"/>
          <w:lang w:eastAsia="en-US"/>
        </w:rPr>
        <w:lastRenderedPageBreak/>
        <w:t>агентство позитивно оценивает низкий объем операций со связанными сторонами.</w:t>
      </w:r>
    </w:p>
    <w:p w14:paraId="76A4EED5"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Адекватная оценка достаточности капитала и высокая рентабельность деятельности. В течение последнего года на фоне роста объемов бизнеса банка наблюдалось снижение нормативов достаточности капитала (Н1.0=12,4%, Н1.2=9,4% на 01.03.2024 против Н1.0=14,4%, Н1.2=12,3% годом ранее), однако показатели остаются в комфортной зоне. Агентство ожидает, что на горизонте действия рейтинга банк будет поддерживать достаточность капитала на сопоставимом с текущим уровне. Положительное влияние на оценку капитальной позиции оказывает низкий уровень концентрации кредитный рисков (крупные кредитные риски к нетто-активам составили 19% на 01.03.2024). В 2023 году банк восстановил показатели рентабельности (ROE=20% по РСБУ с учетом СПОД) за счет поддержания комфортного уровня чистой процентной маржи (NIM=5,5% за 2023 год) и адекватного уровня отчислений в резервы (COR=2,2% за 2023 год). Кроме того, в течение 2022-2023 гг. банк значительно сократил валютную позицию, тем самым снизив зависимость финансового результата от изменения валютного курса.</w:t>
      </w:r>
    </w:p>
    <w:p w14:paraId="306B4B41" w14:textId="77777777" w:rsidR="005D729F" w:rsidRPr="005D729F" w:rsidRDefault="005D729F" w:rsidP="00323017">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Адекватная оценка качества активов. По состоянию на 01.03.2024 ключевым компонентом активов банка являлся клиентский кредитный портфель, при этом на кредиты ЮЛ и ИП приходится около 45% валовых активов, а на кредиты ФЛ – 25%. Доля просроченной задолженности как в корпоративном, так и в розничном портфелях находится на комфортном уровне (3,8% и 3,3% соответственно). Агентство принимает во внимание, что значительная часть ссуд ЮЛ в течение 2022-2023 гг. была реструктурирована без изменения категории качества ввиду изменения валюты долга по кредитам, что снизило валютные риски для банка и клиентов. Для кредитного портфеля ЮЛ характерна высокая отраслевая диверсификация (на три крупнейшие отрасли приходится около 40% задолженности клиентов), а в розничном портфеле по-прежнему преобладают необеспеченные потребительские кредиты и ипотека (59% и 37% портфеля кредитов ФЛ на 01.01.2024 соответственно). </w:t>
      </w:r>
      <w:r w:rsidRPr="005D729F">
        <w:rPr>
          <w:rFonts w:eastAsia="Calibri"/>
          <w:color w:val="000000"/>
          <w:sz w:val="28"/>
          <w:szCs w:val="28"/>
          <w:lang w:eastAsia="en-US"/>
        </w:rPr>
        <w:lastRenderedPageBreak/>
        <w:t xml:space="preserve">Имущественная обеспеченность кредитного портфеля остается на невысоком уровне ввиду наличия бланковых кредитов высоконадежным заемщикам и сильными компетенциями банка в работе с проблемной задолженностью. Также около 13% валовых активов банка приходится на портфель ценных бумаг, представленный преимущественно облигациями эмитентов, имеющих рейтинги на уровне </w:t>
      </w:r>
      <w:proofErr w:type="spellStart"/>
      <w:r w:rsidRPr="005D729F">
        <w:rPr>
          <w:rFonts w:eastAsia="Calibri"/>
          <w:color w:val="000000"/>
          <w:sz w:val="28"/>
          <w:szCs w:val="28"/>
          <w:lang w:eastAsia="en-US"/>
        </w:rPr>
        <w:t>ruAA</w:t>
      </w:r>
      <w:proofErr w:type="spellEnd"/>
      <w:r w:rsidRPr="005D729F">
        <w:rPr>
          <w:rFonts w:eastAsia="Calibri"/>
          <w:color w:val="000000"/>
          <w:sz w:val="28"/>
          <w:szCs w:val="28"/>
          <w:lang w:eastAsia="en-US"/>
        </w:rPr>
        <w:t>- и выше по шкале «Эксперт РА» (свыше 75%).  Кроме того, в структуре активов банка присутствует существенный объем средств, размещенных в Банке России и НКЦ, а также небольшой объем средств в прочих кредитных организациях.  </w:t>
      </w:r>
    </w:p>
    <w:p w14:paraId="1F32C96B"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Адекватная ликвидная позиция. Банк имеет адекватный запас ликвидных активов (покрытие привлеченных средств, за исключением субординированных обязательств, ликвидными активами (</w:t>
      </w:r>
      <w:proofErr w:type="spellStart"/>
      <w:r w:rsidRPr="005D729F">
        <w:rPr>
          <w:rFonts w:eastAsia="Calibri"/>
          <w:color w:val="000000"/>
          <w:sz w:val="28"/>
          <w:szCs w:val="28"/>
          <w:lang w:eastAsia="en-US"/>
        </w:rPr>
        <w:t>Lat</w:t>
      </w:r>
      <w:proofErr w:type="spellEnd"/>
      <w:r w:rsidRPr="005D729F">
        <w:rPr>
          <w:rFonts w:eastAsia="Calibri"/>
          <w:color w:val="000000"/>
          <w:sz w:val="28"/>
          <w:szCs w:val="28"/>
          <w:lang w:eastAsia="en-US"/>
        </w:rPr>
        <w:t>) составило 23% на 01.03.2024). Кроме того, у банка есть возможность по привлечению дополнительного фондирования в рамках сделок РЕПО. После отмены регуляторных послаблений с 01.03.2024 банк вернулся к соблюдению НКЛ, значение которого на отчетную дату 01.04.2024 составило 107,9%. За период с 01.03.2023 по 01.03.2024 банк значительно нарастил объем средств как корпоративных (+47%), так и розничных клиентов (+58%), при этом сохранив комфортный уровень диверсификации по источникам фондирования (40% пассивов приходится на средства ЮЛ, а 41% на средства ФЛ и ИП). Агентство позитивно оценивает высокую диверсификацию ресурсной базы по кредиторам (по РСБУ на 01.03.2024 доля средств 10 крупнейших кредиторов/групп кредиторов составила 10%).</w:t>
      </w:r>
    </w:p>
    <w:p w14:paraId="7A65C850"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 xml:space="preserve">Корпоративное управление банка высоко оценивается агентством с учетом развитой практики управления банковскими рисками. Уровень регламентации принятия решений в банке высокий, отсутствует концентрация на ключевых фигурах топ-менеджеров или подразделениях банка. Большинство топ-менеджеров имеют продолжительный опыт работы в различных сегментах финансового рынка и положительную деловую репутацию. </w:t>
      </w:r>
    </w:p>
    <w:p w14:paraId="2DC298FA" w14:textId="056C173F" w:rsid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lastRenderedPageBreak/>
        <w:t>Согласно действующим стратегическим приоритетам, в 2024 году банком предполагается рост как корпоративного, так и розничного кредитования, а также увеличение клиентской базы на РКО и рост транзакционной активности клиентов, что усилит конкурентные позиции банка на российском банковском рынке.</w:t>
      </w:r>
    </w:p>
    <w:p w14:paraId="1EC48B34" w14:textId="2CF2A845" w:rsidR="00323017" w:rsidRDefault="00323017" w:rsidP="005D729F">
      <w:pPr>
        <w:spacing w:line="360" w:lineRule="auto"/>
        <w:ind w:firstLine="709"/>
        <w:jc w:val="both"/>
        <w:rPr>
          <w:rFonts w:eastAsia="Calibri"/>
          <w:color w:val="000000"/>
          <w:sz w:val="28"/>
          <w:szCs w:val="28"/>
          <w:lang w:eastAsia="en-US"/>
        </w:rPr>
      </w:pPr>
      <w:r>
        <w:rPr>
          <w:rFonts w:eastAsia="Calibri"/>
          <w:color w:val="000000"/>
          <w:sz w:val="28"/>
          <w:szCs w:val="28"/>
          <w:lang w:eastAsia="en-US"/>
        </w:rPr>
        <w:t xml:space="preserve">В Альфа-Банке выстроена четкая иерархия подразделений. Кадровая политика банка позволяет специалистам из разных сфер </w:t>
      </w:r>
      <w:r w:rsidR="003216B1">
        <w:rPr>
          <w:rFonts w:eastAsia="Calibri"/>
          <w:color w:val="000000"/>
          <w:sz w:val="28"/>
          <w:szCs w:val="28"/>
          <w:lang w:eastAsia="en-US"/>
        </w:rPr>
        <w:t>объединяться</w:t>
      </w:r>
      <w:r>
        <w:rPr>
          <w:rFonts w:eastAsia="Calibri"/>
          <w:color w:val="000000"/>
          <w:sz w:val="28"/>
          <w:szCs w:val="28"/>
          <w:lang w:eastAsia="en-US"/>
        </w:rPr>
        <w:t xml:space="preserve"> и работать над </w:t>
      </w:r>
      <w:r w:rsidR="003216B1">
        <w:rPr>
          <w:rFonts w:eastAsia="Calibri"/>
          <w:color w:val="000000"/>
          <w:sz w:val="28"/>
          <w:szCs w:val="28"/>
          <w:lang w:eastAsia="en-US"/>
        </w:rPr>
        <w:t xml:space="preserve">улучшением банковский процессов и выведения организации на лидирующие позиции среди банков России. </w:t>
      </w:r>
      <w:r>
        <w:rPr>
          <w:rFonts w:eastAsia="Calibri"/>
          <w:color w:val="000000"/>
          <w:sz w:val="28"/>
          <w:szCs w:val="28"/>
          <w:lang w:eastAsia="en-US"/>
        </w:rPr>
        <w:t xml:space="preserve"> </w:t>
      </w:r>
      <w:r w:rsidR="003216B1">
        <w:rPr>
          <w:rFonts w:eastAsia="Calibri"/>
          <w:color w:val="000000"/>
          <w:sz w:val="28"/>
          <w:szCs w:val="28"/>
          <w:lang w:eastAsia="en-US"/>
        </w:rPr>
        <w:t xml:space="preserve">Все специалисты постоянно проходят обучения и повышают свою квалификацию, что делает их настоящими профессионалами в банковской сфере. В тенденция банка продолжать обучать своих сотрудников, чтобы избегать грубых ошибок при работе с клиентами и не терять репутацию на банковском рынке. </w:t>
      </w:r>
    </w:p>
    <w:p w14:paraId="5BD13EE0" w14:textId="2F32B1B9" w:rsidR="00323017" w:rsidRPr="005D729F" w:rsidRDefault="00323017" w:rsidP="005D729F">
      <w:pPr>
        <w:spacing w:line="360" w:lineRule="auto"/>
        <w:ind w:firstLine="709"/>
        <w:jc w:val="both"/>
        <w:rPr>
          <w:rFonts w:eastAsia="Calibri"/>
          <w:color w:val="000000"/>
          <w:sz w:val="28"/>
          <w:szCs w:val="28"/>
          <w:lang w:eastAsia="en-US"/>
        </w:rPr>
      </w:pPr>
      <w:r>
        <w:rPr>
          <w:rFonts w:eastAsia="Calibri"/>
          <w:color w:val="000000"/>
          <w:sz w:val="28"/>
          <w:szCs w:val="28"/>
          <w:lang w:eastAsia="en-US"/>
        </w:rPr>
        <w:t xml:space="preserve">У банка в приоритете также повышение уровня информационной безопасности. </w:t>
      </w:r>
      <w:r w:rsidRPr="00323017">
        <w:rPr>
          <w:rFonts w:eastAsia="Calibri"/>
          <w:color w:val="000000"/>
          <w:sz w:val="28"/>
          <w:szCs w:val="28"/>
          <w:lang w:eastAsia="en-US"/>
        </w:rPr>
        <w:t>Банковские карты Альфа-Банка надежно защищены от незаконного использования.</w:t>
      </w:r>
      <w:r>
        <w:rPr>
          <w:rFonts w:eastAsia="Calibri"/>
          <w:color w:val="000000"/>
          <w:sz w:val="28"/>
          <w:szCs w:val="28"/>
          <w:lang w:eastAsia="en-US"/>
        </w:rPr>
        <w:t xml:space="preserve"> Для обеспечения безопасности использования карт или же удаленных каналов доступа к мобильному банку существует команда экспертов. В случае если у экспертов будет подозрение на мошеннические действия в адрес клиента – все средства замораживаются до выяснения обстоятельств непосредственно с клиентом банка. </w:t>
      </w:r>
      <w:r w:rsidR="003216B1">
        <w:rPr>
          <w:rFonts w:eastAsia="Calibri"/>
          <w:color w:val="000000"/>
          <w:sz w:val="28"/>
          <w:szCs w:val="28"/>
          <w:lang w:eastAsia="en-US"/>
        </w:rPr>
        <w:t>Альфа-Банк продолжает разрабатывать новые схемы для повышения безопасности банка.</w:t>
      </w:r>
    </w:p>
    <w:p w14:paraId="1D7388A9"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Системная значимость банка при его доле в совокупных привлеченных средствах ФЛ и ИП по банковской системе на уровне 6,5% по состоянию на 01.01.2024 обусловила установление очень сильного фактора поддержки со стороны органов власти.</w:t>
      </w:r>
    </w:p>
    <w:p w14:paraId="744E8D10"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Проведя анализ, можно сказать, что АО «Альфа-Банк» сегодня считается финансово устойчивым банком России. Однако в показателях деятельности банка наблюдаются незначительные негативные тенденции, которые могут представлять угрозу финансовой безопасности банка.</w:t>
      </w:r>
    </w:p>
    <w:p w14:paraId="04869E92"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lastRenderedPageBreak/>
        <w:t xml:space="preserve">Во избежание незапланированных финансовых потерь банку необходимо создавать различные виды резервов. Порядок использования и формирования обязательных резервов устанавливается Банком России; это высоколиквидные активы банка, которые свидетельствуют о его надежности. Резервный фонд банка формируется банком самостоятельно [29, </w:t>
      </w:r>
      <w:r w:rsidRPr="005D729F">
        <w:rPr>
          <w:rFonts w:eastAsia="Calibri"/>
          <w:color w:val="000000"/>
          <w:sz w:val="28"/>
          <w:szCs w:val="28"/>
          <w:lang w:val="en-US" w:eastAsia="en-US"/>
        </w:rPr>
        <w:t>c</w:t>
      </w:r>
      <w:r w:rsidRPr="005D729F">
        <w:rPr>
          <w:rFonts w:eastAsia="Calibri"/>
          <w:color w:val="000000"/>
          <w:sz w:val="28"/>
          <w:szCs w:val="28"/>
          <w:lang w:eastAsia="en-US"/>
        </w:rPr>
        <w:t>. 101].</w:t>
      </w:r>
    </w:p>
    <w:p w14:paraId="3B7DEEFA" w14:textId="77777777" w:rsidR="005D729F" w:rsidRP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Эффективное управление пассивными и активными операциями банка позволяет увеличить объем резервов, что защищает от влияния рисков и страхует на будущее. Таким образом, резервные активы являются ресурсом, с помощью которого может быть обеспечена финансовая устойчивость банка.</w:t>
      </w:r>
    </w:p>
    <w:p w14:paraId="6945BF8A" w14:textId="1A47E8BB" w:rsidR="005D729F" w:rsidRDefault="005D729F" w:rsidP="005D729F">
      <w:pPr>
        <w:spacing w:line="360" w:lineRule="auto"/>
        <w:ind w:firstLine="709"/>
        <w:jc w:val="both"/>
        <w:rPr>
          <w:rFonts w:eastAsia="Calibri"/>
          <w:color w:val="000000"/>
          <w:sz w:val="28"/>
          <w:szCs w:val="28"/>
          <w:lang w:eastAsia="en-US"/>
        </w:rPr>
      </w:pPr>
      <w:r w:rsidRPr="005D729F">
        <w:rPr>
          <w:rFonts w:eastAsia="Calibri"/>
          <w:color w:val="000000"/>
          <w:sz w:val="28"/>
          <w:szCs w:val="28"/>
          <w:lang w:eastAsia="en-US"/>
        </w:rPr>
        <w:t>Поэтому для повышения эффективности управления финансовой устойчивостью банка необходимо развивать активные операции и повышать обеспеченность банка собственными средствами и резервами, что позволит улучшить финансовое состояние банка.</w:t>
      </w:r>
    </w:p>
    <w:p w14:paraId="53B80275" w14:textId="0C88F7CA" w:rsidR="005D729F" w:rsidRDefault="005D729F" w:rsidP="005D729F">
      <w:pPr>
        <w:spacing w:line="360" w:lineRule="auto"/>
        <w:ind w:firstLine="709"/>
        <w:jc w:val="both"/>
        <w:rPr>
          <w:rFonts w:eastAsia="Calibri"/>
          <w:color w:val="000000"/>
          <w:sz w:val="28"/>
          <w:szCs w:val="28"/>
          <w:lang w:eastAsia="en-US"/>
        </w:rPr>
      </w:pPr>
      <w:r>
        <w:rPr>
          <w:rFonts w:eastAsia="Calibri"/>
          <w:color w:val="000000"/>
          <w:sz w:val="28"/>
          <w:szCs w:val="28"/>
          <w:lang w:eastAsia="en-US"/>
        </w:rPr>
        <w:br w:type="page"/>
      </w:r>
    </w:p>
    <w:p w14:paraId="7D96AD7C" w14:textId="6CE48491" w:rsidR="005D729F" w:rsidRDefault="005D729F" w:rsidP="002D710A">
      <w:pPr>
        <w:pStyle w:val="1"/>
        <w:ind w:firstLine="709"/>
        <w:rPr>
          <w:sz w:val="30"/>
          <w:szCs w:val="30"/>
        </w:rPr>
      </w:pPr>
      <w:bookmarkStart w:id="4" w:name="_Toc187851174"/>
      <w:r w:rsidRPr="005D729F">
        <w:rPr>
          <w:rFonts w:eastAsia="Calibri"/>
          <w:color w:val="000000"/>
          <w:sz w:val="30"/>
          <w:szCs w:val="30"/>
          <w:lang w:eastAsia="en-US"/>
        </w:rPr>
        <w:lastRenderedPageBreak/>
        <w:t xml:space="preserve">2 </w:t>
      </w:r>
      <w:r w:rsidRPr="005D729F">
        <w:rPr>
          <w:sz w:val="30"/>
          <w:szCs w:val="30"/>
        </w:rPr>
        <w:t>Внешняя среда организации и угрозы экономической безопасности</w:t>
      </w:r>
      <w:bookmarkEnd w:id="4"/>
    </w:p>
    <w:p w14:paraId="2925D514" w14:textId="435CC11D"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В рамках финансово-кредитной системы Российской Федерации функционирует банковская система, которая имеет свою структурность (Центральный банк и коммерческие банки), цели и задачи. Банковская система очень важна для развития экономики государства, она является источником финансирования процессов развития. </w:t>
      </w:r>
    </w:p>
    <w:p w14:paraId="2B6C323D"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От состояния банковской системы зависит вся экономика, если она проводит политику «дешевых» денежных средств, то и экономика получает хороший потенциал роста, если в условиях кризисных явлений приходится реализовывать политику «дорогих» денежных средств, то экономика находится в менее активном состоянии. </w:t>
      </w:r>
    </w:p>
    <w:p w14:paraId="70D01D0F"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Поэтому именно от банковской системы зависит экономическое благополучие государства. Банковская система, частью которой является АО «Альфа-Банк» способствует движению денежных средств внутри государства между отраслями, регионами и так далее. Банки оказывают определённый перечень банковских услуг, который зависит от банка, его специфики, лицензии. Если это Центральный банк государства, то он оказывает одни услуги, если же это коммерческий банк, то они оказывают услуги в соответствии с лицензией. </w:t>
      </w:r>
    </w:p>
    <w:p w14:paraId="7AF7AC8D" w14:textId="671E385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В основном все банковские услуги подразделяются на депозитные, кредитные, расчётные. Также могут быть оказаны и другие услуги. Обычно банк берет определённую плату за оказание услуги, которая также относится к его доходам. </w:t>
      </w:r>
    </w:p>
    <w:p w14:paraId="0AA390D7"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Приведем аналитический материал, отражающий состояние рынка банковских услуг в России. Аналитическая и консалтинговая компания Frank RG обнародовала отчет «Рынок банковских услуг в России: итоги 2023 и прогнозы». </w:t>
      </w:r>
    </w:p>
    <w:p w14:paraId="3FF84612"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lastRenderedPageBreak/>
        <w:t xml:space="preserve">Документ включает основные выводы и тренды в целом по отрасли, в каждом из розничных сегментов, а также в корпоративном кредитовании и сегменте МСБ Прибыль банковского сектора по итогам 2023 года составила 3,3 трлн руб. (с корректировкой на дивиденды), увеличившись в 16 раз с </w:t>
      </w:r>
      <w:smartTag w:uri="urn:schemas-microsoft-com:office:smarttags" w:element="metricconverter">
        <w:smartTagPr>
          <w:attr w:name="ProductID" w:val="2022 г"/>
        </w:smartTagPr>
        <w:r w:rsidRPr="002D710A">
          <w:rPr>
            <w:rFonts w:eastAsia="Calibri"/>
            <w:color w:val="000000"/>
            <w:sz w:val="28"/>
            <w:szCs w:val="28"/>
            <w:lang w:eastAsia="en-US"/>
          </w:rPr>
          <w:t>2022 г</w:t>
        </w:r>
      </w:smartTag>
      <w:r w:rsidRPr="002D710A">
        <w:rPr>
          <w:rFonts w:eastAsia="Calibri"/>
          <w:color w:val="000000"/>
          <w:sz w:val="28"/>
          <w:szCs w:val="28"/>
          <w:lang w:eastAsia="en-US"/>
        </w:rPr>
        <w:t xml:space="preserve">. </w:t>
      </w:r>
    </w:p>
    <w:p w14:paraId="32A502B2" w14:textId="7F714834" w:rsidR="002D710A" w:rsidRPr="002D710A" w:rsidRDefault="002D710A" w:rsidP="002D710A">
      <w:pPr>
        <w:spacing w:line="360" w:lineRule="auto"/>
        <w:ind w:firstLine="709"/>
        <w:jc w:val="center"/>
        <w:rPr>
          <w:rFonts w:eastAsia="Calibri"/>
          <w:color w:val="000000"/>
          <w:sz w:val="28"/>
          <w:szCs w:val="28"/>
          <w:lang w:eastAsia="en-US"/>
        </w:rPr>
      </w:pPr>
      <w:r w:rsidRPr="002D710A">
        <w:rPr>
          <w:rFonts w:eastAsia="Calibri"/>
          <w:noProof/>
          <w:color w:val="000000"/>
          <w:sz w:val="28"/>
          <w:szCs w:val="28"/>
          <w:lang w:eastAsia="en-US"/>
        </w:rPr>
        <w:drawing>
          <wp:inline distT="0" distB="0" distL="0" distR="0" wp14:anchorId="3310DE1D" wp14:editId="22E9D3DB">
            <wp:extent cx="4463415" cy="4226560"/>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63415" cy="4226560"/>
                    </a:xfrm>
                    <a:prstGeom prst="rect">
                      <a:avLst/>
                    </a:prstGeom>
                    <a:noFill/>
                    <a:ln>
                      <a:noFill/>
                    </a:ln>
                  </pic:spPr>
                </pic:pic>
              </a:graphicData>
            </a:graphic>
          </wp:inline>
        </w:drawing>
      </w:r>
    </w:p>
    <w:p w14:paraId="7F653E8D" w14:textId="77777777" w:rsidR="002D710A" w:rsidRPr="002D710A" w:rsidRDefault="002D710A" w:rsidP="002D710A">
      <w:pPr>
        <w:spacing w:line="360" w:lineRule="auto"/>
        <w:ind w:firstLine="709"/>
        <w:jc w:val="center"/>
        <w:rPr>
          <w:rFonts w:eastAsia="Calibri"/>
          <w:color w:val="000000"/>
          <w:sz w:val="28"/>
          <w:szCs w:val="28"/>
          <w:lang w:eastAsia="en-US"/>
        </w:rPr>
      </w:pPr>
      <w:r w:rsidRPr="002D710A">
        <w:rPr>
          <w:rFonts w:eastAsia="Calibri"/>
          <w:color w:val="000000"/>
          <w:sz w:val="28"/>
          <w:szCs w:val="28"/>
          <w:lang w:eastAsia="en-US"/>
        </w:rPr>
        <w:t>Рисунок 2.1 – Динамика прибыли банковского сектора РФ</w:t>
      </w:r>
    </w:p>
    <w:p w14:paraId="6A1DA9E5"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Прогнозируемая прибыль банков в 2024 году снизится до 2,5 трлн. рублей, при этом, как и в 2023 году, превысит средние значения четырех докризисных лет. После спада 2022 года российская экономика восстанавливается быстрее, чем ожидалось. Значимую роль в этом сыграл банковский сектор. Кредитование в 2023 году росло быстрыми темпами, которые замедлились только к концу года на фоне мер регулирования и роста ключевой ставки. </w:t>
      </w:r>
    </w:p>
    <w:p w14:paraId="0F0BAE01"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На 2024 года жесткая денежно-кредитная политика была сохранена. По оценке, на этом фоне рынок в большинстве продуктовых сегментов наступило охлаждение, однако в 2025 году ему пророчат возвращение к долгосрочному росту.</w:t>
      </w:r>
    </w:p>
    <w:p w14:paraId="4E1F20D9"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lastRenderedPageBreak/>
        <w:t xml:space="preserve">Улучшению финансовых показателей банков способствовало восстановление основных видов доходов банков: чистого процентного дохода (ЧПД), чистого комиссионного дохода (ЧКД), чистого дохода от операций с иностранной валютой. Были снижены расходы на резервы, а на фоне ослабления рубля был получен положительный эффект от валютной переоценки активов. 90% банков были прибыльными в </w:t>
      </w:r>
      <w:smartTag w:uri="urn:schemas-microsoft-com:office:smarttags" w:element="metricconverter">
        <w:smartTagPr>
          <w:attr w:name="ProductID" w:val="2023 г"/>
        </w:smartTagPr>
        <w:r w:rsidRPr="002D710A">
          <w:rPr>
            <w:rFonts w:eastAsia="Calibri"/>
            <w:color w:val="000000"/>
            <w:sz w:val="28"/>
            <w:szCs w:val="28"/>
            <w:lang w:eastAsia="en-US"/>
          </w:rPr>
          <w:t>2023 г</w:t>
        </w:r>
      </w:smartTag>
      <w:r w:rsidRPr="002D710A">
        <w:rPr>
          <w:rFonts w:eastAsia="Calibri"/>
          <w:color w:val="000000"/>
          <w:sz w:val="28"/>
          <w:szCs w:val="28"/>
          <w:lang w:eastAsia="en-US"/>
        </w:rPr>
        <w:t xml:space="preserve">., а их доля в активах составила 99%. Процентный доход остается основным источником дохода для банков: с 2018 по 2023 год он вырос в абсолютном выражении с 3,2 до 6,0 трлн. руб., при этом его доля вернулась к значениям 2018-2019 гг. – 67%. </w:t>
      </w:r>
    </w:p>
    <w:p w14:paraId="1B3BFF6C"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С </w:t>
      </w:r>
      <w:smartTag w:uri="urn:schemas-microsoft-com:office:smarttags" w:element="metricconverter">
        <w:smartTagPr>
          <w:attr w:name="ProductID" w:val="2022 г"/>
        </w:smartTagPr>
        <w:r w:rsidRPr="002D710A">
          <w:rPr>
            <w:rFonts w:eastAsia="Calibri"/>
            <w:color w:val="000000"/>
            <w:sz w:val="28"/>
            <w:szCs w:val="28"/>
            <w:lang w:eastAsia="en-US"/>
          </w:rPr>
          <w:t>2022 г</w:t>
        </w:r>
      </w:smartTag>
      <w:r w:rsidRPr="002D710A">
        <w:rPr>
          <w:rFonts w:eastAsia="Calibri"/>
          <w:color w:val="000000"/>
          <w:sz w:val="28"/>
          <w:szCs w:val="28"/>
          <w:lang w:eastAsia="en-US"/>
        </w:rPr>
        <w:t xml:space="preserve">. соотношение ЧКД/ ЧПД снизилось на 7 </w:t>
      </w:r>
      <w:proofErr w:type="spellStart"/>
      <w:r w:rsidRPr="002D710A">
        <w:rPr>
          <w:rFonts w:eastAsia="Calibri"/>
          <w:color w:val="000000"/>
          <w:sz w:val="28"/>
          <w:szCs w:val="28"/>
          <w:lang w:eastAsia="en-US"/>
        </w:rPr>
        <w:t>п.п</w:t>
      </w:r>
      <w:proofErr w:type="spellEnd"/>
      <w:r w:rsidRPr="002D710A">
        <w:rPr>
          <w:rFonts w:eastAsia="Calibri"/>
          <w:color w:val="000000"/>
          <w:sz w:val="28"/>
          <w:szCs w:val="28"/>
          <w:lang w:eastAsia="en-US"/>
        </w:rPr>
        <w:t xml:space="preserve">. до 32%. В условиях высоких процентных ставок ЧПД рос быстрее комиссионных доходов, таким образом доля последних в структуре дохода снизилась. Активы банковского сектора неуклонно растут на протяжении последних 5 лет, включая кризисные периоды 2020 и 2022 годов. </w:t>
      </w:r>
    </w:p>
    <w:p w14:paraId="67C29CDC"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На конец 2023 года показатель достиг 167,9 трлн. руб.</w:t>
      </w:r>
    </w:p>
    <w:p w14:paraId="3008A0D4"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Рост кредитования в 2023 году заставил Банк России ужесточить свою политику, но рынок по-прежнему далек от перегрева: уровень просроченной задолженности, а также показатель закредитованности не увеличиваются, а отношение кредитного портфеля физических лиц к ВВП составляет порядка 20%, тогда как в развитых экономиках этот показатель может превышать 100%. </w:t>
      </w:r>
    </w:p>
    <w:p w14:paraId="560EB6FC"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Структура портфеля розничных кредитов указана на рисунке 2.1. Портфель розничных кредитов российских банков достиг 34,8 трлн. рублей на конец 2023 года и продолжил расти в среднесрочной перспективе на уровне 11% в год. </w:t>
      </w:r>
    </w:p>
    <w:p w14:paraId="0D8ED6D0"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В 2028 году он может достичь 54 трлн. рублей. Кредиты наличными и кредитные карты продолжат активно расти, забирая долю у ипотеки в структуре портфеля розничных кредитов. Так если кредиты наличными по итогам 2023 года составили в портфеле кредитования 29%, то концу 2028 года ожидается уже 30%. </w:t>
      </w:r>
    </w:p>
    <w:p w14:paraId="3BD3A74E"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lastRenderedPageBreak/>
        <w:t xml:space="preserve">Динамика относительно ипотечного кредитования по итогам 2023 года составила в портфеле 55%, а к концу 2028 года уже 48%. Таким образом, ипотека будет ограничена, возможности ее приобрести на прежним льготных условиях и с государственной поддержкой будет намного меньше. </w:t>
      </w:r>
    </w:p>
    <w:p w14:paraId="41C62896"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Банковские услуги в части кредитных карт с 9% повысятся до 11%, 237 также ожидается рост доли в общем портфеле и автокредитам с 6% по итогам 2023 года до 10% по итогам 2028 года.</w:t>
      </w:r>
    </w:p>
    <w:p w14:paraId="6A0FE6BE"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Таким образом, банковская система выстраивает свои прогнозы, отражая наибольший интерес и спрос на определённые банковские услуги в зависимости от экономического развития государства, потребностей населения и юридических лиц, макроэкономических показателей, состояния факторов внешней среды и другое. </w:t>
      </w:r>
    </w:p>
    <w:p w14:paraId="7F140892" w14:textId="77777777" w:rsidR="002D710A" w:rsidRPr="002D710A" w:rsidRDefault="002D710A" w:rsidP="002D710A">
      <w:pPr>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Банковская система на сегодняшний день предлагает достаточно широкий спектр банковских услуг своим клиентам.</w:t>
      </w:r>
    </w:p>
    <w:p w14:paraId="3E99CB6A"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 xml:space="preserve">По результатам 2023-го года, в соответствии со статистикой Национальной ассоциации профессиональных коллекторских агентств, задолженность физических лиц перед банками превысила 17,5 триллиона рублей, из которых примерно 750 миллиардов (без учёта штрафных санкций) приходится на просроченную задолженность, которая составляет в пределах 4,2%. В предшествующий период данный показатель составлял свыше 757 миллиардов (5% от общего объёма).  </w:t>
      </w:r>
    </w:p>
    <w:p w14:paraId="2D1D7D72" w14:textId="77777777" w:rsidR="002D710A" w:rsidRPr="002D710A" w:rsidRDefault="002D710A" w:rsidP="002D710A">
      <w:pPr>
        <w:tabs>
          <w:tab w:val="left" w:pos="1134"/>
        </w:tabs>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Для большинства банков кредиты являются основным источником дохода, поэтому структурирование кредитного портфеля становится важным для учета, анализа и прогнозирования кредитной деятельности.</w:t>
      </w:r>
    </w:p>
    <w:p w14:paraId="5F625362" w14:textId="6B00D837" w:rsidR="002D710A" w:rsidRDefault="002D710A" w:rsidP="002D710A">
      <w:pPr>
        <w:tabs>
          <w:tab w:val="left" w:pos="1134"/>
        </w:tabs>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Анализ кредитного портфеля позволяет банку оценить его структуру, качество и риски, связанные с выданными кредитами. Это позволяет банку принимать соответствующие меры по управлению рисками и сокращению просроченной задолженности.</w:t>
      </w:r>
    </w:p>
    <w:p w14:paraId="1A739943" w14:textId="5FCB6CBD" w:rsidR="002D710A" w:rsidRDefault="002D710A" w:rsidP="002D710A">
      <w:pPr>
        <w:tabs>
          <w:tab w:val="left" w:pos="1134"/>
        </w:tabs>
        <w:spacing w:line="360" w:lineRule="auto"/>
        <w:ind w:firstLine="709"/>
        <w:jc w:val="both"/>
        <w:rPr>
          <w:rFonts w:eastAsia="Calibri"/>
          <w:color w:val="000000"/>
          <w:sz w:val="28"/>
          <w:szCs w:val="28"/>
          <w:lang w:eastAsia="en-US"/>
        </w:rPr>
      </w:pPr>
    </w:p>
    <w:p w14:paraId="1A1780DA" w14:textId="77777777" w:rsidR="002D710A" w:rsidRDefault="002D710A" w:rsidP="002D710A">
      <w:pPr>
        <w:tabs>
          <w:tab w:val="left" w:pos="1134"/>
        </w:tabs>
        <w:spacing w:line="360" w:lineRule="auto"/>
        <w:ind w:firstLine="709"/>
        <w:jc w:val="both"/>
        <w:rPr>
          <w:rFonts w:eastAsia="Calibri"/>
          <w:color w:val="000000"/>
          <w:sz w:val="28"/>
          <w:szCs w:val="28"/>
          <w:lang w:eastAsia="en-US"/>
        </w:rPr>
      </w:pPr>
    </w:p>
    <w:p w14:paraId="595B2309" w14:textId="77777777" w:rsidR="002D710A" w:rsidRPr="002D710A" w:rsidRDefault="002D710A" w:rsidP="002D710A">
      <w:pPr>
        <w:tabs>
          <w:tab w:val="left" w:pos="1134"/>
        </w:tabs>
        <w:spacing w:line="360" w:lineRule="auto"/>
        <w:jc w:val="both"/>
        <w:rPr>
          <w:rFonts w:eastAsia="Calibri"/>
          <w:color w:val="000000"/>
          <w:sz w:val="28"/>
          <w:szCs w:val="28"/>
          <w:lang w:eastAsia="en-US"/>
        </w:rPr>
      </w:pPr>
      <w:r w:rsidRPr="002D710A">
        <w:rPr>
          <w:rFonts w:eastAsia="Calibri"/>
          <w:color w:val="000000"/>
          <w:sz w:val="28"/>
          <w:szCs w:val="28"/>
          <w:lang w:eastAsia="en-US"/>
        </w:rPr>
        <w:lastRenderedPageBreak/>
        <w:t>Таблица 2.1 – Объемы кредитования физических лиц на 01.12.2024 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07"/>
        <w:gridCol w:w="3115"/>
        <w:gridCol w:w="3517"/>
      </w:tblGrid>
      <w:tr w:rsidR="002D710A" w:rsidRPr="002D710A" w14:paraId="415CF998" w14:textId="77777777" w:rsidTr="00B83EC8">
        <w:tc>
          <w:tcPr>
            <w:tcW w:w="3007" w:type="dxa"/>
            <w:vAlign w:val="center"/>
          </w:tcPr>
          <w:p w14:paraId="185BFC65" w14:textId="77777777" w:rsidR="002D710A" w:rsidRPr="002D710A" w:rsidRDefault="002D710A" w:rsidP="002D710A">
            <w:pPr>
              <w:widowControl w:val="0"/>
              <w:jc w:val="center"/>
              <w:rPr>
                <w:rFonts w:eastAsia="Calibri"/>
                <w:noProof/>
              </w:rPr>
            </w:pPr>
            <w:r w:rsidRPr="002D710A">
              <w:rPr>
                <w:rFonts w:eastAsia="Calibri"/>
              </w:rPr>
              <w:t>Место</w:t>
            </w:r>
          </w:p>
        </w:tc>
        <w:tc>
          <w:tcPr>
            <w:tcW w:w="3115" w:type="dxa"/>
            <w:vAlign w:val="center"/>
          </w:tcPr>
          <w:p w14:paraId="1BEE664A" w14:textId="77777777" w:rsidR="002D710A" w:rsidRPr="002D710A" w:rsidRDefault="002D710A" w:rsidP="002D710A">
            <w:pPr>
              <w:widowControl w:val="0"/>
              <w:jc w:val="center"/>
              <w:rPr>
                <w:rFonts w:eastAsia="Calibri"/>
                <w:noProof/>
              </w:rPr>
            </w:pPr>
            <w:r w:rsidRPr="002D710A">
              <w:rPr>
                <w:rFonts w:eastAsia="Calibri"/>
              </w:rPr>
              <w:t>Банк</w:t>
            </w:r>
          </w:p>
        </w:tc>
        <w:tc>
          <w:tcPr>
            <w:tcW w:w="3517" w:type="dxa"/>
            <w:vAlign w:val="center"/>
          </w:tcPr>
          <w:p w14:paraId="23D6F62F" w14:textId="77777777" w:rsidR="002D710A" w:rsidRPr="002D710A" w:rsidRDefault="002D710A" w:rsidP="002D710A">
            <w:pPr>
              <w:widowControl w:val="0"/>
              <w:jc w:val="center"/>
              <w:rPr>
                <w:rFonts w:eastAsia="Calibri"/>
              </w:rPr>
            </w:pPr>
            <w:r w:rsidRPr="002D710A">
              <w:rPr>
                <w:rFonts w:eastAsia="Calibri"/>
              </w:rPr>
              <w:t xml:space="preserve">Объем портфеля </w:t>
            </w:r>
          </w:p>
          <w:p w14:paraId="08AF1FA0" w14:textId="77777777" w:rsidR="002D710A" w:rsidRPr="002D710A" w:rsidRDefault="002D710A" w:rsidP="002D710A">
            <w:pPr>
              <w:widowControl w:val="0"/>
              <w:jc w:val="center"/>
              <w:rPr>
                <w:rFonts w:eastAsia="Calibri"/>
                <w:noProof/>
              </w:rPr>
            </w:pPr>
            <w:r w:rsidRPr="002D710A">
              <w:rPr>
                <w:rFonts w:eastAsia="Calibri"/>
              </w:rPr>
              <w:t>(млн. рублей)</w:t>
            </w:r>
          </w:p>
        </w:tc>
      </w:tr>
      <w:tr w:rsidR="002D710A" w:rsidRPr="002D710A" w14:paraId="4DA7A6B4" w14:textId="77777777" w:rsidTr="00B83EC8">
        <w:tc>
          <w:tcPr>
            <w:tcW w:w="3007" w:type="dxa"/>
            <w:vAlign w:val="center"/>
          </w:tcPr>
          <w:p w14:paraId="26E0061A" w14:textId="77777777" w:rsidR="002D710A" w:rsidRPr="002D710A" w:rsidRDefault="002D710A" w:rsidP="002D710A">
            <w:pPr>
              <w:widowControl w:val="0"/>
              <w:jc w:val="center"/>
              <w:rPr>
                <w:rFonts w:eastAsia="Calibri"/>
                <w:noProof/>
              </w:rPr>
            </w:pPr>
            <w:r w:rsidRPr="002D710A">
              <w:rPr>
                <w:rFonts w:eastAsia="Calibri"/>
              </w:rPr>
              <w:t>1</w:t>
            </w:r>
          </w:p>
        </w:tc>
        <w:tc>
          <w:tcPr>
            <w:tcW w:w="3115" w:type="dxa"/>
            <w:vAlign w:val="center"/>
          </w:tcPr>
          <w:p w14:paraId="7B56CAAA" w14:textId="77777777" w:rsidR="002D710A" w:rsidRPr="002D710A" w:rsidRDefault="002D710A" w:rsidP="002D710A">
            <w:pPr>
              <w:widowControl w:val="0"/>
              <w:jc w:val="center"/>
              <w:rPr>
                <w:rFonts w:eastAsia="Calibri"/>
                <w:noProof/>
              </w:rPr>
            </w:pPr>
            <w:r w:rsidRPr="002D710A">
              <w:rPr>
                <w:rFonts w:eastAsia="Calibri"/>
              </w:rPr>
              <w:t>ПАО Сбербанк</w:t>
            </w:r>
          </w:p>
        </w:tc>
        <w:tc>
          <w:tcPr>
            <w:tcW w:w="3517" w:type="dxa"/>
            <w:vAlign w:val="center"/>
          </w:tcPr>
          <w:p w14:paraId="4BA9D6F1" w14:textId="77777777" w:rsidR="002D710A" w:rsidRPr="002D710A" w:rsidRDefault="002D710A" w:rsidP="002D710A">
            <w:pPr>
              <w:widowControl w:val="0"/>
              <w:jc w:val="center"/>
              <w:rPr>
                <w:rFonts w:eastAsia="Calibri"/>
                <w:noProof/>
              </w:rPr>
            </w:pPr>
            <w:r w:rsidRPr="002D710A">
              <w:rPr>
                <w:rFonts w:eastAsia="Calibri"/>
              </w:rPr>
              <w:t>10 519 401,35</w:t>
            </w:r>
          </w:p>
        </w:tc>
      </w:tr>
      <w:tr w:rsidR="002D710A" w:rsidRPr="002D710A" w14:paraId="2B95BD04" w14:textId="77777777" w:rsidTr="00B83EC8">
        <w:tc>
          <w:tcPr>
            <w:tcW w:w="3007" w:type="dxa"/>
            <w:vAlign w:val="center"/>
          </w:tcPr>
          <w:p w14:paraId="33B32859" w14:textId="77777777" w:rsidR="002D710A" w:rsidRPr="002D710A" w:rsidRDefault="002D710A" w:rsidP="002D710A">
            <w:pPr>
              <w:widowControl w:val="0"/>
              <w:jc w:val="center"/>
              <w:rPr>
                <w:rFonts w:eastAsia="Calibri"/>
                <w:noProof/>
              </w:rPr>
            </w:pPr>
            <w:r w:rsidRPr="002D710A">
              <w:rPr>
                <w:rFonts w:eastAsia="Calibri"/>
              </w:rPr>
              <w:t>2</w:t>
            </w:r>
          </w:p>
        </w:tc>
        <w:tc>
          <w:tcPr>
            <w:tcW w:w="3115" w:type="dxa"/>
            <w:vAlign w:val="center"/>
          </w:tcPr>
          <w:p w14:paraId="7B1FB9D1" w14:textId="77777777" w:rsidR="002D710A" w:rsidRPr="002D710A" w:rsidRDefault="002D710A" w:rsidP="002D710A">
            <w:pPr>
              <w:widowControl w:val="0"/>
              <w:jc w:val="center"/>
              <w:rPr>
                <w:rFonts w:eastAsia="Calibri"/>
                <w:noProof/>
              </w:rPr>
            </w:pPr>
            <w:r w:rsidRPr="002D710A">
              <w:rPr>
                <w:rFonts w:eastAsia="Calibri"/>
              </w:rPr>
              <w:t>Банк ВТБ (ПАО)</w:t>
            </w:r>
          </w:p>
        </w:tc>
        <w:tc>
          <w:tcPr>
            <w:tcW w:w="3517" w:type="dxa"/>
            <w:vAlign w:val="center"/>
          </w:tcPr>
          <w:p w14:paraId="0B287ED1" w14:textId="77777777" w:rsidR="002D710A" w:rsidRPr="002D710A" w:rsidRDefault="002D710A" w:rsidP="002D710A">
            <w:pPr>
              <w:widowControl w:val="0"/>
              <w:jc w:val="center"/>
              <w:rPr>
                <w:rFonts w:eastAsia="Calibri"/>
                <w:noProof/>
              </w:rPr>
            </w:pPr>
            <w:r w:rsidRPr="002D710A">
              <w:rPr>
                <w:rFonts w:eastAsia="Calibri"/>
              </w:rPr>
              <w:t>4 146 110,20</w:t>
            </w:r>
          </w:p>
        </w:tc>
      </w:tr>
      <w:tr w:rsidR="002D710A" w:rsidRPr="002D710A" w14:paraId="4A3447F1" w14:textId="77777777" w:rsidTr="00B83EC8">
        <w:tc>
          <w:tcPr>
            <w:tcW w:w="3007" w:type="dxa"/>
            <w:vAlign w:val="center"/>
          </w:tcPr>
          <w:p w14:paraId="2A8118EC" w14:textId="77777777" w:rsidR="002D710A" w:rsidRPr="002D710A" w:rsidRDefault="002D710A" w:rsidP="002D710A">
            <w:pPr>
              <w:widowControl w:val="0"/>
              <w:jc w:val="center"/>
              <w:rPr>
                <w:rFonts w:eastAsia="Calibri"/>
                <w:noProof/>
              </w:rPr>
            </w:pPr>
            <w:r w:rsidRPr="002D710A">
              <w:rPr>
                <w:rFonts w:eastAsia="Calibri"/>
              </w:rPr>
              <w:t>3</w:t>
            </w:r>
          </w:p>
        </w:tc>
        <w:tc>
          <w:tcPr>
            <w:tcW w:w="3115" w:type="dxa"/>
            <w:vAlign w:val="center"/>
          </w:tcPr>
          <w:p w14:paraId="35A5E0BD" w14:textId="77777777" w:rsidR="002D710A" w:rsidRPr="002D710A" w:rsidRDefault="002D710A" w:rsidP="002D710A">
            <w:pPr>
              <w:widowControl w:val="0"/>
              <w:jc w:val="center"/>
              <w:rPr>
                <w:rFonts w:eastAsia="Calibri"/>
                <w:noProof/>
              </w:rPr>
            </w:pPr>
            <w:r w:rsidRPr="002D710A">
              <w:rPr>
                <w:rFonts w:eastAsia="Calibri"/>
              </w:rPr>
              <w:t>АО АЛЬФА-БАНК</w:t>
            </w:r>
          </w:p>
        </w:tc>
        <w:tc>
          <w:tcPr>
            <w:tcW w:w="3517" w:type="dxa"/>
            <w:vAlign w:val="center"/>
          </w:tcPr>
          <w:p w14:paraId="37AB85AE" w14:textId="77777777" w:rsidR="002D710A" w:rsidRPr="002D710A" w:rsidRDefault="002D710A" w:rsidP="002D710A">
            <w:pPr>
              <w:widowControl w:val="0"/>
              <w:jc w:val="center"/>
              <w:rPr>
                <w:rFonts w:eastAsia="Calibri"/>
                <w:noProof/>
              </w:rPr>
            </w:pPr>
            <w:r w:rsidRPr="002D710A">
              <w:rPr>
                <w:rFonts w:eastAsia="Calibri"/>
              </w:rPr>
              <w:t>1 275 181,07</w:t>
            </w:r>
          </w:p>
        </w:tc>
      </w:tr>
      <w:tr w:rsidR="002D710A" w:rsidRPr="002D710A" w14:paraId="25013F05" w14:textId="77777777" w:rsidTr="00B83EC8">
        <w:tc>
          <w:tcPr>
            <w:tcW w:w="3007" w:type="dxa"/>
            <w:vAlign w:val="center"/>
          </w:tcPr>
          <w:p w14:paraId="52B8B953" w14:textId="77777777" w:rsidR="002D710A" w:rsidRPr="002D710A" w:rsidRDefault="002D710A" w:rsidP="002D710A">
            <w:pPr>
              <w:widowControl w:val="0"/>
              <w:jc w:val="center"/>
              <w:rPr>
                <w:rFonts w:eastAsia="Calibri"/>
                <w:noProof/>
              </w:rPr>
            </w:pPr>
            <w:r w:rsidRPr="002D710A">
              <w:rPr>
                <w:rFonts w:eastAsia="Calibri"/>
              </w:rPr>
              <w:t>4</w:t>
            </w:r>
          </w:p>
        </w:tc>
        <w:tc>
          <w:tcPr>
            <w:tcW w:w="3115" w:type="dxa"/>
            <w:vAlign w:val="center"/>
          </w:tcPr>
          <w:p w14:paraId="13AA77A7" w14:textId="77777777" w:rsidR="002D710A" w:rsidRPr="002D710A" w:rsidRDefault="002D710A" w:rsidP="002D710A">
            <w:pPr>
              <w:widowControl w:val="0"/>
              <w:jc w:val="center"/>
              <w:rPr>
                <w:rFonts w:eastAsia="Calibri"/>
                <w:noProof/>
              </w:rPr>
            </w:pPr>
            <w:r w:rsidRPr="002D710A">
              <w:rPr>
                <w:rFonts w:eastAsia="Calibri"/>
              </w:rPr>
              <w:t>Банк ГПБ (АО)</w:t>
            </w:r>
          </w:p>
        </w:tc>
        <w:tc>
          <w:tcPr>
            <w:tcW w:w="3517" w:type="dxa"/>
            <w:vAlign w:val="center"/>
          </w:tcPr>
          <w:p w14:paraId="0DBCF49F" w14:textId="77777777" w:rsidR="002D710A" w:rsidRPr="002D710A" w:rsidRDefault="002D710A" w:rsidP="002D710A">
            <w:pPr>
              <w:widowControl w:val="0"/>
              <w:jc w:val="center"/>
              <w:rPr>
                <w:rFonts w:eastAsia="Calibri"/>
                <w:noProof/>
              </w:rPr>
            </w:pPr>
            <w:r w:rsidRPr="002D710A">
              <w:rPr>
                <w:rFonts w:eastAsia="Calibri"/>
              </w:rPr>
              <w:t>718 167,25</w:t>
            </w:r>
          </w:p>
        </w:tc>
      </w:tr>
      <w:tr w:rsidR="002D710A" w:rsidRPr="002D710A" w14:paraId="62AC3FE9" w14:textId="77777777" w:rsidTr="00B83EC8">
        <w:tc>
          <w:tcPr>
            <w:tcW w:w="3007" w:type="dxa"/>
            <w:vAlign w:val="center"/>
          </w:tcPr>
          <w:p w14:paraId="3BDB72B1" w14:textId="77777777" w:rsidR="002D710A" w:rsidRPr="002D710A" w:rsidRDefault="002D710A" w:rsidP="002D710A">
            <w:pPr>
              <w:widowControl w:val="0"/>
              <w:jc w:val="center"/>
              <w:rPr>
                <w:rFonts w:eastAsia="Calibri"/>
                <w:noProof/>
              </w:rPr>
            </w:pPr>
            <w:r w:rsidRPr="002D710A">
              <w:rPr>
                <w:rFonts w:eastAsia="Calibri"/>
              </w:rPr>
              <w:t>5</w:t>
            </w:r>
          </w:p>
        </w:tc>
        <w:tc>
          <w:tcPr>
            <w:tcW w:w="3115" w:type="dxa"/>
            <w:vAlign w:val="center"/>
          </w:tcPr>
          <w:p w14:paraId="6CCBBBE7" w14:textId="77777777" w:rsidR="002D710A" w:rsidRPr="002D710A" w:rsidRDefault="002D710A" w:rsidP="002D710A">
            <w:pPr>
              <w:widowControl w:val="0"/>
              <w:jc w:val="center"/>
              <w:rPr>
                <w:rFonts w:eastAsia="Calibri"/>
                <w:noProof/>
              </w:rPr>
            </w:pPr>
            <w:r w:rsidRPr="002D710A">
              <w:rPr>
                <w:rFonts w:eastAsia="Calibri"/>
              </w:rPr>
              <w:t>АО Тинькофф Банк</w:t>
            </w:r>
          </w:p>
        </w:tc>
        <w:tc>
          <w:tcPr>
            <w:tcW w:w="3517" w:type="dxa"/>
            <w:vAlign w:val="center"/>
          </w:tcPr>
          <w:p w14:paraId="5EF47152" w14:textId="77777777" w:rsidR="002D710A" w:rsidRPr="002D710A" w:rsidRDefault="002D710A" w:rsidP="002D710A">
            <w:pPr>
              <w:widowControl w:val="0"/>
              <w:jc w:val="center"/>
              <w:rPr>
                <w:rFonts w:eastAsia="Calibri"/>
                <w:noProof/>
              </w:rPr>
            </w:pPr>
            <w:r w:rsidRPr="002D710A">
              <w:rPr>
                <w:rFonts w:eastAsia="Calibri"/>
              </w:rPr>
              <w:t>620 961,15</w:t>
            </w:r>
          </w:p>
        </w:tc>
      </w:tr>
      <w:tr w:rsidR="002D710A" w:rsidRPr="002D710A" w14:paraId="3B44686A" w14:textId="77777777" w:rsidTr="00B83EC8">
        <w:tc>
          <w:tcPr>
            <w:tcW w:w="3007" w:type="dxa"/>
            <w:vAlign w:val="center"/>
          </w:tcPr>
          <w:p w14:paraId="051CC7C8" w14:textId="77777777" w:rsidR="002D710A" w:rsidRPr="002D710A" w:rsidRDefault="002D710A" w:rsidP="002D710A">
            <w:pPr>
              <w:widowControl w:val="0"/>
              <w:jc w:val="center"/>
              <w:rPr>
                <w:rFonts w:eastAsia="Calibri"/>
                <w:noProof/>
              </w:rPr>
            </w:pPr>
            <w:r w:rsidRPr="002D710A">
              <w:rPr>
                <w:rFonts w:eastAsia="Calibri"/>
              </w:rPr>
              <w:t>6</w:t>
            </w:r>
          </w:p>
        </w:tc>
        <w:tc>
          <w:tcPr>
            <w:tcW w:w="3115" w:type="dxa"/>
            <w:vAlign w:val="center"/>
          </w:tcPr>
          <w:p w14:paraId="3C28F9FB" w14:textId="77777777" w:rsidR="002D710A" w:rsidRPr="002D710A" w:rsidRDefault="002D710A" w:rsidP="002D710A">
            <w:pPr>
              <w:widowControl w:val="0"/>
              <w:jc w:val="center"/>
              <w:rPr>
                <w:rFonts w:eastAsia="Calibri"/>
                <w:noProof/>
              </w:rPr>
            </w:pPr>
            <w:r w:rsidRPr="002D710A">
              <w:rPr>
                <w:rFonts w:eastAsia="Calibri"/>
              </w:rPr>
              <w:t xml:space="preserve">АО </w:t>
            </w:r>
            <w:proofErr w:type="spellStart"/>
            <w:r w:rsidRPr="002D710A">
              <w:rPr>
                <w:rFonts w:eastAsia="Calibri"/>
              </w:rPr>
              <w:t>Россельхозбанк</w:t>
            </w:r>
            <w:proofErr w:type="spellEnd"/>
          </w:p>
        </w:tc>
        <w:tc>
          <w:tcPr>
            <w:tcW w:w="3517" w:type="dxa"/>
            <w:vAlign w:val="center"/>
          </w:tcPr>
          <w:p w14:paraId="0B0AE01D" w14:textId="77777777" w:rsidR="002D710A" w:rsidRPr="002D710A" w:rsidRDefault="002D710A" w:rsidP="002D710A">
            <w:pPr>
              <w:widowControl w:val="0"/>
              <w:jc w:val="center"/>
              <w:rPr>
                <w:rFonts w:eastAsia="Calibri"/>
                <w:noProof/>
              </w:rPr>
            </w:pPr>
            <w:r w:rsidRPr="002D710A">
              <w:rPr>
                <w:rFonts w:eastAsia="Calibri"/>
              </w:rPr>
              <w:t>615 330,68</w:t>
            </w:r>
          </w:p>
        </w:tc>
      </w:tr>
      <w:tr w:rsidR="002D710A" w:rsidRPr="002D710A" w14:paraId="165D5070" w14:textId="77777777" w:rsidTr="00B83EC8">
        <w:tc>
          <w:tcPr>
            <w:tcW w:w="3007" w:type="dxa"/>
            <w:vAlign w:val="center"/>
          </w:tcPr>
          <w:p w14:paraId="4A6686F8" w14:textId="77777777" w:rsidR="002D710A" w:rsidRPr="002D710A" w:rsidRDefault="002D710A" w:rsidP="002D710A">
            <w:pPr>
              <w:widowControl w:val="0"/>
              <w:jc w:val="center"/>
              <w:rPr>
                <w:rFonts w:eastAsia="Calibri"/>
                <w:noProof/>
              </w:rPr>
            </w:pPr>
            <w:r w:rsidRPr="002D710A">
              <w:rPr>
                <w:rFonts w:eastAsia="Calibri"/>
              </w:rPr>
              <w:t>7</w:t>
            </w:r>
          </w:p>
        </w:tc>
        <w:tc>
          <w:tcPr>
            <w:tcW w:w="3115" w:type="dxa"/>
            <w:vAlign w:val="center"/>
          </w:tcPr>
          <w:p w14:paraId="5A54B77A" w14:textId="77777777" w:rsidR="002D710A" w:rsidRPr="002D710A" w:rsidRDefault="002D710A" w:rsidP="002D710A">
            <w:pPr>
              <w:widowControl w:val="0"/>
              <w:jc w:val="center"/>
              <w:rPr>
                <w:rFonts w:eastAsia="Calibri"/>
                <w:noProof/>
              </w:rPr>
            </w:pPr>
            <w:r w:rsidRPr="002D710A">
              <w:rPr>
                <w:rFonts w:eastAsia="Calibri"/>
              </w:rPr>
              <w:t>ПАО Банк ФК Открытие</w:t>
            </w:r>
          </w:p>
        </w:tc>
        <w:tc>
          <w:tcPr>
            <w:tcW w:w="3517" w:type="dxa"/>
            <w:vAlign w:val="center"/>
          </w:tcPr>
          <w:p w14:paraId="7F0FA5EC" w14:textId="77777777" w:rsidR="002D710A" w:rsidRPr="002D710A" w:rsidRDefault="002D710A" w:rsidP="002D710A">
            <w:pPr>
              <w:widowControl w:val="0"/>
              <w:jc w:val="center"/>
              <w:rPr>
                <w:rFonts w:eastAsia="Calibri"/>
                <w:noProof/>
              </w:rPr>
            </w:pPr>
            <w:r w:rsidRPr="002D710A">
              <w:rPr>
                <w:rFonts w:eastAsia="Calibri"/>
              </w:rPr>
              <w:t>577 255,02</w:t>
            </w:r>
          </w:p>
        </w:tc>
      </w:tr>
      <w:tr w:rsidR="002D710A" w:rsidRPr="002D710A" w14:paraId="4B21744B" w14:textId="77777777" w:rsidTr="00B83EC8">
        <w:tc>
          <w:tcPr>
            <w:tcW w:w="3007" w:type="dxa"/>
            <w:vAlign w:val="center"/>
          </w:tcPr>
          <w:p w14:paraId="14E39C5A" w14:textId="77777777" w:rsidR="002D710A" w:rsidRPr="002D710A" w:rsidRDefault="002D710A" w:rsidP="002D710A">
            <w:pPr>
              <w:widowControl w:val="0"/>
              <w:jc w:val="center"/>
              <w:rPr>
                <w:rFonts w:eastAsia="Calibri"/>
                <w:noProof/>
              </w:rPr>
            </w:pPr>
            <w:r w:rsidRPr="002D710A">
              <w:rPr>
                <w:rFonts w:eastAsia="Calibri"/>
              </w:rPr>
              <w:t>8</w:t>
            </w:r>
          </w:p>
        </w:tc>
        <w:tc>
          <w:tcPr>
            <w:tcW w:w="3115" w:type="dxa"/>
            <w:vAlign w:val="center"/>
          </w:tcPr>
          <w:p w14:paraId="7AF1DCFE" w14:textId="77777777" w:rsidR="002D710A" w:rsidRPr="002D710A" w:rsidRDefault="002D710A" w:rsidP="002D710A">
            <w:pPr>
              <w:widowControl w:val="0"/>
              <w:jc w:val="center"/>
              <w:rPr>
                <w:rFonts w:eastAsia="Calibri"/>
                <w:noProof/>
              </w:rPr>
            </w:pPr>
            <w:r w:rsidRPr="002D710A">
              <w:rPr>
                <w:rFonts w:eastAsia="Calibri"/>
              </w:rPr>
              <w:t>ПАО РОСБАНК</w:t>
            </w:r>
          </w:p>
        </w:tc>
        <w:tc>
          <w:tcPr>
            <w:tcW w:w="3517" w:type="dxa"/>
            <w:vAlign w:val="center"/>
          </w:tcPr>
          <w:p w14:paraId="2BB7F43C" w14:textId="77777777" w:rsidR="002D710A" w:rsidRPr="002D710A" w:rsidRDefault="002D710A" w:rsidP="002D710A">
            <w:pPr>
              <w:widowControl w:val="0"/>
              <w:jc w:val="center"/>
              <w:rPr>
                <w:rFonts w:eastAsia="Calibri"/>
                <w:noProof/>
              </w:rPr>
            </w:pPr>
            <w:r w:rsidRPr="002D710A">
              <w:rPr>
                <w:rFonts w:eastAsia="Calibri"/>
              </w:rPr>
              <w:t>560 941,18</w:t>
            </w:r>
          </w:p>
        </w:tc>
      </w:tr>
      <w:tr w:rsidR="002D710A" w:rsidRPr="002D710A" w14:paraId="73B6619C" w14:textId="77777777" w:rsidTr="00B83EC8">
        <w:tc>
          <w:tcPr>
            <w:tcW w:w="3007" w:type="dxa"/>
            <w:vAlign w:val="center"/>
          </w:tcPr>
          <w:p w14:paraId="5D773A8F" w14:textId="77777777" w:rsidR="002D710A" w:rsidRPr="002D710A" w:rsidRDefault="002D710A" w:rsidP="002D710A">
            <w:pPr>
              <w:widowControl w:val="0"/>
              <w:jc w:val="center"/>
              <w:rPr>
                <w:rFonts w:eastAsia="Calibri"/>
                <w:noProof/>
              </w:rPr>
            </w:pPr>
            <w:r w:rsidRPr="002D710A">
              <w:rPr>
                <w:rFonts w:eastAsia="Calibri"/>
              </w:rPr>
              <w:t>9</w:t>
            </w:r>
          </w:p>
        </w:tc>
        <w:tc>
          <w:tcPr>
            <w:tcW w:w="3115" w:type="dxa"/>
            <w:vAlign w:val="center"/>
          </w:tcPr>
          <w:p w14:paraId="420E6D92" w14:textId="77777777" w:rsidR="002D710A" w:rsidRPr="002D710A" w:rsidRDefault="002D710A" w:rsidP="002D710A">
            <w:pPr>
              <w:widowControl w:val="0"/>
              <w:jc w:val="center"/>
              <w:rPr>
                <w:rFonts w:eastAsia="Calibri"/>
                <w:noProof/>
              </w:rPr>
            </w:pPr>
            <w:r w:rsidRPr="002D710A">
              <w:rPr>
                <w:rFonts w:eastAsia="Calibri"/>
              </w:rPr>
              <w:t>АО «АТБ»</w:t>
            </w:r>
          </w:p>
        </w:tc>
        <w:tc>
          <w:tcPr>
            <w:tcW w:w="3517" w:type="dxa"/>
            <w:vAlign w:val="center"/>
          </w:tcPr>
          <w:p w14:paraId="3E8E49EA" w14:textId="77777777" w:rsidR="002D710A" w:rsidRPr="002D710A" w:rsidRDefault="002D710A" w:rsidP="002D710A">
            <w:pPr>
              <w:widowControl w:val="0"/>
              <w:jc w:val="center"/>
              <w:rPr>
                <w:rFonts w:eastAsia="Calibri"/>
                <w:noProof/>
              </w:rPr>
            </w:pPr>
            <w:r w:rsidRPr="002D710A">
              <w:rPr>
                <w:rFonts w:eastAsia="Calibri"/>
              </w:rPr>
              <w:t>508 326,55</w:t>
            </w:r>
          </w:p>
        </w:tc>
      </w:tr>
      <w:tr w:rsidR="002D710A" w:rsidRPr="002D710A" w14:paraId="538615BF" w14:textId="77777777" w:rsidTr="00B83EC8">
        <w:tc>
          <w:tcPr>
            <w:tcW w:w="3007" w:type="dxa"/>
            <w:vAlign w:val="center"/>
          </w:tcPr>
          <w:p w14:paraId="36CB8214" w14:textId="77777777" w:rsidR="002D710A" w:rsidRPr="002D710A" w:rsidRDefault="002D710A" w:rsidP="002D710A">
            <w:pPr>
              <w:widowControl w:val="0"/>
              <w:jc w:val="center"/>
              <w:rPr>
                <w:rFonts w:eastAsia="Calibri"/>
                <w:noProof/>
              </w:rPr>
            </w:pPr>
            <w:r w:rsidRPr="002D710A">
              <w:rPr>
                <w:rFonts w:eastAsia="Calibri"/>
              </w:rPr>
              <w:t>10</w:t>
            </w:r>
          </w:p>
        </w:tc>
        <w:tc>
          <w:tcPr>
            <w:tcW w:w="3115" w:type="dxa"/>
            <w:vAlign w:val="center"/>
          </w:tcPr>
          <w:p w14:paraId="3849FC07" w14:textId="77777777" w:rsidR="002D710A" w:rsidRPr="002D710A" w:rsidRDefault="002D710A" w:rsidP="002D710A">
            <w:pPr>
              <w:widowControl w:val="0"/>
              <w:jc w:val="center"/>
              <w:rPr>
                <w:rFonts w:eastAsia="Calibri"/>
                <w:noProof/>
              </w:rPr>
            </w:pPr>
            <w:r w:rsidRPr="002D710A">
              <w:rPr>
                <w:rFonts w:eastAsia="Calibri"/>
              </w:rPr>
              <w:t>АО Почта Банк</w:t>
            </w:r>
          </w:p>
        </w:tc>
        <w:tc>
          <w:tcPr>
            <w:tcW w:w="3517" w:type="dxa"/>
            <w:vAlign w:val="center"/>
          </w:tcPr>
          <w:p w14:paraId="09566C51" w14:textId="77777777" w:rsidR="002D710A" w:rsidRPr="002D710A" w:rsidRDefault="002D710A" w:rsidP="002D710A">
            <w:pPr>
              <w:widowControl w:val="0"/>
              <w:jc w:val="center"/>
              <w:rPr>
                <w:rFonts w:eastAsia="Calibri"/>
                <w:noProof/>
              </w:rPr>
            </w:pPr>
            <w:r w:rsidRPr="002D710A">
              <w:rPr>
                <w:rFonts w:eastAsia="Calibri"/>
              </w:rPr>
              <w:t>459 714,85</w:t>
            </w:r>
          </w:p>
        </w:tc>
      </w:tr>
    </w:tbl>
    <w:p w14:paraId="59FD34AD" w14:textId="77777777" w:rsidR="002D710A" w:rsidRPr="002D710A" w:rsidRDefault="002D710A" w:rsidP="002D710A">
      <w:pPr>
        <w:tabs>
          <w:tab w:val="left" w:pos="1134"/>
        </w:tabs>
        <w:spacing w:line="360" w:lineRule="auto"/>
        <w:ind w:firstLine="709"/>
        <w:jc w:val="both"/>
        <w:rPr>
          <w:rFonts w:eastAsia="Calibri"/>
          <w:color w:val="000000"/>
          <w:lang w:eastAsia="en-US"/>
        </w:rPr>
      </w:pPr>
    </w:p>
    <w:p w14:paraId="61DAA717" w14:textId="77777777" w:rsidR="002D710A" w:rsidRPr="002D710A" w:rsidRDefault="002D710A" w:rsidP="002D710A">
      <w:pPr>
        <w:tabs>
          <w:tab w:val="left" w:pos="1134"/>
        </w:tabs>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Анализ кредитного портфеля может быть структурирован в соответствии с различными задачами и особенностями. Две основные структуры включают:</w:t>
      </w:r>
    </w:p>
    <w:p w14:paraId="1C48F9D2" w14:textId="43F4DE3F" w:rsidR="002D710A" w:rsidRPr="002D710A" w:rsidRDefault="002D710A" w:rsidP="002D710A">
      <w:pPr>
        <w:tabs>
          <w:tab w:val="left" w:pos="1134"/>
        </w:tabs>
        <w:spacing w:line="360" w:lineRule="auto"/>
        <w:ind w:firstLine="709"/>
        <w:jc w:val="both"/>
        <w:rPr>
          <w:rFonts w:eastAsia="Calibri"/>
          <w:color w:val="000000"/>
          <w:sz w:val="28"/>
          <w:szCs w:val="28"/>
          <w:lang w:eastAsia="en-US"/>
        </w:rPr>
      </w:pPr>
      <w:r>
        <w:rPr>
          <w:rFonts w:eastAsia="Calibri"/>
          <w:color w:val="000000"/>
          <w:sz w:val="28"/>
          <w:szCs w:val="28"/>
          <w:lang w:eastAsia="en-US"/>
        </w:rPr>
        <w:t xml:space="preserve">1 </w:t>
      </w:r>
      <w:r w:rsidRPr="002D710A">
        <w:rPr>
          <w:rFonts w:eastAsia="Calibri"/>
          <w:color w:val="000000"/>
          <w:sz w:val="28"/>
          <w:szCs w:val="28"/>
          <w:lang w:eastAsia="en-US"/>
        </w:rPr>
        <w:t>Структурирование по категориям заемщиков: Портфель может быть разделен на категории, такие как кредитные учреждения, корпоративные клиенты и граждане. Это помогает банку оценить и анализировать риски, связанные с каждой категорией заемщиков.</w:t>
      </w:r>
    </w:p>
    <w:p w14:paraId="36A4A64F" w14:textId="03F33D70" w:rsidR="002D710A" w:rsidRPr="002D710A" w:rsidRDefault="002D710A" w:rsidP="002D710A">
      <w:pPr>
        <w:tabs>
          <w:tab w:val="left" w:pos="1134"/>
        </w:tabs>
        <w:spacing w:line="360" w:lineRule="auto"/>
        <w:ind w:firstLine="709"/>
        <w:jc w:val="both"/>
        <w:rPr>
          <w:rFonts w:eastAsia="Calibri"/>
          <w:color w:val="000000"/>
          <w:sz w:val="28"/>
          <w:szCs w:val="28"/>
          <w:lang w:eastAsia="en-US"/>
        </w:rPr>
      </w:pPr>
      <w:r>
        <w:rPr>
          <w:rFonts w:eastAsia="Calibri"/>
          <w:color w:val="000000"/>
          <w:sz w:val="28"/>
          <w:szCs w:val="28"/>
          <w:lang w:eastAsia="en-US"/>
        </w:rPr>
        <w:t xml:space="preserve">2 </w:t>
      </w:r>
      <w:r w:rsidRPr="002D710A">
        <w:rPr>
          <w:rFonts w:eastAsia="Calibri"/>
          <w:color w:val="000000"/>
          <w:sz w:val="28"/>
          <w:szCs w:val="28"/>
          <w:lang w:eastAsia="en-US"/>
        </w:rPr>
        <w:t>Структурирование по срокам размещения: кредиты могут быть классифицированы как краткосрочные, среднесрочные и долгосрочные. Такое разделение позволяет банку контролировать и анализировать риски, связанные с различными сроками кредитования.</w:t>
      </w:r>
    </w:p>
    <w:p w14:paraId="658D074E" w14:textId="77777777" w:rsidR="002D710A" w:rsidRPr="002D710A" w:rsidRDefault="002D710A" w:rsidP="002D710A">
      <w:pPr>
        <w:tabs>
          <w:tab w:val="left" w:pos="1134"/>
        </w:tabs>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 xml:space="preserve">Важно отметить, что на российском кредитном рынке существует тесная связь между процентной ставкой по кредиту и долей просроченной задолженности в кредитном портфеле. </w:t>
      </w:r>
    </w:p>
    <w:p w14:paraId="6E5E16AC" w14:textId="77777777" w:rsidR="002D710A" w:rsidRPr="002D710A" w:rsidRDefault="002D710A" w:rsidP="002D710A">
      <w:pPr>
        <w:tabs>
          <w:tab w:val="left" w:pos="1134"/>
        </w:tabs>
        <w:spacing w:line="360" w:lineRule="auto"/>
        <w:ind w:firstLine="709"/>
        <w:jc w:val="both"/>
        <w:rPr>
          <w:rFonts w:eastAsia="Calibri"/>
          <w:color w:val="000000"/>
          <w:sz w:val="28"/>
          <w:szCs w:val="28"/>
          <w:lang w:eastAsia="en-US"/>
        </w:rPr>
      </w:pPr>
      <w:r w:rsidRPr="002D710A">
        <w:rPr>
          <w:rFonts w:eastAsia="Calibri"/>
          <w:color w:val="000000"/>
          <w:sz w:val="28"/>
          <w:szCs w:val="28"/>
          <w:lang w:eastAsia="en-US"/>
        </w:rPr>
        <w:t>Повышение процентных ставок является естественной реакцией банков на рост кредитных рисков. Однако, увеличение процентной ставки также повышает кредитный риск и вероятность возникновения просроченной задолженности.</w:t>
      </w:r>
    </w:p>
    <w:p w14:paraId="2A98AE6F"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На текущий момент, таким образом, доля просроченной задолженности из расчёта на 1-го гражданина, входящего в категорию экономически активного населения, составляет в среднем около 1,8</w:t>
      </w:r>
      <w:r w:rsidRPr="002D710A">
        <w:rPr>
          <w:rFonts w:eastAsia="Calibri"/>
          <w:color w:val="000000"/>
          <w:sz w:val="28"/>
          <w:szCs w:val="28"/>
          <w:lang w:eastAsia="en-US"/>
        </w:rPr>
        <w:softHyphen/>
        <w:t xml:space="preserve"> млн. руб. или более 65% от среднего размера заработной платы. Значение показателя выросло вшестеро за последнее </w:t>
      </w:r>
      <w:r w:rsidRPr="002D710A">
        <w:rPr>
          <w:rFonts w:eastAsia="Calibri"/>
          <w:color w:val="000000"/>
          <w:sz w:val="28"/>
          <w:szCs w:val="28"/>
          <w:lang w:eastAsia="en-US"/>
        </w:rPr>
        <w:lastRenderedPageBreak/>
        <w:t>десятилетие; по состоянию на начало 2010-го года оно не превышало 15% от средней величины оплаты труда (3000 рублей).</w:t>
      </w:r>
    </w:p>
    <w:p w14:paraId="3E68AC2B" w14:textId="559A461B"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В целом по РФ состав передаваемого кредитного портфеля мало отличается: 58% – это потребительское кредитование; примерно 33% – кредитные карты; 9% – автокредиты; 0,1% – жилищное кредитование. Следует отметить, что массовый доступ к потребительским кредитам объясняет тот факт, что именно на них приходится максимальная доля в составе задолженности. Иная ситуация наблюдается с жилищным кредитованием, что обусловлено приоритетным значением недвижимых активов – в данном случае заёмщик стремится не задерживать оплату.</w:t>
      </w:r>
    </w:p>
    <w:p w14:paraId="50A1D146"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 xml:space="preserve">Приходящаяся на 1-го заёмщика сумма задолженности, согласно информации объединенного кредитного бюро, существенно возросла; в течение года долг заемщика с одним кредитом увеличился до 137 тыс. руб., что составляет 12%; с двумя кредитами – до 284 тыс. руб. или 11%; с тремя – до 403 тыс. руб. (14%); с четырьмя – до 514 тыс. руб. (14%). В течение года общая сумма потребительских кредитов, выданных гражданам РФ, согласно статистике ЦБ РФ, возросла более чем на 3 миллиарда рублей [26]. </w:t>
      </w:r>
    </w:p>
    <w:p w14:paraId="6AE65A98"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Итак, проблема закредитованности граждан на текущий момент входит в число наиболее актуальных; кредитные организации сталкиваются с ростом безнадёжной задолженности, а заемщики – с невозможностью погасить долг перед банком. Кредитные риски, таким образом, возрастают, и возникает необходимость создавать дополнительные резервы.</w:t>
      </w:r>
    </w:p>
    <w:p w14:paraId="222E7634"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 xml:space="preserve">Реальные располагаемые доходы граждан снижаются под влиянием таких факторов, как повышение квартплаты и налогов, санкционная нагрузка на национальную экономику, а также чрезмерная инфляция; таким образом, населению всё труднее выплачивать кредиты. </w:t>
      </w:r>
    </w:p>
    <w:p w14:paraId="6B795B77" w14:textId="4C4608BD"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 xml:space="preserve">Наиболее значимые проблемы в исследуемой сфере решаются за счёт комплексного анализа платежеспособности заёмщиков – физических лиц. Первоначальным этапом управления кредитным портфелем банка выступает разработка кредитной политики, что требует, прежде всего, пересмотра </w:t>
      </w:r>
      <w:r w:rsidRPr="002D710A">
        <w:rPr>
          <w:rFonts w:eastAsia="Calibri"/>
          <w:color w:val="000000"/>
          <w:sz w:val="28"/>
          <w:szCs w:val="28"/>
          <w:lang w:eastAsia="en-US"/>
        </w:rPr>
        <w:lastRenderedPageBreak/>
        <w:t>организационных аспектов финансирования предприятия и учета основных рисков.</w:t>
      </w:r>
    </w:p>
    <w:p w14:paraId="29B6D560"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В кредитном портфеле АО «Альфа-Банк», согласно результатам анализа финансовой отчетности, а также текущего состояния кредитного рынка, общий объём задолженности 5-й категории (т.е. безнадежной) выше объёма задолженности 4-й категории (проблемной); в общей же сложности около 60% (или 3/5) кредитов относятся к рискованным.</w:t>
      </w:r>
    </w:p>
    <w:p w14:paraId="66248223"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Указанная проблема может быть решена за счёт следующих мер: совершенствование применяемых методов оценки кредитоспособности заемщиков; усиление внутреннего контроля персонала; исследование и учёт положительного зарубежного опыта; совершенствование относящейся к банковской отрасли судебной практики.</w:t>
      </w:r>
    </w:p>
    <w:p w14:paraId="21A176BF"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На текущий момент банк принимает решение по кредиту после поэтапного процесса рассмотрения заявки; т.н. человеческий фактор при принятии решения исключается посредством применения скоринга, с учётом представленной заявителем информации. Оценка при использовании скоринга осуществляется в автоматическом режиме, её результат рассчитывается в баллах, причём минимально допустимое для выдачи кредита значение определяется банковским учреждением самостоятельно.</w:t>
      </w:r>
    </w:p>
    <w:p w14:paraId="4A5544CB" w14:textId="77777777" w:rsidR="002D710A" w:rsidRP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 xml:space="preserve">Чтобы обеспечить оптимальное функционирование используемой системы оценки платежеспособности, следует внедрить также такое средство, как </w:t>
      </w:r>
      <w:proofErr w:type="spellStart"/>
      <w:r w:rsidRPr="002D710A">
        <w:rPr>
          <w:rFonts w:eastAsia="Calibri"/>
          <w:color w:val="000000"/>
          <w:sz w:val="28"/>
          <w:szCs w:val="28"/>
          <w:lang w:eastAsia="en-US"/>
        </w:rPr>
        <w:t>психоскоринг</w:t>
      </w:r>
      <w:proofErr w:type="spellEnd"/>
      <w:r w:rsidRPr="002D710A">
        <w:rPr>
          <w:rFonts w:eastAsia="Calibri"/>
          <w:color w:val="000000"/>
          <w:sz w:val="28"/>
          <w:szCs w:val="28"/>
          <w:lang w:eastAsia="en-US"/>
        </w:rPr>
        <w:t xml:space="preserve">, представляющий собой проводимый с учётом требований защиты личных данных пользователей анализ личности заемщика по его действиям в социальных сетях в Интернете. </w:t>
      </w:r>
    </w:p>
    <w:p w14:paraId="443CFD8E" w14:textId="3C8CF9B9" w:rsidR="002D710A" w:rsidRDefault="002D710A" w:rsidP="002D710A">
      <w:pPr>
        <w:spacing w:line="360" w:lineRule="auto"/>
        <w:ind w:firstLine="709"/>
        <w:contextualSpacing/>
        <w:jc w:val="both"/>
        <w:rPr>
          <w:rFonts w:eastAsia="Calibri"/>
          <w:color w:val="000000"/>
          <w:sz w:val="28"/>
          <w:szCs w:val="28"/>
          <w:lang w:eastAsia="en-US"/>
        </w:rPr>
      </w:pPr>
      <w:r w:rsidRPr="002D710A">
        <w:rPr>
          <w:rFonts w:eastAsia="Calibri"/>
          <w:color w:val="000000"/>
          <w:sz w:val="28"/>
          <w:szCs w:val="28"/>
          <w:lang w:eastAsia="en-US"/>
        </w:rPr>
        <w:t xml:space="preserve">Следует отметить, что интернет-пользователи, в соответствии с результатами международных исследований, проводят в социальных сетях около 2,5 ч в день. За счёт применения инструментов </w:t>
      </w:r>
      <w:proofErr w:type="spellStart"/>
      <w:r w:rsidRPr="002D710A">
        <w:rPr>
          <w:rFonts w:eastAsia="Calibri"/>
          <w:color w:val="000000"/>
          <w:sz w:val="28"/>
          <w:szCs w:val="28"/>
          <w:lang w:eastAsia="en-US"/>
        </w:rPr>
        <w:t>психоскоринга</w:t>
      </w:r>
      <w:proofErr w:type="spellEnd"/>
      <w:r w:rsidRPr="002D710A">
        <w:rPr>
          <w:rFonts w:eastAsia="Calibri"/>
          <w:color w:val="000000"/>
          <w:sz w:val="28"/>
          <w:szCs w:val="28"/>
          <w:lang w:eastAsia="en-US"/>
        </w:rPr>
        <w:t xml:space="preserve"> можно проанализировать поведение заявителя в виртуальном пространстве по целому ряду алгоритмов и таким образом выявить различные схемы его поведения</w:t>
      </w:r>
      <w:r w:rsidR="00372B95">
        <w:rPr>
          <w:rFonts w:eastAsia="Calibri"/>
          <w:color w:val="000000"/>
          <w:sz w:val="28"/>
          <w:szCs w:val="28"/>
          <w:lang w:eastAsia="en-US"/>
        </w:rPr>
        <w:t>.</w:t>
      </w:r>
    </w:p>
    <w:p w14:paraId="07550427" w14:textId="203C7DE1" w:rsidR="003216B1" w:rsidRDefault="003216B1" w:rsidP="002D710A">
      <w:pPr>
        <w:spacing w:line="360" w:lineRule="auto"/>
        <w:ind w:firstLine="709"/>
        <w:contextualSpacing/>
        <w:jc w:val="both"/>
        <w:rPr>
          <w:rFonts w:eastAsia="Calibri"/>
          <w:color w:val="000000"/>
          <w:sz w:val="28"/>
          <w:szCs w:val="28"/>
          <w:lang w:eastAsia="en-US"/>
        </w:rPr>
      </w:pPr>
      <w:r>
        <w:rPr>
          <w:rFonts w:eastAsia="Calibri"/>
          <w:color w:val="000000"/>
          <w:sz w:val="28"/>
          <w:szCs w:val="28"/>
          <w:lang w:eastAsia="en-US"/>
        </w:rPr>
        <w:lastRenderedPageBreak/>
        <w:t xml:space="preserve">Теперь рассмотрим внешние факторы, оказывающие негативное влияние на банк на примере </w:t>
      </w:r>
      <w:r>
        <w:rPr>
          <w:rFonts w:eastAsia="Calibri"/>
          <w:color w:val="000000"/>
          <w:sz w:val="28"/>
          <w:szCs w:val="28"/>
          <w:lang w:val="en-US" w:eastAsia="en-US"/>
        </w:rPr>
        <w:t>PEST</w:t>
      </w:r>
      <w:r>
        <w:rPr>
          <w:rFonts w:eastAsia="Calibri"/>
          <w:color w:val="000000"/>
          <w:sz w:val="28"/>
          <w:szCs w:val="28"/>
          <w:lang w:eastAsia="en-US"/>
        </w:rPr>
        <w:t xml:space="preserve"> – анализа. </w:t>
      </w:r>
    </w:p>
    <w:p w14:paraId="4BB5E4EC" w14:textId="7F51AC5C" w:rsidR="003216B1" w:rsidRDefault="003216B1" w:rsidP="003216B1">
      <w:pPr>
        <w:spacing w:line="360" w:lineRule="auto"/>
        <w:contextualSpacing/>
        <w:jc w:val="both"/>
        <w:rPr>
          <w:rFonts w:eastAsia="Calibri"/>
          <w:color w:val="000000"/>
          <w:sz w:val="28"/>
          <w:szCs w:val="28"/>
          <w:lang w:eastAsia="en-US"/>
        </w:rPr>
      </w:pPr>
      <w:r>
        <w:rPr>
          <w:rFonts w:eastAsia="Calibri"/>
          <w:color w:val="000000"/>
          <w:sz w:val="28"/>
          <w:szCs w:val="28"/>
          <w:lang w:eastAsia="en-US"/>
        </w:rPr>
        <w:t xml:space="preserve">Таблица 2.2 </w:t>
      </w:r>
      <w:r>
        <w:rPr>
          <w:rFonts w:eastAsia="Calibri"/>
          <w:color w:val="000000"/>
          <w:sz w:val="28"/>
          <w:szCs w:val="28"/>
          <w:lang w:val="en-US" w:eastAsia="en-US"/>
        </w:rPr>
        <w:t>PEST</w:t>
      </w:r>
      <w:r w:rsidRPr="003216B1">
        <w:rPr>
          <w:rFonts w:eastAsia="Calibri"/>
          <w:color w:val="000000"/>
          <w:sz w:val="28"/>
          <w:szCs w:val="28"/>
          <w:lang w:eastAsia="en-US"/>
        </w:rPr>
        <w:t>-</w:t>
      </w:r>
      <w:r>
        <w:rPr>
          <w:rFonts w:eastAsia="Calibri"/>
          <w:color w:val="000000"/>
          <w:sz w:val="28"/>
          <w:szCs w:val="28"/>
          <w:lang w:eastAsia="en-US"/>
        </w:rPr>
        <w:t>анализ АО «Альфа-Банк»</w:t>
      </w:r>
    </w:p>
    <w:tbl>
      <w:tblPr>
        <w:tblStyle w:val="af0"/>
        <w:tblW w:w="0" w:type="auto"/>
        <w:tblLook w:val="04A0" w:firstRow="1" w:lastRow="0" w:firstColumn="1" w:lastColumn="0" w:noHBand="0" w:noVBand="1"/>
      </w:tblPr>
      <w:tblGrid>
        <w:gridCol w:w="2413"/>
        <w:gridCol w:w="3554"/>
        <w:gridCol w:w="1099"/>
        <w:gridCol w:w="1556"/>
        <w:gridCol w:w="1232"/>
      </w:tblGrid>
      <w:tr w:rsidR="00070521" w14:paraId="69539DFD" w14:textId="77777777" w:rsidTr="0072077B">
        <w:tc>
          <w:tcPr>
            <w:tcW w:w="2413" w:type="dxa"/>
          </w:tcPr>
          <w:p w14:paraId="42B66B85" w14:textId="5F593728" w:rsidR="00070521" w:rsidRPr="00070521" w:rsidRDefault="00070521" w:rsidP="00070521">
            <w:pPr>
              <w:spacing w:line="360" w:lineRule="auto"/>
              <w:contextualSpacing/>
              <w:jc w:val="center"/>
              <w:rPr>
                <w:rFonts w:eastAsia="Calibri"/>
                <w:color w:val="000000"/>
                <w:lang w:eastAsia="en-US"/>
              </w:rPr>
            </w:pPr>
            <w:r w:rsidRPr="00070521">
              <w:rPr>
                <w:rFonts w:eastAsia="Calibri"/>
                <w:color w:val="000000"/>
                <w:lang w:eastAsia="en-US"/>
              </w:rPr>
              <w:t>Факторы</w:t>
            </w:r>
          </w:p>
        </w:tc>
        <w:tc>
          <w:tcPr>
            <w:tcW w:w="3554" w:type="dxa"/>
          </w:tcPr>
          <w:p w14:paraId="6B47AF05" w14:textId="50D20793" w:rsidR="00070521" w:rsidRPr="00070521" w:rsidRDefault="00070521" w:rsidP="00070521">
            <w:pPr>
              <w:spacing w:line="360" w:lineRule="auto"/>
              <w:contextualSpacing/>
              <w:jc w:val="center"/>
              <w:rPr>
                <w:rFonts w:eastAsia="Calibri"/>
                <w:color w:val="000000"/>
                <w:lang w:eastAsia="en-US"/>
              </w:rPr>
            </w:pPr>
            <w:r w:rsidRPr="00070521">
              <w:rPr>
                <w:rFonts w:eastAsia="Calibri"/>
                <w:color w:val="000000"/>
                <w:lang w:eastAsia="en-US"/>
              </w:rPr>
              <w:t>Описание</w:t>
            </w:r>
          </w:p>
        </w:tc>
        <w:tc>
          <w:tcPr>
            <w:tcW w:w="1099" w:type="dxa"/>
          </w:tcPr>
          <w:p w14:paraId="38124DA0" w14:textId="3570D610" w:rsidR="00070521" w:rsidRPr="00070521" w:rsidRDefault="00070521" w:rsidP="00070521">
            <w:pPr>
              <w:spacing w:line="360" w:lineRule="auto"/>
              <w:contextualSpacing/>
              <w:jc w:val="center"/>
              <w:rPr>
                <w:rFonts w:eastAsia="Calibri"/>
                <w:color w:val="000000"/>
                <w:lang w:eastAsia="en-US"/>
              </w:rPr>
            </w:pPr>
            <w:r w:rsidRPr="00070521">
              <w:rPr>
                <w:rFonts w:eastAsia="Calibri"/>
                <w:color w:val="000000"/>
                <w:lang w:eastAsia="en-US"/>
              </w:rPr>
              <w:t>Влияние на отрасль</w:t>
            </w:r>
          </w:p>
        </w:tc>
        <w:tc>
          <w:tcPr>
            <w:tcW w:w="1556" w:type="dxa"/>
          </w:tcPr>
          <w:p w14:paraId="3138C1E0" w14:textId="01145CD6" w:rsidR="00070521" w:rsidRPr="00070521" w:rsidRDefault="00070521" w:rsidP="00070521">
            <w:pPr>
              <w:spacing w:line="360" w:lineRule="auto"/>
              <w:contextualSpacing/>
              <w:jc w:val="center"/>
              <w:rPr>
                <w:rFonts w:eastAsia="Calibri"/>
                <w:color w:val="000000"/>
                <w:lang w:eastAsia="en-US"/>
              </w:rPr>
            </w:pPr>
            <w:r w:rsidRPr="00070521">
              <w:rPr>
                <w:rFonts w:eastAsia="Calibri"/>
                <w:color w:val="000000"/>
                <w:lang w:eastAsia="en-US"/>
              </w:rPr>
              <w:t>Влияние на организацию</w:t>
            </w:r>
          </w:p>
        </w:tc>
        <w:tc>
          <w:tcPr>
            <w:tcW w:w="1232" w:type="dxa"/>
          </w:tcPr>
          <w:p w14:paraId="6972848A" w14:textId="1B5B39BD" w:rsidR="00070521" w:rsidRPr="00070521" w:rsidRDefault="00070521" w:rsidP="00070521">
            <w:pPr>
              <w:spacing w:line="360" w:lineRule="auto"/>
              <w:contextualSpacing/>
              <w:jc w:val="center"/>
              <w:rPr>
                <w:rFonts w:eastAsia="Calibri"/>
                <w:color w:val="000000"/>
                <w:lang w:eastAsia="en-US"/>
              </w:rPr>
            </w:pPr>
            <w:r w:rsidRPr="00070521">
              <w:rPr>
                <w:rFonts w:eastAsia="Calibri"/>
                <w:color w:val="000000"/>
                <w:lang w:eastAsia="en-US"/>
              </w:rPr>
              <w:t>Характер влияния</w:t>
            </w:r>
          </w:p>
        </w:tc>
      </w:tr>
      <w:tr w:rsidR="00070521" w14:paraId="64DE39AF" w14:textId="77777777" w:rsidTr="0072077B">
        <w:tc>
          <w:tcPr>
            <w:tcW w:w="2413" w:type="dxa"/>
          </w:tcPr>
          <w:p w14:paraId="47E0D66A" w14:textId="536750EB" w:rsidR="00070521" w:rsidRPr="0072077B" w:rsidRDefault="00070521" w:rsidP="003216B1">
            <w:pPr>
              <w:spacing w:line="360" w:lineRule="auto"/>
              <w:contextualSpacing/>
              <w:jc w:val="both"/>
              <w:rPr>
                <w:rFonts w:eastAsia="Calibri"/>
                <w:color w:val="000000"/>
                <w:lang w:eastAsia="en-US"/>
              </w:rPr>
            </w:pPr>
            <w:r w:rsidRPr="0072077B">
              <w:rPr>
                <w:rFonts w:eastAsia="Calibri"/>
                <w:color w:val="000000"/>
                <w:lang w:eastAsia="en-US"/>
              </w:rPr>
              <w:t>Политические</w:t>
            </w:r>
          </w:p>
        </w:tc>
        <w:tc>
          <w:tcPr>
            <w:tcW w:w="3554" w:type="dxa"/>
          </w:tcPr>
          <w:p w14:paraId="5A06208D" w14:textId="77777777" w:rsidR="00070521" w:rsidRPr="00070521" w:rsidRDefault="00070521" w:rsidP="003216B1">
            <w:pPr>
              <w:spacing w:line="360" w:lineRule="auto"/>
              <w:contextualSpacing/>
              <w:jc w:val="both"/>
              <w:rPr>
                <w:sz w:val="22"/>
                <w:szCs w:val="22"/>
              </w:rPr>
            </w:pPr>
            <w:r w:rsidRPr="00070521">
              <w:rPr>
                <w:rFonts w:eastAsia="Calibri"/>
                <w:color w:val="000000"/>
                <w:sz w:val="22"/>
                <w:szCs w:val="22"/>
                <w:lang w:eastAsia="en-US"/>
              </w:rPr>
              <w:sym w:font="Symbol" w:char="F0B7"/>
            </w:r>
            <w:r w:rsidRPr="00070521">
              <w:rPr>
                <w:rFonts w:eastAsia="Calibri"/>
                <w:color w:val="000000"/>
                <w:sz w:val="22"/>
                <w:szCs w:val="22"/>
                <w:lang w:eastAsia="en-US"/>
              </w:rPr>
              <w:t xml:space="preserve"> Сокращение общего числа банков за </w:t>
            </w:r>
            <w:r w:rsidRPr="00070521">
              <w:rPr>
                <w:sz w:val="22"/>
                <w:szCs w:val="22"/>
              </w:rPr>
              <w:t xml:space="preserve">счет ужесточения законодательства в сфере финансового обслуживания. </w:t>
            </w:r>
          </w:p>
          <w:p w14:paraId="178E82BE" w14:textId="0EE08D17" w:rsidR="00070521" w:rsidRDefault="00070521" w:rsidP="00D9054E">
            <w:pPr>
              <w:spacing w:line="360" w:lineRule="auto"/>
              <w:contextualSpacing/>
              <w:jc w:val="both"/>
              <w:rPr>
                <w:rFonts w:eastAsia="Calibri"/>
                <w:color w:val="000000"/>
                <w:sz w:val="28"/>
                <w:szCs w:val="28"/>
                <w:lang w:eastAsia="en-US"/>
              </w:rPr>
            </w:pPr>
            <w:r w:rsidRPr="00070521">
              <w:rPr>
                <w:sz w:val="22"/>
                <w:szCs w:val="22"/>
              </w:rPr>
              <w:sym w:font="Symbol" w:char="F0B7"/>
            </w:r>
            <w:r w:rsidRPr="00070521">
              <w:rPr>
                <w:sz w:val="22"/>
                <w:szCs w:val="22"/>
              </w:rPr>
              <w:t xml:space="preserve"> Поддержка государством банков только с долей государственного участия</w:t>
            </w:r>
          </w:p>
        </w:tc>
        <w:tc>
          <w:tcPr>
            <w:tcW w:w="1099" w:type="dxa"/>
          </w:tcPr>
          <w:p w14:paraId="513A6B85" w14:textId="43E65E0A" w:rsidR="00070521" w:rsidRDefault="0072077B"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3</w:t>
            </w:r>
          </w:p>
        </w:tc>
        <w:tc>
          <w:tcPr>
            <w:tcW w:w="1556" w:type="dxa"/>
          </w:tcPr>
          <w:p w14:paraId="493BA582" w14:textId="245FDC90" w:rsidR="00070521" w:rsidRDefault="0072077B"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3</w:t>
            </w:r>
          </w:p>
        </w:tc>
        <w:tc>
          <w:tcPr>
            <w:tcW w:w="1232" w:type="dxa"/>
          </w:tcPr>
          <w:p w14:paraId="10493E0D" w14:textId="6B6C7BF2" w:rsidR="00070521" w:rsidRDefault="0072077B"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-1</w:t>
            </w:r>
          </w:p>
        </w:tc>
      </w:tr>
      <w:tr w:rsidR="00070521" w14:paraId="2E84E52E" w14:textId="77777777" w:rsidTr="0072077B">
        <w:tc>
          <w:tcPr>
            <w:tcW w:w="2413" w:type="dxa"/>
          </w:tcPr>
          <w:p w14:paraId="3C57DAEC" w14:textId="3C92C54E" w:rsidR="00070521" w:rsidRPr="0072077B" w:rsidRDefault="00070521" w:rsidP="003216B1">
            <w:pPr>
              <w:spacing w:line="360" w:lineRule="auto"/>
              <w:contextualSpacing/>
              <w:jc w:val="both"/>
              <w:rPr>
                <w:rFonts w:eastAsia="Calibri"/>
                <w:color w:val="000000"/>
                <w:lang w:eastAsia="en-US"/>
              </w:rPr>
            </w:pPr>
            <w:r w:rsidRPr="0072077B">
              <w:rPr>
                <w:rFonts w:eastAsia="Calibri"/>
                <w:color w:val="000000"/>
                <w:lang w:eastAsia="en-US"/>
              </w:rPr>
              <w:t>Экономические</w:t>
            </w:r>
          </w:p>
        </w:tc>
        <w:tc>
          <w:tcPr>
            <w:tcW w:w="3554" w:type="dxa"/>
          </w:tcPr>
          <w:p w14:paraId="407D547E" w14:textId="77777777" w:rsidR="00D9054E" w:rsidRDefault="00070521"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w:t>
            </w:r>
            <w:r w:rsidR="00D9054E">
              <w:rPr>
                <w:sz w:val="22"/>
                <w:szCs w:val="22"/>
              </w:rPr>
              <w:t>Ключевая</w:t>
            </w:r>
            <w:r w:rsidRPr="0072077B">
              <w:rPr>
                <w:sz w:val="22"/>
                <w:szCs w:val="22"/>
              </w:rPr>
              <w:t xml:space="preserve"> ставка Банка России. </w:t>
            </w:r>
          </w:p>
          <w:p w14:paraId="3168A05D" w14:textId="46E7AA4E" w:rsidR="00070521" w:rsidRPr="0072077B" w:rsidRDefault="00070521"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Рост инфляции. </w:t>
            </w:r>
          </w:p>
          <w:p w14:paraId="56DBD238" w14:textId="77777777" w:rsidR="00070521" w:rsidRPr="0072077B" w:rsidRDefault="00070521"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Увеличение рисков по банковским операциям. </w:t>
            </w:r>
          </w:p>
          <w:p w14:paraId="449B597F" w14:textId="77777777" w:rsidR="00070521" w:rsidRPr="0072077B" w:rsidRDefault="00070521"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Снижение процентных ставок в условиях конкуренции. </w:t>
            </w:r>
          </w:p>
          <w:p w14:paraId="5D219E92" w14:textId="77777777" w:rsidR="0072077B" w:rsidRPr="0072077B" w:rsidRDefault="00070521"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Уровень безработицы в стране. </w:t>
            </w:r>
          </w:p>
          <w:p w14:paraId="72E038FC" w14:textId="2EF3ABC7" w:rsidR="0072077B" w:rsidRPr="0072077B" w:rsidRDefault="00070521"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Курс</w:t>
            </w:r>
            <w:r w:rsidR="0072077B" w:rsidRPr="0072077B">
              <w:rPr>
                <w:sz w:val="22"/>
                <w:szCs w:val="22"/>
              </w:rPr>
              <w:t>ы валют</w:t>
            </w:r>
            <w:r w:rsidRPr="0072077B">
              <w:rPr>
                <w:sz w:val="22"/>
                <w:szCs w:val="22"/>
              </w:rPr>
              <w:t xml:space="preserve">. </w:t>
            </w:r>
          </w:p>
          <w:p w14:paraId="11765C3D" w14:textId="6DCD2A64" w:rsidR="00070521" w:rsidRPr="0072077B" w:rsidRDefault="00070521" w:rsidP="003216B1">
            <w:pPr>
              <w:spacing w:line="360" w:lineRule="auto"/>
              <w:contextualSpacing/>
              <w:jc w:val="both"/>
              <w:rPr>
                <w:rFonts w:eastAsia="Calibri"/>
                <w:color w:val="000000"/>
                <w:sz w:val="22"/>
                <w:szCs w:val="22"/>
                <w:lang w:eastAsia="en-US"/>
              </w:rPr>
            </w:pPr>
            <w:r w:rsidRPr="0072077B">
              <w:rPr>
                <w:sz w:val="22"/>
                <w:szCs w:val="22"/>
              </w:rPr>
              <w:sym w:font="Symbol" w:char="F0B7"/>
            </w:r>
            <w:r w:rsidRPr="0072077B">
              <w:rPr>
                <w:sz w:val="22"/>
                <w:szCs w:val="22"/>
              </w:rPr>
              <w:t xml:space="preserve"> Ставка рефинансирования</w:t>
            </w:r>
          </w:p>
        </w:tc>
        <w:tc>
          <w:tcPr>
            <w:tcW w:w="1099" w:type="dxa"/>
          </w:tcPr>
          <w:p w14:paraId="04BD5519" w14:textId="77B27474" w:rsidR="00070521" w:rsidRDefault="0072077B"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2</w:t>
            </w:r>
          </w:p>
        </w:tc>
        <w:tc>
          <w:tcPr>
            <w:tcW w:w="1556" w:type="dxa"/>
          </w:tcPr>
          <w:p w14:paraId="6E7657C0" w14:textId="0C9D3EA8" w:rsidR="00070521" w:rsidRDefault="0072077B"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3</w:t>
            </w:r>
          </w:p>
        </w:tc>
        <w:tc>
          <w:tcPr>
            <w:tcW w:w="1232" w:type="dxa"/>
          </w:tcPr>
          <w:p w14:paraId="4D115F61" w14:textId="28B1B4FA" w:rsidR="00070521" w:rsidRDefault="0072077B"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+1</w:t>
            </w:r>
          </w:p>
        </w:tc>
      </w:tr>
      <w:tr w:rsidR="00D9054E" w14:paraId="652B9E4A" w14:textId="77777777" w:rsidTr="006F3998">
        <w:trPr>
          <w:trHeight w:val="1602"/>
        </w:trPr>
        <w:tc>
          <w:tcPr>
            <w:tcW w:w="2413" w:type="dxa"/>
          </w:tcPr>
          <w:p w14:paraId="3B58E07D" w14:textId="3049F396" w:rsidR="00D9054E" w:rsidRPr="0072077B" w:rsidRDefault="00D9054E" w:rsidP="003216B1">
            <w:pPr>
              <w:spacing w:line="360" w:lineRule="auto"/>
              <w:contextualSpacing/>
              <w:jc w:val="both"/>
              <w:rPr>
                <w:rFonts w:eastAsia="Calibri"/>
                <w:color w:val="000000"/>
                <w:lang w:eastAsia="en-US"/>
              </w:rPr>
            </w:pPr>
            <w:r w:rsidRPr="0072077B">
              <w:rPr>
                <w:rFonts w:eastAsia="Calibri"/>
                <w:color w:val="000000"/>
                <w:lang w:eastAsia="en-US"/>
              </w:rPr>
              <w:t>Технологические</w:t>
            </w:r>
          </w:p>
        </w:tc>
        <w:tc>
          <w:tcPr>
            <w:tcW w:w="3554" w:type="dxa"/>
          </w:tcPr>
          <w:p w14:paraId="01144140" w14:textId="77777777" w:rsidR="00D9054E" w:rsidRPr="0072077B" w:rsidRDefault="00D9054E"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Техническое оснащение банка. </w:t>
            </w:r>
          </w:p>
          <w:p w14:paraId="4A6DC6D4" w14:textId="77777777" w:rsidR="00D9054E" w:rsidRPr="0072077B" w:rsidRDefault="00D9054E" w:rsidP="003216B1">
            <w:pPr>
              <w:spacing w:line="360" w:lineRule="auto"/>
              <w:contextualSpacing/>
              <w:jc w:val="both"/>
              <w:rPr>
                <w:sz w:val="22"/>
                <w:szCs w:val="22"/>
              </w:rPr>
            </w:pPr>
            <w:r w:rsidRPr="0072077B">
              <w:rPr>
                <w:sz w:val="22"/>
                <w:szCs w:val="22"/>
              </w:rPr>
              <w:sym w:font="Symbol" w:char="F0B7"/>
            </w:r>
            <w:r w:rsidRPr="0072077B">
              <w:rPr>
                <w:sz w:val="22"/>
                <w:szCs w:val="22"/>
              </w:rPr>
              <w:t xml:space="preserve"> Скорость обслуживания клиентов. </w:t>
            </w:r>
          </w:p>
          <w:p w14:paraId="5BA8FFE3" w14:textId="7071965E" w:rsidR="00D9054E" w:rsidRPr="0072077B" w:rsidRDefault="00D9054E" w:rsidP="00927830">
            <w:pPr>
              <w:spacing w:line="360" w:lineRule="auto"/>
              <w:contextualSpacing/>
              <w:jc w:val="both"/>
              <w:rPr>
                <w:sz w:val="22"/>
                <w:szCs w:val="22"/>
              </w:rPr>
            </w:pPr>
            <w:r w:rsidRPr="0072077B">
              <w:rPr>
                <w:sz w:val="22"/>
                <w:szCs w:val="22"/>
              </w:rPr>
              <w:sym w:font="Symbol" w:char="F0B7"/>
            </w:r>
            <w:r w:rsidRPr="0072077B">
              <w:rPr>
                <w:sz w:val="22"/>
                <w:szCs w:val="22"/>
              </w:rPr>
              <w:t xml:space="preserve"> Качество обслуживания клиентов</w:t>
            </w:r>
          </w:p>
        </w:tc>
        <w:tc>
          <w:tcPr>
            <w:tcW w:w="1099" w:type="dxa"/>
          </w:tcPr>
          <w:p w14:paraId="7D6D978E" w14:textId="142A89A5" w:rsidR="00D9054E" w:rsidRDefault="00D9054E"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2</w:t>
            </w:r>
          </w:p>
        </w:tc>
        <w:tc>
          <w:tcPr>
            <w:tcW w:w="1556" w:type="dxa"/>
          </w:tcPr>
          <w:p w14:paraId="705C1898" w14:textId="051F7F36" w:rsidR="00D9054E" w:rsidRDefault="00D9054E"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2</w:t>
            </w:r>
          </w:p>
        </w:tc>
        <w:tc>
          <w:tcPr>
            <w:tcW w:w="1232" w:type="dxa"/>
          </w:tcPr>
          <w:p w14:paraId="182882B8" w14:textId="64DA3306" w:rsidR="00D9054E" w:rsidRDefault="00D9054E" w:rsidP="0072077B">
            <w:pPr>
              <w:spacing w:line="360" w:lineRule="auto"/>
              <w:contextualSpacing/>
              <w:jc w:val="center"/>
              <w:rPr>
                <w:rFonts w:eastAsia="Calibri"/>
                <w:color w:val="000000"/>
                <w:sz w:val="28"/>
                <w:szCs w:val="28"/>
                <w:lang w:eastAsia="en-US"/>
              </w:rPr>
            </w:pPr>
            <w:r>
              <w:rPr>
                <w:rFonts w:eastAsia="Calibri"/>
                <w:color w:val="000000"/>
                <w:sz w:val="28"/>
                <w:szCs w:val="28"/>
                <w:lang w:eastAsia="en-US"/>
              </w:rPr>
              <w:t>+1</w:t>
            </w:r>
          </w:p>
        </w:tc>
      </w:tr>
      <w:tr w:rsidR="00D9054E" w14:paraId="6C55CE09" w14:textId="77777777" w:rsidTr="00D9054E">
        <w:tc>
          <w:tcPr>
            <w:tcW w:w="2413" w:type="dxa"/>
          </w:tcPr>
          <w:p w14:paraId="0CB8749E" w14:textId="77777777" w:rsidR="00D9054E" w:rsidRDefault="00D9054E" w:rsidP="00927830">
            <w:pPr>
              <w:spacing w:line="360" w:lineRule="auto"/>
              <w:contextualSpacing/>
              <w:jc w:val="both"/>
              <w:rPr>
                <w:rFonts w:eastAsia="Calibri"/>
                <w:color w:val="000000"/>
                <w:sz w:val="28"/>
                <w:szCs w:val="28"/>
                <w:lang w:eastAsia="en-US"/>
              </w:rPr>
            </w:pPr>
            <w:r w:rsidRPr="0072077B">
              <w:rPr>
                <w:rFonts w:eastAsia="Calibri"/>
                <w:color w:val="000000"/>
                <w:lang w:eastAsia="en-US"/>
              </w:rPr>
              <w:t>Социальные</w:t>
            </w:r>
          </w:p>
        </w:tc>
        <w:tc>
          <w:tcPr>
            <w:tcW w:w="3554" w:type="dxa"/>
          </w:tcPr>
          <w:p w14:paraId="1B5E9882" w14:textId="77777777" w:rsidR="00D9054E" w:rsidRPr="0072077B" w:rsidRDefault="00D9054E" w:rsidP="00927830">
            <w:pPr>
              <w:spacing w:line="360" w:lineRule="auto"/>
              <w:contextualSpacing/>
              <w:jc w:val="both"/>
              <w:rPr>
                <w:sz w:val="22"/>
                <w:szCs w:val="22"/>
              </w:rPr>
            </w:pPr>
            <w:r w:rsidRPr="0072077B">
              <w:rPr>
                <w:sz w:val="22"/>
                <w:szCs w:val="22"/>
              </w:rPr>
              <w:sym w:font="Symbol" w:char="F0B7"/>
            </w:r>
            <w:r w:rsidRPr="0072077B">
              <w:rPr>
                <w:sz w:val="22"/>
                <w:szCs w:val="22"/>
              </w:rPr>
              <w:t xml:space="preserve"> Низкая образованность населения в сфере финансовых услуг. </w:t>
            </w:r>
          </w:p>
          <w:p w14:paraId="170D752B" w14:textId="77777777" w:rsidR="00D9054E" w:rsidRPr="0072077B" w:rsidRDefault="00D9054E" w:rsidP="00927830">
            <w:pPr>
              <w:spacing w:line="360" w:lineRule="auto"/>
              <w:contextualSpacing/>
              <w:jc w:val="both"/>
              <w:rPr>
                <w:sz w:val="22"/>
                <w:szCs w:val="22"/>
              </w:rPr>
            </w:pPr>
            <w:r w:rsidRPr="0072077B">
              <w:rPr>
                <w:sz w:val="22"/>
                <w:szCs w:val="22"/>
              </w:rPr>
              <w:sym w:font="Symbol" w:char="F0B7"/>
            </w:r>
            <w:r w:rsidRPr="0072077B">
              <w:rPr>
                <w:sz w:val="22"/>
                <w:szCs w:val="22"/>
              </w:rPr>
              <w:t xml:space="preserve"> Сезонность оказания банковских услуг (зима/лето)</w:t>
            </w:r>
          </w:p>
          <w:p w14:paraId="7A54A019" w14:textId="77777777" w:rsidR="00D9054E" w:rsidRPr="0072077B" w:rsidRDefault="00D9054E" w:rsidP="00927830">
            <w:pPr>
              <w:spacing w:line="360" w:lineRule="auto"/>
              <w:contextualSpacing/>
              <w:jc w:val="both"/>
              <w:rPr>
                <w:sz w:val="22"/>
                <w:szCs w:val="22"/>
              </w:rPr>
            </w:pPr>
            <w:r w:rsidRPr="0072077B">
              <w:rPr>
                <w:sz w:val="22"/>
                <w:szCs w:val="22"/>
              </w:rPr>
              <w:sym w:font="Symbol" w:char="F0B7"/>
            </w:r>
            <w:r w:rsidRPr="0072077B">
              <w:rPr>
                <w:sz w:val="22"/>
                <w:szCs w:val="22"/>
              </w:rPr>
              <w:t xml:space="preserve"> Зависимость от уровня жизни населения. </w:t>
            </w:r>
          </w:p>
          <w:p w14:paraId="1B8EE91A" w14:textId="0E1A93D6" w:rsidR="00D9054E" w:rsidRPr="0072077B" w:rsidRDefault="00D9054E" w:rsidP="00927830">
            <w:pPr>
              <w:spacing w:line="360" w:lineRule="auto"/>
              <w:contextualSpacing/>
              <w:jc w:val="both"/>
              <w:rPr>
                <w:rFonts w:eastAsia="Calibri"/>
                <w:color w:val="000000"/>
                <w:sz w:val="22"/>
                <w:szCs w:val="22"/>
                <w:lang w:eastAsia="en-US"/>
              </w:rPr>
            </w:pPr>
            <w:r w:rsidRPr="0072077B">
              <w:rPr>
                <w:sz w:val="22"/>
                <w:szCs w:val="22"/>
              </w:rPr>
              <w:sym w:font="Symbol" w:char="F0B7"/>
            </w:r>
            <w:r w:rsidRPr="0072077B">
              <w:rPr>
                <w:sz w:val="22"/>
                <w:szCs w:val="22"/>
              </w:rPr>
              <w:t xml:space="preserve"> Уровень доход</w:t>
            </w:r>
            <w:r>
              <w:rPr>
                <w:sz w:val="22"/>
                <w:szCs w:val="22"/>
              </w:rPr>
              <w:t>ов</w:t>
            </w:r>
            <w:r w:rsidRPr="0072077B">
              <w:rPr>
                <w:sz w:val="22"/>
                <w:szCs w:val="22"/>
              </w:rPr>
              <w:t xml:space="preserve"> населения</w:t>
            </w:r>
          </w:p>
        </w:tc>
        <w:tc>
          <w:tcPr>
            <w:tcW w:w="1099" w:type="dxa"/>
          </w:tcPr>
          <w:p w14:paraId="54915466" w14:textId="77777777" w:rsidR="00D9054E" w:rsidRDefault="00D9054E" w:rsidP="00927830">
            <w:pPr>
              <w:spacing w:line="360" w:lineRule="auto"/>
              <w:contextualSpacing/>
              <w:jc w:val="center"/>
              <w:rPr>
                <w:rFonts w:eastAsia="Calibri"/>
                <w:color w:val="000000"/>
                <w:sz w:val="28"/>
                <w:szCs w:val="28"/>
                <w:lang w:eastAsia="en-US"/>
              </w:rPr>
            </w:pPr>
            <w:r>
              <w:rPr>
                <w:rFonts w:eastAsia="Calibri"/>
                <w:color w:val="000000"/>
                <w:sz w:val="28"/>
                <w:szCs w:val="28"/>
                <w:lang w:eastAsia="en-US"/>
              </w:rPr>
              <w:t>3</w:t>
            </w:r>
          </w:p>
        </w:tc>
        <w:tc>
          <w:tcPr>
            <w:tcW w:w="1556" w:type="dxa"/>
          </w:tcPr>
          <w:p w14:paraId="665FB19B" w14:textId="77777777" w:rsidR="00D9054E" w:rsidRDefault="00D9054E" w:rsidP="00927830">
            <w:pPr>
              <w:spacing w:line="360" w:lineRule="auto"/>
              <w:contextualSpacing/>
              <w:jc w:val="center"/>
              <w:rPr>
                <w:rFonts w:eastAsia="Calibri"/>
                <w:color w:val="000000"/>
                <w:sz w:val="28"/>
                <w:szCs w:val="28"/>
                <w:lang w:eastAsia="en-US"/>
              </w:rPr>
            </w:pPr>
            <w:r>
              <w:rPr>
                <w:rFonts w:eastAsia="Calibri"/>
                <w:color w:val="000000"/>
                <w:sz w:val="28"/>
                <w:szCs w:val="28"/>
                <w:lang w:eastAsia="en-US"/>
              </w:rPr>
              <w:t>2</w:t>
            </w:r>
          </w:p>
        </w:tc>
        <w:tc>
          <w:tcPr>
            <w:tcW w:w="1232" w:type="dxa"/>
          </w:tcPr>
          <w:p w14:paraId="002D7E60" w14:textId="77777777" w:rsidR="00D9054E" w:rsidRDefault="00D9054E" w:rsidP="00927830">
            <w:pPr>
              <w:spacing w:line="360" w:lineRule="auto"/>
              <w:contextualSpacing/>
              <w:jc w:val="center"/>
              <w:rPr>
                <w:rFonts w:eastAsia="Calibri"/>
                <w:color w:val="000000"/>
                <w:sz w:val="28"/>
                <w:szCs w:val="28"/>
                <w:lang w:eastAsia="en-US"/>
              </w:rPr>
            </w:pPr>
            <w:r>
              <w:rPr>
                <w:rFonts w:eastAsia="Calibri"/>
                <w:color w:val="000000"/>
                <w:sz w:val="28"/>
                <w:szCs w:val="28"/>
                <w:lang w:eastAsia="en-US"/>
              </w:rPr>
              <w:t>+1</w:t>
            </w:r>
          </w:p>
        </w:tc>
      </w:tr>
    </w:tbl>
    <w:p w14:paraId="18EB728C" w14:textId="182C763A" w:rsidR="0072077B" w:rsidRDefault="0072077B" w:rsidP="003216B1">
      <w:pPr>
        <w:spacing w:line="360" w:lineRule="auto"/>
        <w:contextualSpacing/>
        <w:jc w:val="both"/>
        <w:rPr>
          <w:rFonts w:eastAsia="Calibri"/>
          <w:color w:val="000000"/>
          <w:sz w:val="28"/>
          <w:szCs w:val="28"/>
          <w:lang w:eastAsia="en-US"/>
        </w:rPr>
      </w:pPr>
    </w:p>
    <w:p w14:paraId="23F0CA05" w14:textId="2751EAEF" w:rsidR="003216B1" w:rsidRPr="003216B1" w:rsidRDefault="0072077B" w:rsidP="002D710A">
      <w:pPr>
        <w:spacing w:line="360" w:lineRule="auto"/>
        <w:ind w:firstLine="709"/>
        <w:contextualSpacing/>
        <w:jc w:val="both"/>
        <w:rPr>
          <w:rFonts w:eastAsia="Calibri"/>
          <w:color w:val="000000"/>
          <w:sz w:val="28"/>
          <w:szCs w:val="28"/>
          <w:lang w:eastAsia="en-US"/>
        </w:rPr>
      </w:pPr>
      <w:r w:rsidRPr="0072077B">
        <w:rPr>
          <w:rFonts w:eastAsia="Calibri"/>
          <w:color w:val="000000"/>
          <w:sz w:val="28"/>
          <w:szCs w:val="28"/>
          <w:lang w:eastAsia="en-US"/>
        </w:rPr>
        <w:lastRenderedPageBreak/>
        <w:t>На основе PEST–анализа можно сделать вывод о том, что наиболее серьезное влияние на банк оказывают политические и экономические факторы, которые непосредственно формируют среду, в которой функционирует организация, поэтому организация должна осуществлять своевременную реакцию на изменения, происходящие в политической и экономической среде, для поддержания своей конкурентоспособности, но при этом брать в расчет факторы социального и технологического влияния</w:t>
      </w:r>
      <w:r>
        <w:rPr>
          <w:rFonts w:eastAsia="Calibri"/>
          <w:color w:val="000000"/>
          <w:sz w:val="28"/>
          <w:szCs w:val="28"/>
          <w:lang w:eastAsia="en-US"/>
        </w:rPr>
        <w:t>.</w:t>
      </w:r>
    </w:p>
    <w:p w14:paraId="5D80EBBE" w14:textId="5A54AA0F" w:rsidR="006A18CB" w:rsidRDefault="006A18CB" w:rsidP="002D710A">
      <w:pPr>
        <w:tabs>
          <w:tab w:val="left" w:pos="1134"/>
        </w:tabs>
        <w:spacing w:line="360" w:lineRule="auto"/>
        <w:ind w:firstLine="709"/>
        <w:jc w:val="both"/>
        <w:rPr>
          <w:rFonts w:eastAsia="Calibri"/>
          <w:color w:val="000000"/>
          <w:sz w:val="28"/>
          <w:szCs w:val="28"/>
          <w:lang w:eastAsia="en-US"/>
        </w:rPr>
      </w:pPr>
      <w:r>
        <w:rPr>
          <w:rFonts w:eastAsia="Calibri"/>
          <w:color w:val="000000"/>
          <w:sz w:val="28"/>
          <w:szCs w:val="28"/>
          <w:lang w:eastAsia="en-US"/>
        </w:rPr>
        <w:br w:type="page"/>
      </w:r>
    </w:p>
    <w:p w14:paraId="7D0CDB36" w14:textId="737D600C" w:rsidR="002D710A" w:rsidRDefault="006A18CB" w:rsidP="00372B95">
      <w:pPr>
        <w:pStyle w:val="1"/>
        <w:ind w:firstLine="709"/>
        <w:rPr>
          <w:sz w:val="30"/>
          <w:szCs w:val="30"/>
        </w:rPr>
      </w:pPr>
      <w:bookmarkStart w:id="5" w:name="_Toc187851175"/>
      <w:r w:rsidRPr="006A18CB">
        <w:rPr>
          <w:rFonts w:eastAsia="Calibri"/>
          <w:color w:val="000000"/>
          <w:sz w:val="30"/>
          <w:szCs w:val="30"/>
          <w:lang w:eastAsia="en-US"/>
        </w:rPr>
        <w:lastRenderedPageBreak/>
        <w:t xml:space="preserve">3 </w:t>
      </w:r>
      <w:r w:rsidRPr="006A18CB">
        <w:rPr>
          <w:sz w:val="30"/>
          <w:szCs w:val="30"/>
        </w:rPr>
        <w:t>Обеспечение экономической безопасности организации</w:t>
      </w:r>
      <w:bookmarkEnd w:id="5"/>
    </w:p>
    <w:p w14:paraId="2BDAA452" w14:textId="77777777" w:rsidR="006A18CB" w:rsidRPr="006A18CB" w:rsidRDefault="006A18CB" w:rsidP="006A18CB">
      <w:pPr>
        <w:rPr>
          <w:rFonts w:eastAsia="Calibri"/>
        </w:rPr>
      </w:pPr>
    </w:p>
    <w:p w14:paraId="369BA727" w14:textId="3669385E" w:rsidR="006A18CB" w:rsidRPr="006A18CB" w:rsidRDefault="006A18CB" w:rsidP="006A18CB">
      <w:pPr>
        <w:spacing w:line="360" w:lineRule="auto"/>
        <w:ind w:firstLine="709"/>
        <w:jc w:val="both"/>
        <w:rPr>
          <w:rFonts w:eastAsia="Calibri"/>
          <w:color w:val="000000"/>
          <w:sz w:val="28"/>
          <w:szCs w:val="28"/>
        </w:rPr>
      </w:pPr>
      <w:r w:rsidRPr="006A18CB">
        <w:rPr>
          <w:rFonts w:eastAsia="Calibri"/>
          <w:bCs/>
          <w:color w:val="000000"/>
          <w:sz w:val="28"/>
          <w:szCs w:val="28"/>
          <w:lang w:eastAsia="en-US"/>
        </w:rPr>
        <w:t>В связи с выделенными в предыдущих разделах угрозами экономической безопасности АО «Альфа-</w:t>
      </w:r>
      <w:r w:rsidR="00372B95" w:rsidRPr="006A18CB">
        <w:rPr>
          <w:rFonts w:eastAsia="Calibri"/>
          <w:bCs/>
          <w:color w:val="000000"/>
          <w:sz w:val="28"/>
          <w:szCs w:val="28"/>
          <w:lang w:eastAsia="en-US"/>
        </w:rPr>
        <w:t>Банк» план</w:t>
      </w:r>
      <w:r w:rsidRPr="006A18CB">
        <w:rPr>
          <w:rFonts w:eastAsia="Calibri"/>
          <w:color w:val="000000"/>
          <w:sz w:val="28"/>
          <w:szCs w:val="28"/>
        </w:rPr>
        <w:t xml:space="preserve"> действий банка сформирован нами в следующем виде.</w:t>
      </w:r>
    </w:p>
    <w:p w14:paraId="0C6862EE" w14:textId="12E880FA"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Первое, чему необходимо уделить внимание – это смещение интересов клиентов банка в сторону инструментов хеджирования над операциями, связанными с определенными рисками. Необходимо вовремя заметить данное изменение в поведении компаний, и обратить внимание клиентов на соответствующие продукты. Подкрепив данные предложения аналитическими сводками и информацией о текущем положении дел на финансовых рынках, можно легко задать правильный вектор по взаимодействию с клиентом.</w:t>
      </w:r>
    </w:p>
    <w:p w14:paraId="1BA7FD2F" w14:textId="4C71CED3"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 xml:space="preserve">Вторым инструментом по удержанию и привлечению клиентов может стать репутация банка. Это тот самый актив, который не поддается отображению в большинстве форм финансовой отчетности, однако его ролью в формировании клиентской базы не стоит пренебрегать. А последние события, связанные с отзывом лицензий Банком России </w:t>
      </w:r>
      <w:r w:rsidR="00372B95" w:rsidRPr="006A18CB">
        <w:rPr>
          <w:rFonts w:eastAsia="Calibri"/>
          <w:color w:val="000000"/>
          <w:sz w:val="28"/>
          <w:szCs w:val="28"/>
        </w:rPr>
        <w:t>у кредитных организаций,</w:t>
      </w:r>
      <w:r w:rsidRPr="006A18CB">
        <w:rPr>
          <w:rFonts w:eastAsia="Calibri"/>
          <w:color w:val="000000"/>
          <w:sz w:val="28"/>
          <w:szCs w:val="28"/>
        </w:rPr>
        <w:t xml:space="preserve"> только усиливают его роль при выборе банка, в который перспективный клиент обратится. И именно на доверительных отношениях банка и партнера, уверенности в том, что даже серьезные изменения, как в мировой экономике, так и в денежно-кредитной политике страны не повлияют на стабильное положение финансовой организации.</w:t>
      </w:r>
    </w:p>
    <w:p w14:paraId="16A8BACF" w14:textId="1A2CC7AA"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Третье направление, которое необходимо учесть, это адаптация самих сотрудников банка, посредством проведения обучающих курсов, семинаров, обзорных лекций. Современное время – это эпоха глобализации. Мир не статичен и находится в постоянном развитии. И для того, чтобы сотрудник банка всегда мог оказать не только квалифицированную, но и ориентированную на текущую ситуацию консультацию и помощь, необходимо ясное понимание процессов, происходящих сегодня.</w:t>
      </w:r>
    </w:p>
    <w:p w14:paraId="62135CA8" w14:textId="7FA9CCA8"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lastRenderedPageBreak/>
        <w:t>Многие компании выходят на международный рынок.</w:t>
      </w:r>
      <w:r w:rsidR="00372B95">
        <w:rPr>
          <w:rFonts w:eastAsia="Calibri"/>
          <w:color w:val="000000"/>
          <w:sz w:val="28"/>
          <w:szCs w:val="28"/>
        </w:rPr>
        <w:t xml:space="preserve"> В</w:t>
      </w:r>
      <w:r w:rsidRPr="006A18CB">
        <w:rPr>
          <w:rFonts w:eastAsia="Calibri"/>
          <w:color w:val="000000"/>
          <w:sz w:val="28"/>
          <w:szCs w:val="28"/>
        </w:rPr>
        <w:t xml:space="preserve"> связи с этим возникают не только новые возможности, но и новые риски. Данные риски, как показывает время, трудно предсказуемы. Сократить неопределенность и предупредить последствия серьезных колебаний на рынке – серьезная задача для банков, и те финансовые институты, которые первыми предложат адекватные меры и пути решения, надолго обеспечат себе лидирующее положение в рынке.</w:t>
      </w:r>
    </w:p>
    <w:p w14:paraId="1BD6817C"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На сегодняшний день АО «Альфа-Банк» активно развивается в сфере цифровых технологий, тем самым привлекая все больше клиентов. Но на данный момент банк значительно отстает от ведущих банков, в том числе по уровню удовлетворенности клиентским обслуживанием.</w:t>
      </w:r>
    </w:p>
    <w:p w14:paraId="0F322D78"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 xml:space="preserve">Необходимость совершенствования клиентской политики в банке обусловлена в первую очередь необходимостью привлечения клиентов банка. В ходе исследования было установлено, что некоторые потенциальные клиенты банка отказываются от потребления услуг АО «Альфа-Банк» в пользу других банков, таких как АО «Сбербанк России», АО «Банк ВТБ» и другие. С целью повышения объемов оказания банковских услуг (увеличения кредитного портфеля, увеличения объемов вкладов клиентов и др.) и улучшения качества обслуживания клиентов были разработаны рекомендации по совершенствованию клиентской политики АО «Альфа-Банк». </w:t>
      </w:r>
    </w:p>
    <w:p w14:paraId="130709A5" w14:textId="0251F790"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 xml:space="preserve">Согласно информации, представленной на официальном сайте АО «Альфа-Банк» процентная ставка по «кредиту наличными» и «экспресс кредиту» составляет от </w:t>
      </w:r>
      <w:r w:rsidR="00941EF2">
        <w:rPr>
          <w:rFonts w:eastAsia="Calibri"/>
          <w:color w:val="000000"/>
          <w:sz w:val="28"/>
          <w:szCs w:val="28"/>
        </w:rPr>
        <w:t>17</w:t>
      </w:r>
      <w:r w:rsidRPr="006A18CB">
        <w:rPr>
          <w:rFonts w:eastAsia="Calibri"/>
          <w:color w:val="000000"/>
          <w:sz w:val="28"/>
          <w:szCs w:val="28"/>
        </w:rPr>
        <w:t xml:space="preserve">%, что не может не привлекать клиентов. Однако в действительности, процентная ставка по кредиту при оформлении заявки оказывается выше и составляет от </w:t>
      </w:r>
      <w:r w:rsidR="00941EF2">
        <w:rPr>
          <w:rFonts w:eastAsia="Calibri"/>
          <w:color w:val="000000"/>
          <w:sz w:val="28"/>
          <w:szCs w:val="28"/>
        </w:rPr>
        <w:t>21</w:t>
      </w:r>
      <w:r w:rsidRPr="006A18CB">
        <w:rPr>
          <w:rFonts w:eastAsia="Calibri"/>
          <w:color w:val="000000"/>
          <w:sz w:val="28"/>
          <w:szCs w:val="28"/>
        </w:rPr>
        <w:t>%. Ввиду этого многие клиенты отказываются от получения кредита в данном банке. Поэтом рекомендуется изменить информацию о предоставлении кредитов на сайте банка.</w:t>
      </w:r>
    </w:p>
    <w:p w14:paraId="1009C980" w14:textId="36D63291"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 xml:space="preserve">Процентная ставка при размещении депозита в АО «Альфа-Банк» также не устраивает клиентов, так как им хотелось бы иметь большую доходность от </w:t>
      </w:r>
      <w:r w:rsidRPr="006A18CB">
        <w:rPr>
          <w:rFonts w:eastAsia="Calibri"/>
          <w:color w:val="000000"/>
          <w:sz w:val="28"/>
          <w:szCs w:val="28"/>
        </w:rPr>
        <w:lastRenderedPageBreak/>
        <w:t xml:space="preserve">размещения денежных средств. </w:t>
      </w:r>
      <w:r w:rsidR="00372B95" w:rsidRPr="006A18CB">
        <w:rPr>
          <w:rFonts w:eastAsia="Calibri"/>
          <w:color w:val="000000"/>
          <w:sz w:val="28"/>
          <w:szCs w:val="28"/>
        </w:rPr>
        <w:t>Кроме этого,</w:t>
      </w:r>
      <w:r w:rsidRPr="006A18CB">
        <w:rPr>
          <w:rFonts w:eastAsia="Calibri"/>
          <w:color w:val="000000"/>
          <w:sz w:val="28"/>
          <w:szCs w:val="28"/>
        </w:rPr>
        <w:t xml:space="preserve"> в АО «Альфа-Банк» установлена минимальная сумма депозита – 30 000 руб. </w:t>
      </w:r>
    </w:p>
    <w:p w14:paraId="6283DCB5"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Некоторые клиенты готовы разместить депозит в банке, но на меньшую сумму. К таким клиентам относятся, чаще всего пенсионеры. Таким образом, увеличение процентной ставки по депозиту и уменьшение минимальной суммы размещения вклада в АО «Альфа-Банк» позволит привлечь дополнительных клиентов и тем самым улучшить удовлетворенность клиентов услугами банка.</w:t>
      </w:r>
    </w:p>
    <w:p w14:paraId="77B70835"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Некоторые клиенты АО «Альфа-Банк» недовольны качеством банковского облуживания, что проявляется в наличии ошибок сотрудников банка при презентации банковских продуктов. Например, некоторые сотрудники не могут предоставить расчет доходности при размещении вклада на определенную сумму. Решением данной проблемы будет являться организация более качественного обучения персонала в части презентации банковских продуктов и объяснении условия их использования.</w:t>
      </w:r>
    </w:p>
    <w:p w14:paraId="43C2CE24"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 xml:space="preserve">Положительное влияние на увеличения удовлетворенностью услугами АО «Альфа-Банк» окажет увеличение количества терминалов и банкоматов. В частности, клиенты банков, проживающие не в городах Приморского края, не являющихся административными центрами, отмечают неудобство, связанное с недостатком или отсутствием терминалов и банкоматов. Данный факт негативно сказывается на качестве обслуживания клиентов АО «Альфа-Банк». </w:t>
      </w:r>
    </w:p>
    <w:p w14:paraId="236B22B5"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 xml:space="preserve">В результате предложенных мероприятий ожидается положительное совершенствование клиентской политики в АО «Альфа-Банк». Таким образом, можно будет прогнозировать увеличение уровня удовлетворенностью клиентов услугами банка. </w:t>
      </w:r>
    </w:p>
    <w:p w14:paraId="601F353F"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Так, прогнозные значения изменения степени удовлетворенностью клиентов АО «Альфа-Банк» по ключевым параметрам представлены на рисунке 3.1.</w:t>
      </w:r>
    </w:p>
    <w:p w14:paraId="284A9445" w14:textId="161C62E2" w:rsidR="006A18CB" w:rsidRPr="006A18CB" w:rsidRDefault="006A18CB" w:rsidP="006A18CB">
      <w:pPr>
        <w:spacing w:line="360" w:lineRule="auto"/>
        <w:ind w:firstLine="709"/>
        <w:jc w:val="center"/>
        <w:rPr>
          <w:rFonts w:eastAsia="Calibri"/>
          <w:color w:val="000000"/>
          <w:sz w:val="28"/>
          <w:szCs w:val="28"/>
        </w:rPr>
      </w:pPr>
      <w:r w:rsidRPr="006A18CB">
        <w:rPr>
          <w:rFonts w:eastAsia="Calibri"/>
          <w:noProof/>
          <w:color w:val="000000"/>
          <w:sz w:val="28"/>
          <w:szCs w:val="28"/>
        </w:rPr>
        <w:lastRenderedPageBreak/>
        <w:drawing>
          <wp:inline distT="0" distB="0" distL="0" distR="0" wp14:anchorId="5D057D10" wp14:editId="5FF35BFA">
            <wp:extent cx="5275580" cy="3139440"/>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026E180" w14:textId="77777777" w:rsidR="006A18CB" w:rsidRPr="006A18CB" w:rsidRDefault="006A18CB" w:rsidP="006A18CB">
      <w:pPr>
        <w:spacing w:before="120" w:after="240"/>
        <w:ind w:firstLine="709"/>
        <w:jc w:val="center"/>
        <w:rPr>
          <w:rFonts w:eastAsia="Calibri"/>
          <w:color w:val="000000"/>
          <w:sz w:val="28"/>
          <w:szCs w:val="28"/>
        </w:rPr>
      </w:pPr>
      <w:r w:rsidRPr="006A18CB">
        <w:rPr>
          <w:rFonts w:eastAsia="Calibri"/>
          <w:color w:val="000000"/>
          <w:sz w:val="28"/>
          <w:szCs w:val="28"/>
        </w:rPr>
        <w:t>Рисунок 3.1 – Прогнозные значения изменения степени                                   удовлетворенностью клиентов АО «Альфа-Банк»</w:t>
      </w:r>
    </w:p>
    <w:p w14:paraId="7EA5BB72"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Рассмотрим методику работы специалистов ПАО «</w:t>
      </w:r>
      <w:r w:rsidRPr="006A18CB">
        <w:rPr>
          <w:rFonts w:eastAsia="Calibri"/>
          <w:iCs/>
          <w:color w:val="000000"/>
          <w:sz w:val="28"/>
          <w:szCs w:val="28"/>
          <w:lang w:eastAsia="en-US"/>
        </w:rPr>
        <w:t>Сбербанк</w:t>
      </w:r>
      <w:r w:rsidRPr="006A18CB">
        <w:rPr>
          <w:rFonts w:eastAsia="Calibri"/>
          <w:color w:val="000000"/>
          <w:sz w:val="28"/>
          <w:szCs w:val="28"/>
          <w:lang w:eastAsia="en-US"/>
        </w:rPr>
        <w:t>» с кредитными заявками поэтапно.</w:t>
      </w:r>
    </w:p>
    <w:p w14:paraId="3714FD59"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этап 1 – менеджер по продажам заполняет «воронку» вопросов;</w:t>
      </w:r>
    </w:p>
    <w:p w14:paraId="3B481FC4"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этап 2 – заполнение клиентом заявления-анкеты на получение кредитного продукта;</w:t>
      </w:r>
    </w:p>
    <w:p w14:paraId="58F77346"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этап 3 – подача документов;</w:t>
      </w:r>
    </w:p>
    <w:p w14:paraId="280E32CD"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этап 4 – заполнение менеджером данных клиентов в программы обработки данных;</w:t>
      </w:r>
    </w:p>
    <w:p w14:paraId="43BFAB4E"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этап 5 – ожидание менеджером ответа с программ;</w:t>
      </w:r>
    </w:p>
    <w:p w14:paraId="2B1B9818"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этап 6 – извещение клиентов о решении Банка. Если был получен положительный ответ от программ, то клиент приглашается в Банк для оформления кредитного договора;</w:t>
      </w:r>
    </w:p>
    <w:p w14:paraId="5CA69281"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 xml:space="preserve">этап 7 – заключение кредитного договора с клиентом. Подписание клиентом кредитного договора, а также получение от менеджера графика </w:t>
      </w:r>
      <w:proofErr w:type="spellStart"/>
      <w:r w:rsidRPr="006A18CB">
        <w:rPr>
          <w:rFonts w:eastAsia="Calibri"/>
          <w:color w:val="000000"/>
          <w:sz w:val="28"/>
          <w:szCs w:val="28"/>
          <w:lang w:eastAsia="en-US"/>
        </w:rPr>
        <w:t>аннуитентных</w:t>
      </w:r>
      <w:proofErr w:type="spellEnd"/>
      <w:r w:rsidRPr="006A18CB">
        <w:rPr>
          <w:rFonts w:eastAsia="Calibri"/>
          <w:color w:val="000000"/>
          <w:sz w:val="28"/>
          <w:szCs w:val="28"/>
          <w:lang w:eastAsia="en-US"/>
        </w:rPr>
        <w:t xml:space="preserve"> платежей, т.е. помесячного графика платежей, включающих в себя платеж по основному долгу и процент по кредиту;</w:t>
      </w:r>
    </w:p>
    <w:p w14:paraId="7D4F4B22"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lastRenderedPageBreak/>
        <w:t>этап 8 – открытие сберегательного счета, на который будет перечислена сумма кредита;</w:t>
      </w:r>
    </w:p>
    <w:p w14:paraId="6602433F"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этап 9 – перечисление денежных средств Банком на сберегательный счет клиента.</w:t>
      </w:r>
    </w:p>
    <w:p w14:paraId="7FDAB74D"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Отметим, что, при рассмотрении кредитной заявки, Банк в том числе применяет метод визуального андеррайтинга, основанный на оценке внешнего вида клиента. Если клиент на момент подачи заявки на кредитные продукты проявляет признаки алкогольного или наркотического опьянения, а также следы побоев, то его заявка не будет одобрена Банком.</w:t>
      </w:r>
    </w:p>
    <w:p w14:paraId="04B70900"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 xml:space="preserve">Далее, все коммерческие банки РФ при оценке кредитоспособности физических лиц используют </w:t>
      </w:r>
      <w:proofErr w:type="spellStart"/>
      <w:r w:rsidRPr="006A18CB">
        <w:rPr>
          <w:rFonts w:eastAsia="Calibri"/>
          <w:color w:val="000000"/>
          <w:sz w:val="28"/>
          <w:szCs w:val="28"/>
          <w:lang w:eastAsia="en-US"/>
        </w:rPr>
        <w:t>скоринговые</w:t>
      </w:r>
      <w:proofErr w:type="spellEnd"/>
      <w:r w:rsidRPr="006A18CB">
        <w:rPr>
          <w:rFonts w:eastAsia="Calibri"/>
          <w:color w:val="000000"/>
          <w:sz w:val="28"/>
          <w:szCs w:val="28"/>
          <w:lang w:eastAsia="en-US"/>
        </w:rPr>
        <w:t xml:space="preserve"> системы или балльные системы, которые присваивают заемщику определенный балл, отражающий его кредитоспособность и способность выплачивать кредиты. Разные банки применяют различные </w:t>
      </w:r>
      <w:proofErr w:type="spellStart"/>
      <w:r w:rsidRPr="006A18CB">
        <w:rPr>
          <w:rFonts w:eastAsia="Calibri"/>
          <w:color w:val="000000"/>
          <w:sz w:val="28"/>
          <w:szCs w:val="28"/>
          <w:lang w:eastAsia="en-US"/>
        </w:rPr>
        <w:t>скоринговые</w:t>
      </w:r>
      <w:proofErr w:type="spellEnd"/>
      <w:r w:rsidRPr="006A18CB">
        <w:rPr>
          <w:rFonts w:eastAsia="Calibri"/>
          <w:color w:val="000000"/>
          <w:sz w:val="28"/>
          <w:szCs w:val="28"/>
          <w:lang w:eastAsia="en-US"/>
        </w:rPr>
        <w:t xml:space="preserve"> системы.</w:t>
      </w:r>
    </w:p>
    <w:p w14:paraId="7CE0FA92"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 xml:space="preserve">Еще в 2013 году перешел на новую </w:t>
      </w:r>
      <w:proofErr w:type="spellStart"/>
      <w:r w:rsidRPr="006A18CB">
        <w:rPr>
          <w:rFonts w:eastAsia="Calibri"/>
          <w:color w:val="000000"/>
          <w:sz w:val="28"/>
          <w:szCs w:val="28"/>
          <w:lang w:eastAsia="en-US"/>
        </w:rPr>
        <w:t>скоринговую</w:t>
      </w:r>
      <w:proofErr w:type="spellEnd"/>
      <w:r w:rsidRPr="006A18CB">
        <w:rPr>
          <w:rFonts w:eastAsia="Calibri"/>
          <w:color w:val="000000"/>
          <w:sz w:val="28"/>
          <w:szCs w:val="28"/>
          <w:lang w:eastAsia="en-US"/>
        </w:rPr>
        <w:t xml:space="preserve"> систему «Скоринг-бюро III поколения ПАО «</w:t>
      </w:r>
      <w:r w:rsidRPr="006A18CB">
        <w:rPr>
          <w:rFonts w:eastAsia="Calibri"/>
          <w:iCs/>
          <w:color w:val="000000"/>
          <w:sz w:val="28"/>
          <w:szCs w:val="28"/>
          <w:lang w:eastAsia="en-US"/>
        </w:rPr>
        <w:t>Сбербанк</w:t>
      </w:r>
      <w:r w:rsidRPr="006A18CB">
        <w:rPr>
          <w:rFonts w:eastAsia="Calibri"/>
          <w:color w:val="000000"/>
          <w:sz w:val="28"/>
          <w:szCs w:val="28"/>
          <w:lang w:eastAsia="en-US"/>
        </w:rPr>
        <w:t xml:space="preserve">». Эта система представляет собой комплексную оценку заемщика, используя данные о его кредитной истории, которые получены от более чем 500 банков. </w:t>
      </w:r>
      <w:proofErr w:type="spellStart"/>
      <w:r w:rsidRPr="006A18CB">
        <w:rPr>
          <w:rFonts w:eastAsia="Calibri"/>
          <w:color w:val="000000"/>
          <w:sz w:val="28"/>
          <w:szCs w:val="28"/>
          <w:lang w:eastAsia="en-US"/>
        </w:rPr>
        <w:t>Скоринговая</w:t>
      </w:r>
      <w:proofErr w:type="spellEnd"/>
      <w:r w:rsidRPr="006A18CB">
        <w:rPr>
          <w:rFonts w:eastAsia="Calibri"/>
          <w:color w:val="000000"/>
          <w:sz w:val="28"/>
          <w:szCs w:val="28"/>
          <w:lang w:eastAsia="en-US"/>
        </w:rPr>
        <w:t xml:space="preserve"> система «Скоринг-бюро III поколения» содержит информацию о более чем 90% всех существующих кредитных историях, обеспечивая высокое качество оценки заемщика.</w:t>
      </w:r>
    </w:p>
    <w:p w14:paraId="5DF9AE5F"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АО «</w:t>
      </w:r>
      <w:r w:rsidRPr="006A18CB">
        <w:rPr>
          <w:rFonts w:eastAsia="Calibri"/>
          <w:iCs/>
          <w:color w:val="000000"/>
          <w:sz w:val="28"/>
          <w:szCs w:val="28"/>
          <w:lang w:eastAsia="en-US"/>
        </w:rPr>
        <w:t>Альфа-Банк</w:t>
      </w:r>
      <w:r w:rsidRPr="006A18CB">
        <w:rPr>
          <w:rFonts w:eastAsia="Calibri"/>
          <w:color w:val="000000"/>
          <w:sz w:val="28"/>
          <w:szCs w:val="28"/>
          <w:lang w:eastAsia="en-US"/>
        </w:rPr>
        <w:t>» при оценке кредитоспособности клиента учитывает не только его кредитную историю, но также задолженности по налогам, сборам, штрафам, пеням и жилищно-коммунальным услугам. Если клиент не имеет задолженностей в указанных категориях, Банк более склонен одобрить его заявку.</w:t>
      </w:r>
    </w:p>
    <w:p w14:paraId="4EA34BC0"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Просроченная задолженность, возникающая в коммерческих банках, является результатом двух событий:</w:t>
      </w:r>
    </w:p>
    <w:p w14:paraId="699DEB66" w14:textId="77777777" w:rsidR="006A18CB" w:rsidRPr="006A18CB" w:rsidRDefault="006A18CB" w:rsidP="006A18CB">
      <w:pPr>
        <w:numPr>
          <w:ilvl w:val="0"/>
          <w:numId w:val="2"/>
        </w:numPr>
        <w:tabs>
          <w:tab w:val="left" w:pos="1134"/>
        </w:tabs>
        <w:spacing w:line="360" w:lineRule="auto"/>
        <w:jc w:val="both"/>
        <w:rPr>
          <w:rFonts w:eastAsia="Calibri"/>
          <w:color w:val="000000"/>
          <w:sz w:val="28"/>
          <w:szCs w:val="28"/>
          <w:lang w:eastAsia="en-US"/>
        </w:rPr>
      </w:pPr>
      <w:r w:rsidRPr="006A18CB">
        <w:rPr>
          <w:rFonts w:eastAsia="Calibri"/>
          <w:color w:val="000000"/>
          <w:sz w:val="28"/>
          <w:szCs w:val="28"/>
          <w:lang w:eastAsia="en-US"/>
        </w:rPr>
        <w:t>наличие мошеннических действий клиентов Банка;</w:t>
      </w:r>
    </w:p>
    <w:p w14:paraId="6A5CA269" w14:textId="77777777" w:rsidR="006A18CB" w:rsidRPr="006A18CB" w:rsidRDefault="006A18CB" w:rsidP="006A18CB">
      <w:pPr>
        <w:numPr>
          <w:ilvl w:val="0"/>
          <w:numId w:val="2"/>
        </w:numPr>
        <w:tabs>
          <w:tab w:val="left" w:pos="1134"/>
        </w:tabs>
        <w:spacing w:line="360" w:lineRule="auto"/>
        <w:jc w:val="both"/>
        <w:rPr>
          <w:rFonts w:eastAsia="Calibri"/>
          <w:color w:val="000000"/>
          <w:sz w:val="28"/>
          <w:szCs w:val="28"/>
          <w:lang w:eastAsia="en-US"/>
        </w:rPr>
      </w:pPr>
      <w:r w:rsidRPr="006A18CB">
        <w:rPr>
          <w:rFonts w:eastAsia="Calibri"/>
          <w:color w:val="000000"/>
          <w:sz w:val="28"/>
          <w:szCs w:val="28"/>
          <w:lang w:eastAsia="en-US"/>
        </w:rPr>
        <w:t>недостаточные меры по взысканию задолженности с заемщиков.</w:t>
      </w:r>
    </w:p>
    <w:p w14:paraId="7ECF87BB"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lastRenderedPageBreak/>
        <w:t>В целях предотвращения мошеннической деятельности со стороны клиентов при оформлении кредитных заявок, предлагается внедрить новую систему скоринга – «голосовой скоринг» или «голосовой анализатор кредитоспособности».</w:t>
      </w:r>
    </w:p>
    <w:p w14:paraId="7A971F38"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 xml:space="preserve">Эта система основывается на записи голоса клиента во время подачи заявки и заполнения анкеты. В процессе ответов на вопросы специалиста, голос заемщика записывается и затем анализируется специальной программой. Путем оценки интонации и тембра голоса происходит оценка психологического состояния заемщика. </w:t>
      </w:r>
    </w:p>
    <w:p w14:paraId="1295A527" w14:textId="77777777" w:rsidR="006A18CB" w:rsidRPr="006A18CB" w:rsidRDefault="006A18CB" w:rsidP="006A18CB">
      <w:pPr>
        <w:tabs>
          <w:tab w:val="left" w:pos="1134"/>
        </w:tabs>
        <w:spacing w:line="360" w:lineRule="auto"/>
        <w:ind w:firstLine="709"/>
        <w:jc w:val="both"/>
        <w:rPr>
          <w:rFonts w:eastAsia="Calibri"/>
          <w:color w:val="000000"/>
          <w:sz w:val="28"/>
          <w:szCs w:val="28"/>
          <w:lang w:eastAsia="en-US"/>
        </w:rPr>
      </w:pPr>
      <w:r w:rsidRPr="006A18CB">
        <w:rPr>
          <w:rFonts w:eastAsia="Calibri"/>
          <w:color w:val="000000"/>
          <w:sz w:val="28"/>
          <w:szCs w:val="28"/>
          <w:lang w:eastAsia="en-US"/>
        </w:rPr>
        <w:t xml:space="preserve">Данный анализ голоса, вместе со стандартным </w:t>
      </w:r>
      <w:proofErr w:type="spellStart"/>
      <w:r w:rsidRPr="006A18CB">
        <w:rPr>
          <w:rFonts w:eastAsia="Calibri"/>
          <w:color w:val="000000"/>
          <w:sz w:val="28"/>
          <w:szCs w:val="28"/>
          <w:lang w:eastAsia="en-US"/>
        </w:rPr>
        <w:t>скоринговым</w:t>
      </w:r>
      <w:proofErr w:type="spellEnd"/>
      <w:r w:rsidRPr="006A18CB">
        <w:rPr>
          <w:rFonts w:eastAsia="Calibri"/>
          <w:color w:val="000000"/>
          <w:sz w:val="28"/>
          <w:szCs w:val="28"/>
          <w:lang w:eastAsia="en-US"/>
        </w:rPr>
        <w:t xml:space="preserve"> подходом, приводит к присвоению заемщику определенного балла, который учитывается в общей оценке его кредитоспособности. Кроме того, такая оценка правдивости клиента поможет службе безопасности Банка выявлять случаи мошенничества.</w:t>
      </w:r>
    </w:p>
    <w:p w14:paraId="11ED7BBF" w14:textId="77777777" w:rsidR="006A18CB" w:rsidRPr="006A18CB" w:rsidRDefault="006A18CB" w:rsidP="006A18CB">
      <w:pPr>
        <w:spacing w:line="360" w:lineRule="auto"/>
        <w:ind w:firstLine="709"/>
        <w:jc w:val="both"/>
        <w:rPr>
          <w:rFonts w:eastAsia="Calibri"/>
          <w:color w:val="000000"/>
          <w:sz w:val="28"/>
          <w:szCs w:val="28"/>
        </w:rPr>
      </w:pPr>
      <w:r w:rsidRPr="006A18CB">
        <w:rPr>
          <w:rFonts w:eastAsia="Calibri"/>
          <w:color w:val="000000"/>
          <w:sz w:val="28"/>
          <w:szCs w:val="28"/>
        </w:rPr>
        <w:t>В результате проведенных мероприятий планируется не только увеличение уровня удовлетворенности клиентами оказанными им банковскими услугами, но и повышение уровня экономической безопасности банка, что благоприятно скажется на эффективности и результативности деятельности АО «Альфа-Банк» в целом.</w:t>
      </w:r>
    </w:p>
    <w:p w14:paraId="15BEAAD6" w14:textId="21CB4DA0" w:rsidR="00E1479C" w:rsidRDefault="00E1479C" w:rsidP="002D710A">
      <w:pPr>
        <w:rPr>
          <w:rFonts w:eastAsia="Calibri"/>
        </w:rPr>
      </w:pPr>
      <w:r>
        <w:rPr>
          <w:rFonts w:eastAsia="Calibri"/>
        </w:rPr>
        <w:br w:type="page"/>
      </w:r>
    </w:p>
    <w:p w14:paraId="0F6DB404" w14:textId="3891C79B" w:rsidR="002D710A" w:rsidRDefault="00E1479C" w:rsidP="00E1479C">
      <w:pPr>
        <w:pStyle w:val="1"/>
        <w:jc w:val="center"/>
        <w:rPr>
          <w:rFonts w:eastAsia="Calibri"/>
          <w:sz w:val="30"/>
          <w:szCs w:val="30"/>
        </w:rPr>
      </w:pPr>
      <w:bookmarkStart w:id="6" w:name="_Toc187851176"/>
      <w:r w:rsidRPr="00E1479C">
        <w:rPr>
          <w:rFonts w:eastAsia="Calibri"/>
          <w:sz w:val="30"/>
          <w:szCs w:val="30"/>
        </w:rPr>
        <w:lastRenderedPageBreak/>
        <w:t>Заключение</w:t>
      </w:r>
      <w:bookmarkEnd w:id="6"/>
    </w:p>
    <w:p w14:paraId="3F87A13E" w14:textId="77777777"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 xml:space="preserve">Таким образом, в ходе производственной практики были решены следующие задачи.  </w:t>
      </w:r>
    </w:p>
    <w:p w14:paraId="51419380" w14:textId="2E2BA605"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 xml:space="preserve">Было дано краткое описание АО «Альфа-Банк», рассмотрена его организационно-правовая форма, описаны виды деятельности, организационная структура кредитной организации.  Были рассчитаны основные показатели, характеризующие финансово-хозяйственную деятельность АО «Альфа-Банк». </w:t>
      </w:r>
    </w:p>
    <w:p w14:paraId="5BC47662" w14:textId="6B6A0E1A"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 xml:space="preserve">Был проведен расчет и анализ показателей микроуровня, характеризующих экономическую безопасность организации по основным элементам. С учетом результатов анализа были сформулированы угрозы экономической безопасности организации, проведена их оценка. </w:t>
      </w:r>
    </w:p>
    <w:p w14:paraId="1AFE6220" w14:textId="0491BBB2"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 xml:space="preserve">Были проанализированы факторы макро- и </w:t>
      </w:r>
      <w:proofErr w:type="spellStart"/>
      <w:r w:rsidRPr="00E1479C">
        <w:rPr>
          <w:rFonts w:eastAsia="Calibri"/>
          <w:color w:val="000000"/>
          <w:sz w:val="28"/>
          <w:szCs w:val="28"/>
          <w:lang w:eastAsia="en-US"/>
        </w:rPr>
        <w:t>мезоуровня</w:t>
      </w:r>
      <w:proofErr w:type="spellEnd"/>
      <w:r w:rsidRPr="00E1479C">
        <w:rPr>
          <w:rFonts w:eastAsia="Calibri"/>
          <w:color w:val="000000"/>
          <w:sz w:val="28"/>
          <w:szCs w:val="28"/>
          <w:lang w:eastAsia="en-US"/>
        </w:rPr>
        <w:t xml:space="preserve">, влияющие на деятельность организации. С учетом полученных результатов были описаны угрозы деятельности организации со стороны внешней среды, проведен их анализ. </w:t>
      </w:r>
    </w:p>
    <w:p w14:paraId="2C0714E8" w14:textId="04D2B5F8"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 xml:space="preserve">При помощи ряда методов обработки выявленных угроз, были сформулированы конкретные мероприятия по обеспечению экономической безопасности АО «Альфа-Банк», которые позволят компании минимизировать ущерб от имеющихся экономических угроз. </w:t>
      </w:r>
    </w:p>
    <w:p w14:paraId="26B9D35C" w14:textId="77777777"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Выяснили, что АО «Альфа-Банк» был основан в 1990 году и на сегодняшний день является одним из ведущих банков России. Основным видом деятельности компании является предоставление услуг в банковской сфере, которая включает в себя обслуживание как физических, так и юридических лиц, и инвесторов.</w:t>
      </w:r>
    </w:p>
    <w:p w14:paraId="6DA97DC0" w14:textId="5B8CDA64"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 xml:space="preserve">Приоритетным направлением деятельности банка являются депозиты физических лиц. </w:t>
      </w:r>
    </w:p>
    <w:p w14:paraId="1A4A2643" w14:textId="77777777"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Текущая тенденция соблюдения стандартов свидетельствует о качественном управлении рисками в АО «Альфа-Банк», однако демонстрирует существенном снижении их уровня с течением времени.</w:t>
      </w:r>
    </w:p>
    <w:p w14:paraId="29AAA764" w14:textId="77777777"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lastRenderedPageBreak/>
        <w:t xml:space="preserve">Проведя анализ, можно сказать, что АО «Альфа-Банк» сегодня считается финансово устойчивым банком России. Однако в показателях деятельности банка наблюдаются незначительные негативные тенденции, которые могут представлять угрозу экономической безопасности банка. </w:t>
      </w:r>
    </w:p>
    <w:p w14:paraId="12E47302" w14:textId="77777777" w:rsidR="00E1479C" w:rsidRPr="00E1479C" w:rsidRDefault="00E1479C" w:rsidP="00E1479C">
      <w:pPr>
        <w:spacing w:line="360" w:lineRule="auto"/>
        <w:ind w:firstLine="709"/>
        <w:jc w:val="both"/>
        <w:rPr>
          <w:rFonts w:eastAsia="Calibri"/>
          <w:color w:val="000000"/>
          <w:sz w:val="28"/>
          <w:szCs w:val="28"/>
          <w:lang w:eastAsia="en-US"/>
        </w:rPr>
      </w:pPr>
      <w:r w:rsidRPr="00E1479C">
        <w:rPr>
          <w:rFonts w:eastAsia="Calibri"/>
          <w:color w:val="000000"/>
          <w:sz w:val="28"/>
          <w:szCs w:val="28"/>
          <w:lang w:eastAsia="en-US"/>
        </w:rPr>
        <w:t xml:space="preserve">Во избежание незапланированных финансовых потерь банку рекомендовано: </w:t>
      </w:r>
    </w:p>
    <w:p w14:paraId="611CD8BC" w14:textId="77777777" w:rsidR="00E1479C" w:rsidRPr="00E1479C" w:rsidRDefault="00E1479C" w:rsidP="00E1479C">
      <w:pPr>
        <w:numPr>
          <w:ilvl w:val="0"/>
          <w:numId w:val="3"/>
        </w:numPr>
        <w:spacing w:line="360" w:lineRule="auto"/>
        <w:jc w:val="both"/>
        <w:rPr>
          <w:rFonts w:eastAsia="Calibri"/>
          <w:color w:val="000000"/>
          <w:sz w:val="28"/>
          <w:szCs w:val="28"/>
          <w:lang w:eastAsia="en-US"/>
        </w:rPr>
      </w:pPr>
      <w:r w:rsidRPr="00E1479C">
        <w:rPr>
          <w:rFonts w:eastAsia="Calibri"/>
          <w:color w:val="000000"/>
          <w:sz w:val="28"/>
          <w:szCs w:val="28"/>
          <w:lang w:eastAsia="en-US"/>
        </w:rPr>
        <w:t xml:space="preserve">совершенствовать клиентскую политику; </w:t>
      </w:r>
    </w:p>
    <w:p w14:paraId="2AB3894D" w14:textId="77777777" w:rsidR="00E1479C" w:rsidRPr="00E1479C" w:rsidRDefault="00E1479C" w:rsidP="00E1479C">
      <w:pPr>
        <w:numPr>
          <w:ilvl w:val="0"/>
          <w:numId w:val="3"/>
        </w:numPr>
        <w:spacing w:line="360" w:lineRule="auto"/>
        <w:jc w:val="both"/>
        <w:rPr>
          <w:rFonts w:eastAsia="Calibri"/>
          <w:color w:val="000000"/>
          <w:sz w:val="28"/>
          <w:szCs w:val="28"/>
          <w:lang w:eastAsia="en-US"/>
        </w:rPr>
      </w:pPr>
      <w:r w:rsidRPr="00E1479C">
        <w:rPr>
          <w:rFonts w:eastAsia="Calibri"/>
          <w:color w:val="000000"/>
          <w:sz w:val="28"/>
          <w:szCs w:val="28"/>
          <w:lang w:eastAsia="en-US"/>
        </w:rPr>
        <w:t>создавать различные виды резервов;</w:t>
      </w:r>
    </w:p>
    <w:p w14:paraId="44A7231E" w14:textId="45A32098" w:rsidR="00E1479C" w:rsidRDefault="00E1479C" w:rsidP="00E1479C">
      <w:pPr>
        <w:numPr>
          <w:ilvl w:val="0"/>
          <w:numId w:val="3"/>
        </w:numPr>
        <w:spacing w:line="360" w:lineRule="auto"/>
        <w:jc w:val="both"/>
        <w:rPr>
          <w:rFonts w:eastAsia="Calibri"/>
          <w:color w:val="000000"/>
          <w:sz w:val="28"/>
          <w:szCs w:val="28"/>
          <w:lang w:eastAsia="en-US"/>
        </w:rPr>
      </w:pPr>
      <w:r w:rsidRPr="00E1479C">
        <w:rPr>
          <w:rFonts w:eastAsia="Calibri"/>
          <w:color w:val="000000"/>
          <w:sz w:val="28"/>
          <w:szCs w:val="28"/>
          <w:lang w:eastAsia="en-US"/>
        </w:rPr>
        <w:t xml:space="preserve">вводить </w:t>
      </w:r>
      <w:proofErr w:type="spellStart"/>
      <w:r w:rsidRPr="00E1479C">
        <w:rPr>
          <w:rFonts w:eastAsia="Calibri"/>
          <w:color w:val="000000"/>
          <w:sz w:val="28"/>
          <w:szCs w:val="28"/>
          <w:lang w:eastAsia="en-US"/>
        </w:rPr>
        <w:t>скоринговую</w:t>
      </w:r>
      <w:proofErr w:type="spellEnd"/>
      <w:r w:rsidRPr="00E1479C">
        <w:rPr>
          <w:rFonts w:eastAsia="Calibri"/>
          <w:color w:val="000000"/>
          <w:sz w:val="28"/>
          <w:szCs w:val="28"/>
          <w:lang w:eastAsia="en-US"/>
        </w:rPr>
        <w:t xml:space="preserve"> систему оценки кредитоспособности заемщиков в целях сокращения просроченной кредиторской задолженности. </w:t>
      </w:r>
    </w:p>
    <w:p w14:paraId="1E264123" w14:textId="69C7DAE0" w:rsidR="00E1479C" w:rsidRDefault="00E1479C" w:rsidP="00E1479C">
      <w:pPr>
        <w:spacing w:line="360" w:lineRule="auto"/>
        <w:ind w:left="1069"/>
        <w:jc w:val="both"/>
        <w:rPr>
          <w:rFonts w:eastAsia="Calibri"/>
          <w:color w:val="000000"/>
          <w:sz w:val="28"/>
          <w:szCs w:val="28"/>
          <w:lang w:eastAsia="en-US"/>
        </w:rPr>
      </w:pPr>
      <w:r>
        <w:rPr>
          <w:rFonts w:eastAsia="Calibri"/>
          <w:color w:val="000000"/>
          <w:sz w:val="28"/>
          <w:szCs w:val="28"/>
          <w:lang w:eastAsia="en-US"/>
        </w:rPr>
        <w:br w:type="page"/>
      </w:r>
    </w:p>
    <w:p w14:paraId="33249FD6" w14:textId="5E21D11F" w:rsidR="00E1479C" w:rsidRDefault="00E1479C" w:rsidP="00E1479C">
      <w:pPr>
        <w:pStyle w:val="1"/>
        <w:jc w:val="center"/>
        <w:rPr>
          <w:rFonts w:eastAsia="Calibri"/>
          <w:sz w:val="30"/>
          <w:szCs w:val="30"/>
          <w:lang w:eastAsia="en-US"/>
        </w:rPr>
      </w:pPr>
      <w:bookmarkStart w:id="7" w:name="_Toc187851177"/>
      <w:r w:rsidRPr="00E1479C">
        <w:rPr>
          <w:rFonts w:eastAsia="Calibri"/>
          <w:sz w:val="30"/>
          <w:szCs w:val="30"/>
          <w:lang w:eastAsia="en-US"/>
        </w:rPr>
        <w:lastRenderedPageBreak/>
        <w:t>Список использованных источников</w:t>
      </w:r>
      <w:bookmarkEnd w:id="7"/>
    </w:p>
    <w:p w14:paraId="5FD9A475" w14:textId="77777777" w:rsidR="00E1479C" w:rsidRPr="00E1479C" w:rsidRDefault="00E1479C" w:rsidP="00FC3C44">
      <w:pPr>
        <w:numPr>
          <w:ilvl w:val="0"/>
          <w:numId w:val="4"/>
        </w:numPr>
        <w:tabs>
          <w:tab w:val="left" w:pos="1134"/>
        </w:tabs>
        <w:spacing w:line="360" w:lineRule="auto"/>
        <w:ind w:left="0" w:firstLine="709"/>
        <w:contextualSpacing/>
        <w:jc w:val="both"/>
        <w:rPr>
          <w:rFonts w:eastAsia="Calibri"/>
          <w:color w:val="000000"/>
          <w:sz w:val="28"/>
          <w:szCs w:val="28"/>
          <w:lang w:eastAsia="en-US"/>
        </w:rPr>
      </w:pPr>
      <w:r w:rsidRPr="00E1479C">
        <w:rPr>
          <w:rFonts w:eastAsia="Calibri"/>
          <w:color w:val="000000"/>
          <w:sz w:val="28"/>
          <w:szCs w:val="28"/>
          <w:lang w:eastAsia="en-US"/>
        </w:rPr>
        <w:t>Халилова М.Х. Оценка влияния кризисных тенденций на банковский сектор и участников финансового рынка России / М.Х. Халилова // Финансовые рынки и банки. – 2023. –  № 1. – С. 56-62.</w:t>
      </w:r>
    </w:p>
    <w:p w14:paraId="16BD5F22" w14:textId="7A896460" w:rsidR="00E1479C" w:rsidRPr="00E1479C" w:rsidRDefault="00E1479C" w:rsidP="00FC3C44">
      <w:pPr>
        <w:numPr>
          <w:ilvl w:val="0"/>
          <w:numId w:val="4"/>
        </w:numPr>
        <w:tabs>
          <w:tab w:val="left" w:pos="1134"/>
        </w:tabs>
        <w:spacing w:line="360" w:lineRule="auto"/>
        <w:ind w:left="0" w:firstLine="709"/>
        <w:contextualSpacing/>
        <w:jc w:val="both"/>
        <w:rPr>
          <w:rFonts w:eastAsia="Calibri"/>
          <w:color w:val="000000"/>
          <w:sz w:val="28"/>
          <w:szCs w:val="28"/>
          <w:lang w:eastAsia="en-US"/>
        </w:rPr>
      </w:pPr>
      <w:r w:rsidRPr="00E1479C">
        <w:rPr>
          <w:rFonts w:eastAsia="Calibri"/>
          <w:color w:val="000000"/>
          <w:sz w:val="28"/>
          <w:szCs w:val="28"/>
          <w:lang w:eastAsia="en-US"/>
        </w:rPr>
        <w:t>О банках и банковской деятельности: Федеральный закон от 02.12.1990 № 395-1 (ред. от 19.12.2023) // СПС «Гарант». – URL: https://base.garant.ru/10105800/ (дата обращения: 25.</w:t>
      </w:r>
      <w:r w:rsidR="00941EF2">
        <w:rPr>
          <w:rFonts w:eastAsia="Calibri"/>
          <w:color w:val="000000"/>
          <w:sz w:val="28"/>
          <w:szCs w:val="28"/>
          <w:lang w:eastAsia="en-US"/>
        </w:rPr>
        <w:t>12</w:t>
      </w:r>
      <w:r w:rsidRPr="00E1479C">
        <w:rPr>
          <w:rFonts w:eastAsia="Calibri"/>
          <w:color w:val="000000"/>
          <w:sz w:val="28"/>
          <w:szCs w:val="28"/>
          <w:lang w:eastAsia="en-US"/>
        </w:rPr>
        <w:t>.2024).</w:t>
      </w:r>
    </w:p>
    <w:p w14:paraId="79F7642E" w14:textId="28BA0C25"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Гражданский кодекс Российской Федерации (часть 1) 30 ноября 1994 года № 51-ФЗ (ред. от 11.03.2024) // СПС «Гарант». – URL: https://base.garant.ru/10164072/ (дата обращения: 04.0</w:t>
      </w:r>
      <w:r w:rsidR="00941EF2">
        <w:rPr>
          <w:rFonts w:eastAsia="Calibri"/>
          <w:color w:val="000000"/>
          <w:sz w:val="28"/>
          <w:szCs w:val="28"/>
          <w:lang w:eastAsia="en-US"/>
        </w:rPr>
        <w:t>1</w:t>
      </w:r>
      <w:r w:rsidRPr="00E1479C">
        <w:rPr>
          <w:rFonts w:eastAsia="Calibri"/>
          <w:color w:val="000000"/>
          <w:sz w:val="28"/>
          <w:szCs w:val="28"/>
          <w:lang w:eastAsia="en-US"/>
        </w:rPr>
        <w:t>.202</w:t>
      </w:r>
      <w:r w:rsidR="00941EF2">
        <w:rPr>
          <w:rFonts w:eastAsia="Calibri"/>
          <w:color w:val="000000"/>
          <w:sz w:val="28"/>
          <w:szCs w:val="28"/>
          <w:lang w:eastAsia="en-US"/>
        </w:rPr>
        <w:t>5</w:t>
      </w:r>
      <w:r w:rsidRPr="00E1479C">
        <w:rPr>
          <w:rFonts w:eastAsia="Calibri"/>
          <w:color w:val="000000"/>
          <w:sz w:val="28"/>
          <w:szCs w:val="28"/>
          <w:lang w:eastAsia="en-US"/>
        </w:rPr>
        <w:t>).</w:t>
      </w:r>
    </w:p>
    <w:p w14:paraId="22CB27D5" w14:textId="5ECD4436"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О клиринге, клиринговой деятельности и центральном контрагенте:</w:t>
      </w:r>
      <w:r w:rsidRPr="00E1479C">
        <w:rPr>
          <w:color w:val="000000"/>
          <w:sz w:val="28"/>
          <w:szCs w:val="28"/>
          <w:lang w:eastAsia="en-US"/>
        </w:rPr>
        <w:t xml:space="preserve"> </w:t>
      </w:r>
      <w:r w:rsidRPr="00E1479C">
        <w:rPr>
          <w:rFonts w:eastAsia="Calibri"/>
          <w:color w:val="000000"/>
          <w:sz w:val="28"/>
          <w:szCs w:val="28"/>
          <w:lang w:eastAsia="en-US"/>
        </w:rPr>
        <w:t>Федеральный закон от 07.02.2011 № 7-ФЗ (ред. от 25.12.2024) // СПС «Гарант». – URL: https://base.garant.ru/12182694/ (дата обращения: 04.0</w:t>
      </w:r>
      <w:r w:rsidR="00941EF2">
        <w:rPr>
          <w:rFonts w:eastAsia="Calibri"/>
          <w:color w:val="000000"/>
          <w:sz w:val="28"/>
          <w:szCs w:val="28"/>
          <w:lang w:eastAsia="en-US"/>
        </w:rPr>
        <w:t>1</w:t>
      </w:r>
      <w:r w:rsidRPr="00E1479C">
        <w:rPr>
          <w:rFonts w:eastAsia="Calibri"/>
          <w:color w:val="000000"/>
          <w:sz w:val="28"/>
          <w:szCs w:val="28"/>
          <w:lang w:eastAsia="en-US"/>
        </w:rPr>
        <w:t>.202</w:t>
      </w:r>
      <w:r w:rsidR="00941EF2">
        <w:rPr>
          <w:rFonts w:eastAsia="Calibri"/>
          <w:color w:val="000000"/>
          <w:sz w:val="28"/>
          <w:szCs w:val="28"/>
          <w:lang w:eastAsia="en-US"/>
        </w:rPr>
        <w:t>5</w:t>
      </w:r>
      <w:r w:rsidRPr="00E1479C">
        <w:rPr>
          <w:rFonts w:eastAsia="Calibri"/>
          <w:color w:val="000000"/>
          <w:sz w:val="28"/>
          <w:szCs w:val="28"/>
          <w:lang w:eastAsia="en-US"/>
        </w:rPr>
        <w:t>).</w:t>
      </w:r>
    </w:p>
    <w:p w14:paraId="66C3D83D"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Семенов К.О. Финансовая устойчивость коммерческих банков и ее оценка / К.О. Семенов // Журнал прикладных исследований. – 2021. – Т. 1. – № 1. – С. 32-37.</w:t>
      </w:r>
    </w:p>
    <w:p w14:paraId="024B8F67" w14:textId="696738E5"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О допустимых сочетаниях банковских операций небанковских кредитных организаций, осуществляющих депозитно-кредитные операции, об обязательных нормативах небанковских кредитных организаций, осуществляющих депозитно-кредитные операции, и об осуществлении Банком России надзора за их соблюдением: Инструкция Банка России от 21.11.2017 № 182-И (ред. от 15.11.2023) // СПС «Консультант Плюс». – URL: https://www.consultant.ru/document/cons_doc_LAW_290414/ (дата обращения: 04.0</w:t>
      </w:r>
      <w:r w:rsidR="00941EF2">
        <w:rPr>
          <w:rFonts w:eastAsia="Calibri"/>
          <w:color w:val="000000"/>
          <w:sz w:val="28"/>
          <w:szCs w:val="28"/>
          <w:lang w:eastAsia="en-US"/>
        </w:rPr>
        <w:t>1</w:t>
      </w:r>
      <w:r w:rsidRPr="00E1479C">
        <w:rPr>
          <w:rFonts w:eastAsia="Calibri"/>
          <w:color w:val="000000"/>
          <w:sz w:val="28"/>
          <w:szCs w:val="28"/>
          <w:lang w:eastAsia="en-US"/>
        </w:rPr>
        <w:t>.202</w:t>
      </w:r>
      <w:r w:rsidR="00941EF2">
        <w:rPr>
          <w:rFonts w:eastAsia="Calibri"/>
          <w:color w:val="000000"/>
          <w:sz w:val="28"/>
          <w:szCs w:val="28"/>
          <w:lang w:eastAsia="en-US"/>
        </w:rPr>
        <w:t>5</w:t>
      </w:r>
      <w:r w:rsidRPr="00E1479C">
        <w:rPr>
          <w:rFonts w:eastAsia="Calibri"/>
          <w:color w:val="000000"/>
          <w:sz w:val="28"/>
          <w:szCs w:val="28"/>
          <w:lang w:eastAsia="en-US"/>
        </w:rPr>
        <w:t>).</w:t>
      </w:r>
    </w:p>
    <w:p w14:paraId="27C923D5"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Ильичева Ю.Э. Повышение конкурентоспособности рынка банковских услуг на региональном уровне / Ю.Э. Ильичева // Научный журнал молодых ученых. – 2020. – № 4 (21). – С. 106-115.</w:t>
      </w:r>
    </w:p>
    <w:p w14:paraId="6A706BCF"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 xml:space="preserve">Об обязательных нормативах небанковских кредитных организаций, имеющих право на осуществление переводов денежных средств без открытия банковских счетов и связанных с ними иных банковских операций, и </w:t>
      </w:r>
      <w:r w:rsidRPr="00E1479C">
        <w:rPr>
          <w:rFonts w:eastAsia="Calibri"/>
          <w:color w:val="000000"/>
          <w:sz w:val="28"/>
          <w:szCs w:val="28"/>
          <w:lang w:eastAsia="en-US"/>
        </w:rPr>
        <w:lastRenderedPageBreak/>
        <w:t>осуществлении Банком России надзора за их соблюдением:</w:t>
      </w:r>
      <w:r w:rsidRPr="00E1479C">
        <w:rPr>
          <w:color w:val="000000"/>
          <w:sz w:val="28"/>
          <w:szCs w:val="28"/>
          <w:lang w:eastAsia="en-US"/>
        </w:rPr>
        <w:t xml:space="preserve"> </w:t>
      </w:r>
      <w:r w:rsidRPr="00E1479C">
        <w:rPr>
          <w:rFonts w:eastAsia="Calibri"/>
          <w:color w:val="000000"/>
          <w:sz w:val="28"/>
          <w:szCs w:val="28"/>
          <w:lang w:eastAsia="en-US"/>
        </w:rPr>
        <w:t>Инструкция Банка России от 06.06.2019 N 198-И (ред. от 15.11.2023) // СПС «Консультант Плюс». – URL: https://www.consultant.ru/document/cons_doc_LAW_334797/ (дата обращения: 04.01.2025).</w:t>
      </w:r>
    </w:p>
    <w:p w14:paraId="66D94F15" w14:textId="3AB3530B"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АО Альфа–банк – Текст: электронный // Альфа–банк: [сайт]. – 2024. –  URL: https://alfae.ru. (дата обращения 0</w:t>
      </w:r>
      <w:r w:rsidR="00941EF2">
        <w:rPr>
          <w:rFonts w:eastAsia="Calibri"/>
          <w:color w:val="000000"/>
          <w:sz w:val="28"/>
          <w:szCs w:val="28"/>
          <w:lang w:eastAsia="en-US"/>
        </w:rPr>
        <w:t>5</w:t>
      </w:r>
      <w:r w:rsidRPr="00E1479C">
        <w:rPr>
          <w:rFonts w:eastAsia="Calibri"/>
          <w:color w:val="000000"/>
          <w:sz w:val="28"/>
          <w:szCs w:val="28"/>
          <w:lang w:eastAsia="en-US"/>
        </w:rPr>
        <w:t>.01.25).</w:t>
      </w:r>
    </w:p>
    <w:p w14:paraId="1A758883"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 xml:space="preserve">Гришина М.Г. Модели и стратегии потребительского кредитования: условия эффективного применения в России / М.Г. Гришина, А.В. Коваленко, И.И. Саенко // Modern </w:t>
      </w:r>
      <w:proofErr w:type="spellStart"/>
      <w:r w:rsidRPr="00E1479C">
        <w:rPr>
          <w:rFonts w:eastAsia="Calibri"/>
          <w:color w:val="000000"/>
          <w:sz w:val="28"/>
          <w:szCs w:val="28"/>
          <w:lang w:eastAsia="en-US"/>
        </w:rPr>
        <w:t>Economy</w:t>
      </w:r>
      <w:proofErr w:type="spellEnd"/>
      <w:r w:rsidRPr="00E1479C">
        <w:rPr>
          <w:rFonts w:eastAsia="Calibri"/>
          <w:color w:val="000000"/>
          <w:sz w:val="28"/>
          <w:szCs w:val="28"/>
          <w:lang w:eastAsia="en-US"/>
        </w:rPr>
        <w:t xml:space="preserve"> </w:t>
      </w:r>
      <w:proofErr w:type="spellStart"/>
      <w:r w:rsidRPr="00E1479C">
        <w:rPr>
          <w:rFonts w:eastAsia="Calibri"/>
          <w:color w:val="000000"/>
          <w:sz w:val="28"/>
          <w:szCs w:val="28"/>
          <w:lang w:eastAsia="en-US"/>
        </w:rPr>
        <w:t>Success</w:t>
      </w:r>
      <w:proofErr w:type="spellEnd"/>
      <w:r w:rsidRPr="00E1479C">
        <w:rPr>
          <w:rFonts w:eastAsia="Calibri"/>
          <w:color w:val="000000"/>
          <w:sz w:val="28"/>
          <w:szCs w:val="28"/>
          <w:lang w:eastAsia="en-US"/>
        </w:rPr>
        <w:t>. – 2023. – № 3. – С. 143-148.</w:t>
      </w:r>
    </w:p>
    <w:p w14:paraId="2A02D472"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Зернова Л.Е. Основы управления операциями коммерческих банков в условиях экономической нестабильности / Л.Е. Зернова / В книге: Партнерские связи коммерческих банков и направления их совершенствования. Монография. – Тамбов, 2022. – С. 101-142.</w:t>
      </w:r>
    </w:p>
    <w:p w14:paraId="22109A1C" w14:textId="7DC8B823"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 xml:space="preserve">Карты </w:t>
      </w:r>
      <w:proofErr w:type="spellStart"/>
      <w:r w:rsidRPr="00E1479C">
        <w:rPr>
          <w:rFonts w:eastAsia="Calibri"/>
          <w:color w:val="000000"/>
          <w:sz w:val="28"/>
          <w:szCs w:val="28"/>
          <w:lang w:eastAsia="en-US"/>
        </w:rPr>
        <w:t>Альфа-банк</w:t>
      </w:r>
      <w:proofErr w:type="spellEnd"/>
      <w:r w:rsidRPr="00E1479C">
        <w:rPr>
          <w:rFonts w:eastAsia="Calibri"/>
          <w:color w:val="000000"/>
          <w:sz w:val="28"/>
          <w:szCs w:val="28"/>
          <w:lang w:eastAsia="en-US"/>
        </w:rPr>
        <w:t xml:space="preserve"> – Текст: электронный // </w:t>
      </w:r>
      <w:proofErr w:type="spellStart"/>
      <w:r w:rsidRPr="00E1479C">
        <w:rPr>
          <w:rFonts w:eastAsia="Calibri"/>
          <w:color w:val="000000"/>
          <w:sz w:val="28"/>
          <w:szCs w:val="28"/>
          <w:lang w:eastAsia="en-US"/>
        </w:rPr>
        <w:t>Альфа-банк</w:t>
      </w:r>
      <w:proofErr w:type="spellEnd"/>
      <w:r w:rsidRPr="00E1479C">
        <w:rPr>
          <w:rFonts w:eastAsia="Calibri"/>
          <w:color w:val="000000"/>
          <w:sz w:val="28"/>
          <w:szCs w:val="28"/>
          <w:lang w:eastAsia="en-US"/>
        </w:rPr>
        <w:t>: [сайт]. – 2024. –  URL: https://alfabank.ru/cards/. (дата обращения 0</w:t>
      </w:r>
      <w:r w:rsidR="00941EF2">
        <w:rPr>
          <w:rFonts w:eastAsia="Calibri"/>
          <w:color w:val="000000"/>
          <w:sz w:val="28"/>
          <w:szCs w:val="28"/>
          <w:lang w:eastAsia="en-US"/>
        </w:rPr>
        <w:t>5</w:t>
      </w:r>
      <w:r w:rsidRPr="00E1479C">
        <w:rPr>
          <w:rFonts w:eastAsia="Calibri"/>
          <w:color w:val="000000"/>
          <w:sz w:val="28"/>
          <w:szCs w:val="28"/>
          <w:lang w:eastAsia="en-US"/>
        </w:rPr>
        <w:t>.01.25).</w:t>
      </w:r>
    </w:p>
    <w:p w14:paraId="71F4F431" w14:textId="52CAD66E"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proofErr w:type="spellStart"/>
      <w:r w:rsidRPr="00E1479C">
        <w:rPr>
          <w:rFonts w:eastAsia="Calibri"/>
          <w:color w:val="000000"/>
          <w:sz w:val="28"/>
          <w:szCs w:val="28"/>
          <w:lang w:eastAsia="en-US"/>
        </w:rPr>
        <w:t>Банки.ру</w:t>
      </w:r>
      <w:proofErr w:type="spellEnd"/>
      <w:r w:rsidRPr="00E1479C">
        <w:rPr>
          <w:rFonts w:eastAsia="Calibri"/>
          <w:color w:val="000000"/>
          <w:sz w:val="28"/>
          <w:szCs w:val="28"/>
          <w:lang w:eastAsia="en-US"/>
        </w:rPr>
        <w:t xml:space="preserve"> – Текст: электронный // 32</w:t>
      </w:r>
      <w:r w:rsidRPr="00E1479C">
        <w:rPr>
          <w:rFonts w:eastAsia="Calibri"/>
          <w:color w:val="000000"/>
          <w:sz w:val="28"/>
          <w:szCs w:val="28"/>
          <w:lang w:eastAsia="en-US"/>
        </w:rPr>
        <w:tab/>
      </w:r>
      <w:proofErr w:type="spellStart"/>
      <w:r w:rsidRPr="00E1479C">
        <w:rPr>
          <w:rFonts w:eastAsia="Calibri"/>
          <w:color w:val="000000"/>
          <w:sz w:val="28"/>
          <w:szCs w:val="28"/>
          <w:lang w:eastAsia="en-US"/>
        </w:rPr>
        <w:t>Банки.ру</w:t>
      </w:r>
      <w:proofErr w:type="spellEnd"/>
      <w:r w:rsidRPr="00E1479C">
        <w:rPr>
          <w:rFonts w:eastAsia="Calibri"/>
          <w:color w:val="000000"/>
          <w:sz w:val="28"/>
          <w:szCs w:val="28"/>
          <w:lang w:eastAsia="en-US"/>
        </w:rPr>
        <w:t xml:space="preserve"> [сайт]. – 2024. –  </w:t>
      </w:r>
      <w:r w:rsidRPr="00E1479C">
        <w:rPr>
          <w:rFonts w:eastAsia="Calibri"/>
          <w:color w:val="000000"/>
          <w:sz w:val="28"/>
          <w:szCs w:val="28"/>
          <w:lang w:val="en-US" w:eastAsia="en-US"/>
        </w:rPr>
        <w:t>URL</w:t>
      </w:r>
      <w:r w:rsidRPr="00E1479C">
        <w:rPr>
          <w:rFonts w:eastAsia="Calibri"/>
          <w:color w:val="000000"/>
          <w:sz w:val="28"/>
          <w:szCs w:val="28"/>
          <w:lang w:eastAsia="en-US"/>
        </w:rPr>
        <w:t>: www.banki.ru. (дата обращения 0</w:t>
      </w:r>
      <w:r w:rsidR="00941EF2">
        <w:rPr>
          <w:rFonts w:eastAsia="Calibri"/>
          <w:color w:val="000000"/>
          <w:sz w:val="28"/>
          <w:szCs w:val="28"/>
          <w:lang w:eastAsia="en-US"/>
        </w:rPr>
        <w:t>5</w:t>
      </w:r>
      <w:r w:rsidRPr="00E1479C">
        <w:rPr>
          <w:rFonts w:eastAsia="Calibri"/>
          <w:color w:val="000000"/>
          <w:sz w:val="28"/>
          <w:szCs w:val="28"/>
          <w:lang w:eastAsia="en-US"/>
        </w:rPr>
        <w:t>.01.25).</w:t>
      </w:r>
    </w:p>
    <w:p w14:paraId="27B7653E"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proofErr w:type="spellStart"/>
      <w:r w:rsidRPr="00E1479C">
        <w:rPr>
          <w:rFonts w:eastAsia="Calibri"/>
          <w:color w:val="000000"/>
          <w:sz w:val="28"/>
          <w:szCs w:val="28"/>
          <w:lang w:eastAsia="en-US"/>
        </w:rPr>
        <w:t>Никонец</w:t>
      </w:r>
      <w:proofErr w:type="spellEnd"/>
      <w:r w:rsidRPr="00E1479C">
        <w:rPr>
          <w:rFonts w:eastAsia="Calibri"/>
          <w:color w:val="000000"/>
          <w:sz w:val="28"/>
          <w:szCs w:val="28"/>
          <w:lang w:eastAsia="en-US"/>
        </w:rPr>
        <w:t xml:space="preserve"> О.Е. Дистанционное банковское обслуживание как элемент экосистемы современного банка / О.Е. </w:t>
      </w:r>
      <w:proofErr w:type="spellStart"/>
      <w:r w:rsidRPr="00E1479C">
        <w:rPr>
          <w:rFonts w:eastAsia="Calibri"/>
          <w:color w:val="000000"/>
          <w:sz w:val="28"/>
          <w:szCs w:val="28"/>
          <w:lang w:eastAsia="en-US"/>
        </w:rPr>
        <w:t>Никонец</w:t>
      </w:r>
      <w:proofErr w:type="spellEnd"/>
      <w:r w:rsidRPr="00E1479C">
        <w:rPr>
          <w:rFonts w:eastAsia="Calibri"/>
          <w:color w:val="000000"/>
          <w:sz w:val="28"/>
          <w:szCs w:val="28"/>
          <w:lang w:eastAsia="en-US"/>
        </w:rPr>
        <w:t>, К.А. Попова // Вестник Волжского университета им. В.Н. Татищева. – 2020. – Т. 2. – № 1. – С. 280-292.</w:t>
      </w:r>
    </w:p>
    <w:p w14:paraId="41B3C9AD"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Новицкий А.А. Современные тенденции в инвестиционной политике российских публичных компаний / А.А. Новицкий / В сборнике: Трансформация экономики и финансового сектора России: вызовы и тренды. – Москва, 2023. – С. 280–-281.</w:t>
      </w:r>
    </w:p>
    <w:p w14:paraId="294CB6A2"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 xml:space="preserve">Носова Т.П. Классификация банковских рисков и мероприятия по их снижению с целью оптимизации банковской деятельности / Т.П. Носова, А.Б. Паршин, К.И. </w:t>
      </w:r>
      <w:proofErr w:type="spellStart"/>
      <w:r w:rsidRPr="00E1479C">
        <w:rPr>
          <w:rFonts w:eastAsia="Calibri"/>
          <w:color w:val="000000"/>
          <w:sz w:val="28"/>
          <w:szCs w:val="28"/>
          <w:lang w:eastAsia="en-US"/>
        </w:rPr>
        <w:t>Терпицкая</w:t>
      </w:r>
      <w:proofErr w:type="spellEnd"/>
      <w:r w:rsidRPr="00E1479C">
        <w:rPr>
          <w:rFonts w:eastAsia="Calibri"/>
          <w:color w:val="000000"/>
          <w:sz w:val="28"/>
          <w:szCs w:val="28"/>
          <w:lang w:eastAsia="en-US"/>
        </w:rPr>
        <w:t xml:space="preserve"> // Вестник Академии знаний. – 2022. – № 53 (6). – С. 349-353.</w:t>
      </w:r>
    </w:p>
    <w:p w14:paraId="52872EC9"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 xml:space="preserve">Полежаев П.А. Совершенствование управления кредитным </w:t>
      </w:r>
      <w:proofErr w:type="spellStart"/>
      <w:r w:rsidRPr="00E1479C">
        <w:rPr>
          <w:rFonts w:eastAsia="Calibri"/>
          <w:color w:val="000000"/>
          <w:sz w:val="28"/>
          <w:szCs w:val="28"/>
          <w:lang w:eastAsia="en-US"/>
        </w:rPr>
        <w:t>потрфелем</w:t>
      </w:r>
      <w:proofErr w:type="spellEnd"/>
      <w:r w:rsidRPr="00E1479C">
        <w:rPr>
          <w:rFonts w:eastAsia="Calibri"/>
          <w:color w:val="000000"/>
          <w:sz w:val="28"/>
          <w:szCs w:val="28"/>
          <w:lang w:eastAsia="en-US"/>
        </w:rPr>
        <w:t xml:space="preserve"> в коммерческих банках как фактор развития в период рецессии экономики в </w:t>
      </w:r>
      <w:r w:rsidRPr="00E1479C">
        <w:rPr>
          <w:rFonts w:eastAsia="Calibri"/>
          <w:color w:val="000000"/>
          <w:sz w:val="28"/>
          <w:szCs w:val="28"/>
          <w:lang w:eastAsia="en-US"/>
        </w:rPr>
        <w:lastRenderedPageBreak/>
        <w:t>России / П.А. Полежаев // Современная наука: актуальные проблемы теории и практики. Серия: Экономика и право. – 2022. – № 12. – С. 48-52.</w:t>
      </w:r>
    </w:p>
    <w:p w14:paraId="286A563C"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Садыкова Г.А. Современное состояние финансовой системы российской федерации и проблемы ее развития / Г.А. Садыкова // Актуальные исследования. – 2023. – № 11–2 (141). – С. 22-24.</w:t>
      </w:r>
    </w:p>
    <w:p w14:paraId="49DAD806"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r w:rsidRPr="00E1479C">
        <w:rPr>
          <w:rFonts w:eastAsia="Calibri"/>
          <w:color w:val="000000"/>
          <w:sz w:val="28"/>
          <w:szCs w:val="28"/>
          <w:lang w:eastAsia="en-US"/>
        </w:rPr>
        <w:t>Филькина Е.И. Факторы, влияющие на формирование кредитной политики коммерческого банка / Е.И. Филькина, Л.Е. Зернова / В сборнике: Инновационное развитие техники и технологий в промышленности (ИНТЕКС–2020). – 2020. – С. 77-81.</w:t>
      </w:r>
    </w:p>
    <w:p w14:paraId="6B9E334C" w14:textId="77777777" w:rsidR="00E1479C" w:rsidRP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proofErr w:type="spellStart"/>
      <w:r w:rsidRPr="00E1479C">
        <w:rPr>
          <w:rFonts w:eastAsia="Calibri"/>
          <w:color w:val="000000"/>
          <w:sz w:val="28"/>
          <w:szCs w:val="28"/>
          <w:lang w:eastAsia="en-US"/>
        </w:rPr>
        <w:t>Чукавин</w:t>
      </w:r>
      <w:proofErr w:type="spellEnd"/>
      <w:r w:rsidRPr="00E1479C">
        <w:rPr>
          <w:rFonts w:eastAsia="Calibri"/>
          <w:color w:val="000000"/>
          <w:sz w:val="28"/>
          <w:szCs w:val="28"/>
          <w:lang w:eastAsia="en-US"/>
        </w:rPr>
        <w:t xml:space="preserve"> А.Ю. Анализ взаимодействия населения России с банковским сектором экономики / А.Ю. </w:t>
      </w:r>
      <w:proofErr w:type="spellStart"/>
      <w:r w:rsidRPr="00E1479C">
        <w:rPr>
          <w:rFonts w:eastAsia="Calibri"/>
          <w:color w:val="000000"/>
          <w:sz w:val="28"/>
          <w:szCs w:val="28"/>
          <w:lang w:eastAsia="en-US"/>
        </w:rPr>
        <w:t>Чукавин</w:t>
      </w:r>
      <w:proofErr w:type="spellEnd"/>
      <w:r w:rsidRPr="00E1479C">
        <w:rPr>
          <w:rFonts w:eastAsia="Calibri"/>
          <w:color w:val="000000"/>
          <w:sz w:val="28"/>
          <w:szCs w:val="28"/>
          <w:lang w:eastAsia="en-US"/>
        </w:rPr>
        <w:t>, М.А. Кузин // Вестник евразийской науки. – 2021. – Т. 13. – № 6. – C.66-68.</w:t>
      </w:r>
    </w:p>
    <w:p w14:paraId="2F22D1A3" w14:textId="765A009B" w:rsidR="00E1479C" w:rsidRDefault="00E1479C" w:rsidP="00FC3C44">
      <w:pPr>
        <w:numPr>
          <w:ilvl w:val="0"/>
          <w:numId w:val="4"/>
        </w:numPr>
        <w:tabs>
          <w:tab w:val="left" w:pos="1134"/>
        </w:tabs>
        <w:spacing w:line="360" w:lineRule="auto"/>
        <w:ind w:left="0" w:firstLine="709"/>
        <w:jc w:val="both"/>
        <w:rPr>
          <w:rFonts w:eastAsia="Calibri"/>
          <w:color w:val="000000"/>
          <w:sz w:val="28"/>
          <w:szCs w:val="28"/>
          <w:lang w:eastAsia="en-US"/>
        </w:rPr>
      </w:pPr>
      <w:proofErr w:type="spellStart"/>
      <w:r w:rsidRPr="00E1479C">
        <w:rPr>
          <w:rFonts w:eastAsia="Calibri"/>
          <w:color w:val="000000"/>
          <w:sz w:val="28"/>
          <w:szCs w:val="28"/>
          <w:lang w:eastAsia="en-US"/>
        </w:rPr>
        <w:t>Шаптала</w:t>
      </w:r>
      <w:proofErr w:type="spellEnd"/>
      <w:r w:rsidRPr="00E1479C">
        <w:rPr>
          <w:rFonts w:eastAsia="Calibri"/>
          <w:color w:val="000000"/>
          <w:sz w:val="28"/>
          <w:szCs w:val="28"/>
          <w:lang w:eastAsia="en-US"/>
        </w:rPr>
        <w:t xml:space="preserve"> А.Р. Реализация депозитной политики коммерческого банка в рамках системы банковского менеджмента / А.Р. </w:t>
      </w:r>
      <w:proofErr w:type="spellStart"/>
      <w:r w:rsidRPr="00E1479C">
        <w:rPr>
          <w:rFonts w:eastAsia="Calibri"/>
          <w:color w:val="000000"/>
          <w:sz w:val="28"/>
          <w:szCs w:val="28"/>
          <w:lang w:eastAsia="en-US"/>
        </w:rPr>
        <w:t>Шаптала</w:t>
      </w:r>
      <w:proofErr w:type="spellEnd"/>
      <w:r w:rsidRPr="00E1479C">
        <w:rPr>
          <w:rFonts w:eastAsia="Calibri"/>
          <w:color w:val="000000"/>
          <w:sz w:val="28"/>
          <w:szCs w:val="28"/>
          <w:lang w:eastAsia="en-US"/>
        </w:rPr>
        <w:t xml:space="preserve"> / В сборнике: Современные научные исследования: актуальные вопросы, достижения и инновации. – Пенза, 2021. – С. 164-167.</w:t>
      </w:r>
    </w:p>
    <w:p w14:paraId="75D61F62" w14:textId="2F0646BA" w:rsidR="00FC3C44" w:rsidRDefault="00FC3C44" w:rsidP="00FC3C44">
      <w:pPr>
        <w:tabs>
          <w:tab w:val="left" w:pos="1134"/>
        </w:tabs>
        <w:spacing w:line="360" w:lineRule="auto"/>
        <w:ind w:left="709"/>
        <w:jc w:val="both"/>
        <w:rPr>
          <w:rFonts w:eastAsia="Calibri"/>
          <w:color w:val="000000"/>
          <w:sz w:val="28"/>
          <w:szCs w:val="28"/>
          <w:lang w:eastAsia="en-US"/>
        </w:rPr>
      </w:pPr>
      <w:r>
        <w:rPr>
          <w:rFonts w:eastAsia="Calibri"/>
          <w:color w:val="000000"/>
          <w:sz w:val="28"/>
          <w:szCs w:val="28"/>
          <w:lang w:eastAsia="en-US"/>
        </w:rPr>
        <w:br w:type="page"/>
      </w:r>
    </w:p>
    <w:p w14:paraId="43CF5A0F" w14:textId="77777777" w:rsidR="00E75BAC" w:rsidRDefault="00FC3C44" w:rsidP="00C82C78">
      <w:pPr>
        <w:pStyle w:val="1"/>
        <w:jc w:val="center"/>
        <w:rPr>
          <w:rFonts w:eastAsia="Calibri"/>
          <w:sz w:val="30"/>
          <w:szCs w:val="30"/>
        </w:rPr>
      </w:pPr>
      <w:bookmarkStart w:id="8" w:name="_Toc187276972"/>
      <w:bookmarkStart w:id="9" w:name="_Toc187851178"/>
      <w:r w:rsidRPr="00C82C78">
        <w:rPr>
          <w:rFonts w:eastAsia="Calibri"/>
          <w:sz w:val="30"/>
          <w:szCs w:val="30"/>
        </w:rPr>
        <w:lastRenderedPageBreak/>
        <w:t>Приложение А</w:t>
      </w:r>
      <w:bookmarkStart w:id="10" w:name="_Toc165620801"/>
      <w:bookmarkStart w:id="11" w:name="_Toc165294832"/>
      <w:bookmarkStart w:id="12" w:name="_Toc165883496"/>
      <w:bookmarkStart w:id="13" w:name="_Toc167454118"/>
      <w:bookmarkStart w:id="14" w:name="_Toc167455835"/>
      <w:bookmarkStart w:id="15" w:name="_Toc169800514"/>
      <w:bookmarkStart w:id="16" w:name="_Toc187276973"/>
      <w:bookmarkEnd w:id="8"/>
      <w:r w:rsidR="00C82C78">
        <w:rPr>
          <w:rFonts w:eastAsia="Calibri"/>
          <w:sz w:val="30"/>
          <w:szCs w:val="30"/>
        </w:rPr>
        <w:t xml:space="preserve"> </w:t>
      </w:r>
    </w:p>
    <w:p w14:paraId="34C7CE04" w14:textId="6B76B374" w:rsidR="00FC3C44" w:rsidRPr="00C82C78" w:rsidRDefault="00FC3C44" w:rsidP="00C82C78">
      <w:pPr>
        <w:pStyle w:val="1"/>
        <w:jc w:val="center"/>
        <w:rPr>
          <w:rFonts w:eastAsia="Calibri"/>
          <w:sz w:val="30"/>
          <w:szCs w:val="30"/>
        </w:rPr>
      </w:pPr>
      <w:r w:rsidRPr="00C82C78">
        <w:t>Бухгалтерский баланс АО «Альфа-Банк» за 2022-2023 гг.</w:t>
      </w:r>
      <w:bookmarkEnd w:id="9"/>
      <w:bookmarkEnd w:id="10"/>
      <w:bookmarkEnd w:id="11"/>
      <w:bookmarkEnd w:id="12"/>
      <w:bookmarkEnd w:id="13"/>
      <w:bookmarkEnd w:id="14"/>
      <w:bookmarkEnd w:id="15"/>
      <w:bookmarkEnd w:id="16"/>
    </w:p>
    <w:p w14:paraId="70374937" w14:textId="61AD91F4" w:rsidR="00FC3C44" w:rsidRPr="00FC3C44" w:rsidRDefault="00FC3C44" w:rsidP="00FC3C44">
      <w:pPr>
        <w:spacing w:line="360" w:lineRule="auto"/>
        <w:ind w:firstLine="709"/>
        <w:jc w:val="both"/>
        <w:rPr>
          <w:color w:val="000000"/>
          <w:sz w:val="28"/>
          <w:szCs w:val="28"/>
          <w:lang w:eastAsia="en-US"/>
        </w:rPr>
      </w:pPr>
      <w:r w:rsidRPr="00FC3C44">
        <w:rPr>
          <w:noProof/>
          <w:color w:val="000000"/>
          <w:sz w:val="28"/>
          <w:szCs w:val="28"/>
          <w:lang w:eastAsia="en-US"/>
        </w:rPr>
        <w:drawing>
          <wp:inline distT="0" distB="0" distL="0" distR="0" wp14:anchorId="79663EA2" wp14:editId="1E9BFFB5">
            <wp:extent cx="4955540" cy="68675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55540" cy="6867525"/>
                    </a:xfrm>
                    <a:prstGeom prst="rect">
                      <a:avLst/>
                    </a:prstGeom>
                    <a:noFill/>
                    <a:ln>
                      <a:noFill/>
                    </a:ln>
                  </pic:spPr>
                </pic:pic>
              </a:graphicData>
            </a:graphic>
          </wp:inline>
        </w:drawing>
      </w:r>
    </w:p>
    <w:p w14:paraId="1400B40D" w14:textId="77777777" w:rsidR="00FC3C44" w:rsidRPr="00FC3C44" w:rsidRDefault="00FC3C44" w:rsidP="00FC3C44">
      <w:pPr>
        <w:spacing w:before="120" w:after="240" w:line="360" w:lineRule="auto"/>
        <w:ind w:firstLine="709"/>
        <w:jc w:val="center"/>
        <w:rPr>
          <w:color w:val="000000"/>
          <w:sz w:val="28"/>
          <w:szCs w:val="28"/>
          <w:lang w:eastAsia="en-US"/>
        </w:rPr>
      </w:pPr>
      <w:r w:rsidRPr="00FC3C44">
        <w:rPr>
          <w:color w:val="000000"/>
          <w:sz w:val="28"/>
          <w:szCs w:val="28"/>
          <w:lang w:eastAsia="en-US"/>
        </w:rPr>
        <w:t>Рисунок А.1 – Бухгалтерский баланс АО «Альфа-Банк» ЗА 2022-2023 гг.</w:t>
      </w:r>
    </w:p>
    <w:p w14:paraId="7A080DF1" w14:textId="77777777" w:rsidR="00FC3C44" w:rsidRPr="00FC3C44" w:rsidRDefault="00FC3C44" w:rsidP="00FC3C44">
      <w:pPr>
        <w:spacing w:line="360" w:lineRule="auto"/>
        <w:ind w:firstLine="709"/>
        <w:jc w:val="center"/>
        <w:rPr>
          <w:color w:val="000000"/>
          <w:sz w:val="28"/>
          <w:szCs w:val="28"/>
          <w:lang w:eastAsia="en-US"/>
        </w:rPr>
      </w:pPr>
    </w:p>
    <w:p w14:paraId="220BD1BC" w14:textId="77777777" w:rsidR="00FC3C44" w:rsidRPr="00FC3C44" w:rsidRDefault="00FC3C44" w:rsidP="00FC3C44">
      <w:pPr>
        <w:spacing w:line="360" w:lineRule="auto"/>
        <w:ind w:firstLine="709"/>
        <w:jc w:val="center"/>
        <w:rPr>
          <w:color w:val="000000"/>
          <w:sz w:val="28"/>
          <w:szCs w:val="28"/>
          <w:lang w:eastAsia="en-US"/>
        </w:rPr>
      </w:pPr>
    </w:p>
    <w:p w14:paraId="3A79E473" w14:textId="77777777" w:rsidR="00FC3C44" w:rsidRPr="00FC3C44" w:rsidRDefault="00FC3C44" w:rsidP="00FC3C44">
      <w:pPr>
        <w:spacing w:line="360" w:lineRule="auto"/>
        <w:ind w:firstLine="709"/>
        <w:jc w:val="both"/>
        <w:rPr>
          <w:color w:val="000000"/>
          <w:sz w:val="28"/>
          <w:szCs w:val="28"/>
          <w:lang w:eastAsia="en-US"/>
        </w:rPr>
      </w:pPr>
    </w:p>
    <w:p w14:paraId="713DF0BB" w14:textId="77777777" w:rsidR="00FC3C44" w:rsidRPr="00FC3C44" w:rsidRDefault="00FC3C44" w:rsidP="00FC3C44">
      <w:pPr>
        <w:spacing w:before="120" w:after="120"/>
        <w:ind w:firstLine="709"/>
        <w:jc w:val="right"/>
        <w:rPr>
          <w:color w:val="000000"/>
          <w:sz w:val="28"/>
          <w:szCs w:val="28"/>
          <w:lang w:eastAsia="en-US"/>
        </w:rPr>
      </w:pPr>
      <w:r w:rsidRPr="00FC3C44">
        <w:rPr>
          <w:color w:val="000000"/>
          <w:sz w:val="28"/>
          <w:szCs w:val="28"/>
          <w:lang w:eastAsia="en-US"/>
        </w:rPr>
        <w:lastRenderedPageBreak/>
        <w:t>Продолжение приложения А</w:t>
      </w:r>
    </w:p>
    <w:p w14:paraId="704937C8" w14:textId="29564AB4" w:rsidR="00FC3C44" w:rsidRPr="00FC3C44" w:rsidRDefault="00FC3C44" w:rsidP="00FC3C44">
      <w:pPr>
        <w:spacing w:after="160" w:line="259" w:lineRule="auto"/>
        <w:ind w:firstLine="142"/>
        <w:jc w:val="center"/>
        <w:rPr>
          <w:color w:val="000000"/>
          <w:sz w:val="28"/>
          <w:szCs w:val="28"/>
          <w:lang w:eastAsia="en-US"/>
        </w:rPr>
      </w:pPr>
      <w:r w:rsidRPr="00FC3C44">
        <w:rPr>
          <w:noProof/>
          <w:color w:val="000000"/>
          <w:sz w:val="28"/>
          <w:szCs w:val="28"/>
          <w:lang w:eastAsia="en-US"/>
        </w:rPr>
        <w:drawing>
          <wp:inline distT="0" distB="0" distL="0" distR="0" wp14:anchorId="627DCACE" wp14:editId="5CAE649A">
            <wp:extent cx="5652770" cy="7187565"/>
            <wp:effectExtent l="0" t="0" r="508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52770" cy="7187565"/>
                    </a:xfrm>
                    <a:prstGeom prst="rect">
                      <a:avLst/>
                    </a:prstGeom>
                    <a:noFill/>
                    <a:ln>
                      <a:noFill/>
                    </a:ln>
                  </pic:spPr>
                </pic:pic>
              </a:graphicData>
            </a:graphic>
          </wp:inline>
        </w:drawing>
      </w:r>
    </w:p>
    <w:p w14:paraId="43EDEB9E" w14:textId="77777777" w:rsidR="00FC3C44" w:rsidRPr="00FC3C44" w:rsidRDefault="00FC3C44" w:rsidP="00FC3C44">
      <w:pPr>
        <w:spacing w:before="120" w:after="240" w:line="360" w:lineRule="auto"/>
        <w:ind w:firstLine="709"/>
        <w:jc w:val="center"/>
        <w:rPr>
          <w:color w:val="000000"/>
          <w:sz w:val="28"/>
          <w:szCs w:val="28"/>
          <w:lang w:eastAsia="en-US"/>
        </w:rPr>
      </w:pPr>
      <w:r w:rsidRPr="00FC3C44">
        <w:rPr>
          <w:color w:val="000000"/>
          <w:sz w:val="28"/>
          <w:szCs w:val="28"/>
          <w:lang w:eastAsia="en-US"/>
        </w:rPr>
        <w:t>Рисунок А.2 – Бухгалтерский баланс АО «Альфа-Банк» ЗА 2022-2023 гг.</w:t>
      </w:r>
    </w:p>
    <w:p w14:paraId="1974DEE6" w14:textId="13E3B355" w:rsidR="00FC3C44" w:rsidRDefault="00FC3C44" w:rsidP="00FC3C44">
      <w:pPr>
        <w:spacing w:line="360" w:lineRule="auto"/>
        <w:ind w:firstLine="709"/>
        <w:jc w:val="right"/>
        <w:rPr>
          <w:color w:val="000000"/>
          <w:sz w:val="28"/>
          <w:szCs w:val="28"/>
          <w:lang w:eastAsia="en-US"/>
        </w:rPr>
      </w:pPr>
    </w:p>
    <w:p w14:paraId="21638226" w14:textId="77777777" w:rsidR="00537015" w:rsidRPr="00FC3C44" w:rsidRDefault="00537015" w:rsidP="00FC3C44">
      <w:pPr>
        <w:spacing w:line="360" w:lineRule="auto"/>
        <w:ind w:firstLine="709"/>
        <w:jc w:val="right"/>
        <w:rPr>
          <w:color w:val="000000"/>
          <w:sz w:val="28"/>
          <w:szCs w:val="28"/>
          <w:lang w:eastAsia="en-US"/>
        </w:rPr>
      </w:pPr>
    </w:p>
    <w:p w14:paraId="3397D082" w14:textId="77777777" w:rsidR="00FC3C44" w:rsidRPr="00FC3C44" w:rsidRDefault="00FC3C44" w:rsidP="00FC3C44">
      <w:pPr>
        <w:spacing w:after="160" w:line="259" w:lineRule="auto"/>
        <w:ind w:firstLine="709"/>
        <w:jc w:val="both"/>
        <w:rPr>
          <w:color w:val="000000"/>
          <w:sz w:val="28"/>
          <w:szCs w:val="28"/>
          <w:lang w:eastAsia="en-US"/>
        </w:rPr>
      </w:pPr>
      <w:bookmarkStart w:id="17" w:name="_Toc165294833"/>
      <w:bookmarkStart w:id="18" w:name="_Toc165620802"/>
      <w:bookmarkStart w:id="19" w:name="_Toc165883497"/>
      <w:bookmarkStart w:id="20" w:name="_Toc167454119"/>
      <w:bookmarkStart w:id="21" w:name="_Toc167455836"/>
    </w:p>
    <w:p w14:paraId="47784187" w14:textId="77777777" w:rsidR="00E75BAC" w:rsidRDefault="00FC3C44" w:rsidP="00C82C78">
      <w:pPr>
        <w:pStyle w:val="1"/>
        <w:jc w:val="center"/>
        <w:rPr>
          <w:sz w:val="30"/>
          <w:szCs w:val="30"/>
        </w:rPr>
      </w:pPr>
      <w:bookmarkStart w:id="22" w:name="_Toc169800515"/>
      <w:bookmarkStart w:id="23" w:name="_Toc187276974"/>
      <w:bookmarkStart w:id="24" w:name="_Toc187851179"/>
      <w:r w:rsidRPr="00C82C78">
        <w:rPr>
          <w:sz w:val="30"/>
          <w:szCs w:val="30"/>
        </w:rPr>
        <w:lastRenderedPageBreak/>
        <w:t>Приложение Б</w:t>
      </w:r>
      <w:bookmarkStart w:id="25" w:name="_Toc165620803"/>
      <w:bookmarkStart w:id="26" w:name="_Toc165883498"/>
      <w:bookmarkStart w:id="27" w:name="_Toc167454120"/>
      <w:bookmarkStart w:id="28" w:name="_Toc167455837"/>
      <w:bookmarkStart w:id="29" w:name="_Toc169800516"/>
      <w:bookmarkStart w:id="30" w:name="_Toc187276975"/>
      <w:bookmarkStart w:id="31" w:name="_Toc165294834"/>
      <w:bookmarkEnd w:id="17"/>
      <w:bookmarkEnd w:id="18"/>
      <w:bookmarkEnd w:id="19"/>
      <w:bookmarkEnd w:id="20"/>
      <w:bookmarkEnd w:id="21"/>
      <w:bookmarkEnd w:id="22"/>
      <w:bookmarkEnd w:id="23"/>
      <w:r w:rsidR="00C82C78">
        <w:rPr>
          <w:sz w:val="30"/>
          <w:szCs w:val="30"/>
        </w:rPr>
        <w:t xml:space="preserve"> </w:t>
      </w:r>
    </w:p>
    <w:p w14:paraId="0665AEED" w14:textId="484984CB" w:rsidR="00FC3C44" w:rsidRPr="00C82C78" w:rsidRDefault="00FC3C44" w:rsidP="00C82C78">
      <w:pPr>
        <w:pStyle w:val="1"/>
        <w:jc w:val="center"/>
        <w:rPr>
          <w:sz w:val="30"/>
          <w:szCs w:val="30"/>
        </w:rPr>
      </w:pPr>
      <w:r w:rsidRPr="00C82C78">
        <w:t>Отчет о финансовых результатах АО «Альфа-Банк» за 2022-2023 гг.</w:t>
      </w:r>
      <w:bookmarkEnd w:id="24"/>
      <w:bookmarkEnd w:id="25"/>
      <w:bookmarkEnd w:id="26"/>
      <w:bookmarkEnd w:id="27"/>
      <w:bookmarkEnd w:id="28"/>
      <w:bookmarkEnd w:id="29"/>
      <w:bookmarkEnd w:id="30"/>
      <w:bookmarkEnd w:id="31"/>
    </w:p>
    <w:p w14:paraId="05F45F57" w14:textId="0F7B406D" w:rsidR="00FC3C44" w:rsidRPr="00FC3C44" w:rsidRDefault="00FC3C44" w:rsidP="00537015">
      <w:pPr>
        <w:rPr>
          <w:lang w:eastAsia="en-US"/>
        </w:rPr>
      </w:pPr>
      <w:r w:rsidRPr="00FC3C44">
        <w:rPr>
          <w:lang w:eastAsia="en-US"/>
        </w:rPr>
        <w:t xml:space="preserve"> </w:t>
      </w:r>
      <w:r w:rsidRPr="00FC3C44">
        <w:rPr>
          <w:noProof/>
          <w:lang w:eastAsia="en-US"/>
        </w:rPr>
        <w:drawing>
          <wp:inline distT="0" distB="0" distL="0" distR="0" wp14:anchorId="0EDA27B7" wp14:editId="4C08FA68">
            <wp:extent cx="5819140" cy="709168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19140" cy="7091680"/>
                    </a:xfrm>
                    <a:prstGeom prst="rect">
                      <a:avLst/>
                    </a:prstGeom>
                    <a:noFill/>
                    <a:ln>
                      <a:noFill/>
                    </a:ln>
                  </pic:spPr>
                </pic:pic>
              </a:graphicData>
            </a:graphic>
          </wp:inline>
        </w:drawing>
      </w:r>
    </w:p>
    <w:p w14:paraId="0AFA4AA6" w14:textId="77777777" w:rsidR="00FC3C44" w:rsidRPr="00FC3C44" w:rsidRDefault="00FC3C44" w:rsidP="00FC3C44">
      <w:pPr>
        <w:spacing w:before="120" w:after="240"/>
        <w:ind w:firstLine="709"/>
        <w:jc w:val="center"/>
        <w:rPr>
          <w:color w:val="000000"/>
        </w:rPr>
      </w:pPr>
      <w:r w:rsidRPr="00FC3C44">
        <w:rPr>
          <w:color w:val="000000"/>
          <w:sz w:val="28"/>
          <w:szCs w:val="28"/>
        </w:rPr>
        <w:t>Рисунок Б.1 – Отчет о финансовых результатах АО «Альфа-Банк»                              за 2022-2023 гг</w:t>
      </w:r>
      <w:r w:rsidRPr="00FC3C44">
        <w:rPr>
          <w:color w:val="000000"/>
        </w:rPr>
        <w:t>.</w:t>
      </w:r>
    </w:p>
    <w:p w14:paraId="3F0E8511" w14:textId="77777777" w:rsidR="00FC3C44" w:rsidRPr="00FC3C44" w:rsidRDefault="00FC3C44" w:rsidP="00FC3C44">
      <w:pPr>
        <w:ind w:firstLine="709"/>
        <w:jc w:val="center"/>
        <w:rPr>
          <w:color w:val="000000"/>
        </w:rPr>
      </w:pPr>
    </w:p>
    <w:p w14:paraId="2B13B0F2" w14:textId="77777777" w:rsidR="00FC3C44" w:rsidRPr="00FC3C44" w:rsidRDefault="00FC3C44" w:rsidP="00FC3C44">
      <w:pPr>
        <w:ind w:firstLine="709"/>
        <w:jc w:val="center"/>
        <w:rPr>
          <w:color w:val="000000"/>
        </w:rPr>
      </w:pPr>
    </w:p>
    <w:p w14:paraId="578C0294" w14:textId="77777777" w:rsidR="00537015" w:rsidRDefault="00537015" w:rsidP="00FC3C44">
      <w:pPr>
        <w:spacing w:before="120" w:after="120"/>
        <w:ind w:firstLine="709"/>
        <w:jc w:val="right"/>
        <w:rPr>
          <w:color w:val="000000"/>
          <w:sz w:val="28"/>
          <w:szCs w:val="28"/>
          <w:lang w:eastAsia="en-US"/>
        </w:rPr>
      </w:pPr>
    </w:p>
    <w:p w14:paraId="2D78109A" w14:textId="01849D1D" w:rsidR="00FC3C44" w:rsidRPr="00FC3C44" w:rsidRDefault="00FC3C44" w:rsidP="00FC3C44">
      <w:pPr>
        <w:spacing w:before="120" w:after="120"/>
        <w:ind w:firstLine="709"/>
        <w:jc w:val="right"/>
        <w:rPr>
          <w:color w:val="000000"/>
          <w:sz w:val="28"/>
          <w:szCs w:val="28"/>
          <w:lang w:eastAsia="en-US"/>
        </w:rPr>
      </w:pPr>
      <w:r w:rsidRPr="00FC3C44">
        <w:rPr>
          <w:color w:val="000000"/>
          <w:sz w:val="28"/>
          <w:szCs w:val="28"/>
          <w:lang w:eastAsia="en-US"/>
        </w:rPr>
        <w:t>Продолжение приложения Б</w:t>
      </w:r>
    </w:p>
    <w:p w14:paraId="7221B1DE" w14:textId="60DDBAF1" w:rsidR="00FC3C44" w:rsidRPr="00FC3C44" w:rsidRDefault="00FC3C44" w:rsidP="00FC3C44">
      <w:pPr>
        <w:spacing w:line="360" w:lineRule="auto"/>
        <w:ind w:firstLine="709"/>
        <w:jc w:val="both"/>
        <w:rPr>
          <w:color w:val="000000"/>
          <w:sz w:val="28"/>
          <w:szCs w:val="28"/>
          <w:lang w:eastAsia="en-US"/>
        </w:rPr>
      </w:pPr>
      <w:r w:rsidRPr="00FC3C44">
        <w:rPr>
          <w:color w:val="000000"/>
          <w:sz w:val="28"/>
          <w:szCs w:val="28"/>
          <w:lang w:eastAsia="en-US"/>
        </w:rPr>
        <w:t xml:space="preserve"> </w:t>
      </w:r>
      <w:r w:rsidRPr="00FC3C44">
        <w:rPr>
          <w:noProof/>
          <w:color w:val="000000"/>
          <w:sz w:val="28"/>
          <w:szCs w:val="28"/>
          <w:lang w:eastAsia="en-US"/>
        </w:rPr>
        <w:drawing>
          <wp:inline distT="0" distB="0" distL="0" distR="0" wp14:anchorId="62325A04" wp14:editId="4C9A91F1">
            <wp:extent cx="5729605" cy="7219315"/>
            <wp:effectExtent l="0" t="0" r="444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9605" cy="7219315"/>
                    </a:xfrm>
                    <a:prstGeom prst="rect">
                      <a:avLst/>
                    </a:prstGeom>
                    <a:noFill/>
                    <a:ln>
                      <a:noFill/>
                    </a:ln>
                  </pic:spPr>
                </pic:pic>
              </a:graphicData>
            </a:graphic>
          </wp:inline>
        </w:drawing>
      </w:r>
    </w:p>
    <w:p w14:paraId="11B18E42" w14:textId="77777777" w:rsidR="00FC3C44" w:rsidRPr="00FC3C44" w:rsidRDefault="00FC3C44" w:rsidP="00FC3C44">
      <w:pPr>
        <w:spacing w:before="120" w:after="240"/>
        <w:ind w:firstLine="709"/>
        <w:jc w:val="center"/>
        <w:rPr>
          <w:color w:val="000000"/>
        </w:rPr>
      </w:pPr>
      <w:bookmarkStart w:id="32" w:name="_Toc167455838"/>
      <w:r w:rsidRPr="00FC3C44">
        <w:rPr>
          <w:color w:val="000000"/>
          <w:sz w:val="28"/>
          <w:szCs w:val="28"/>
        </w:rPr>
        <w:t>Рисунок Б.2 – Отчет о финансовых результатах АО «Альфа-Банк»                              за 2022-2023 гг</w:t>
      </w:r>
      <w:r w:rsidRPr="00FC3C44">
        <w:rPr>
          <w:color w:val="000000"/>
        </w:rPr>
        <w:t>.</w:t>
      </w:r>
    </w:p>
    <w:p w14:paraId="63AB3026" w14:textId="312153AD" w:rsidR="00FC3C44" w:rsidRDefault="00FC3C44" w:rsidP="00FC3C44">
      <w:pPr>
        <w:ind w:firstLine="709"/>
        <w:jc w:val="center"/>
        <w:rPr>
          <w:color w:val="000000"/>
        </w:rPr>
      </w:pPr>
    </w:p>
    <w:p w14:paraId="6693E6CB" w14:textId="61658D62" w:rsidR="00537015" w:rsidRDefault="00537015" w:rsidP="00FC3C44">
      <w:pPr>
        <w:ind w:firstLine="709"/>
        <w:jc w:val="center"/>
        <w:rPr>
          <w:color w:val="000000"/>
        </w:rPr>
      </w:pPr>
    </w:p>
    <w:p w14:paraId="0FEDC571" w14:textId="77777777" w:rsidR="00537015" w:rsidRPr="00FC3C44" w:rsidRDefault="00537015" w:rsidP="00FC3C44">
      <w:pPr>
        <w:ind w:firstLine="709"/>
        <w:jc w:val="center"/>
        <w:rPr>
          <w:color w:val="000000"/>
        </w:rPr>
      </w:pPr>
    </w:p>
    <w:p w14:paraId="6C27A749" w14:textId="77777777" w:rsidR="00E75BAC" w:rsidRDefault="00FC3C44" w:rsidP="00C82C78">
      <w:pPr>
        <w:pStyle w:val="1"/>
        <w:jc w:val="center"/>
        <w:rPr>
          <w:sz w:val="30"/>
          <w:szCs w:val="30"/>
        </w:rPr>
      </w:pPr>
      <w:bookmarkStart w:id="33" w:name="_Toc169800517"/>
      <w:bookmarkStart w:id="34" w:name="_Toc187276976"/>
      <w:bookmarkStart w:id="35" w:name="_Toc187851180"/>
      <w:r w:rsidRPr="00C82C78">
        <w:rPr>
          <w:sz w:val="30"/>
          <w:szCs w:val="30"/>
        </w:rPr>
        <w:t>Приложение В</w:t>
      </w:r>
      <w:bookmarkEnd w:id="32"/>
      <w:bookmarkEnd w:id="33"/>
      <w:bookmarkEnd w:id="34"/>
      <w:r w:rsidR="00C82C78">
        <w:rPr>
          <w:sz w:val="30"/>
          <w:szCs w:val="30"/>
        </w:rPr>
        <w:t xml:space="preserve"> </w:t>
      </w:r>
    </w:p>
    <w:p w14:paraId="38ADB652" w14:textId="0DCF7E29" w:rsidR="00C82C78" w:rsidRPr="00C82C78" w:rsidRDefault="00C82C78" w:rsidP="00C82C78">
      <w:pPr>
        <w:pStyle w:val="1"/>
        <w:jc w:val="center"/>
        <w:rPr>
          <w:sz w:val="30"/>
          <w:szCs w:val="30"/>
        </w:rPr>
      </w:pPr>
      <w:r w:rsidRPr="00C82C78">
        <w:t>Сведения об обязательных нормативах</w:t>
      </w:r>
      <w:bookmarkEnd w:id="35"/>
    </w:p>
    <w:p w14:paraId="615F062A" w14:textId="32AC539C" w:rsidR="00FC3C44" w:rsidRPr="00FC3C44" w:rsidRDefault="00FC3C44" w:rsidP="00537015">
      <w:pPr>
        <w:jc w:val="center"/>
        <w:rPr>
          <w:noProof/>
        </w:rPr>
      </w:pPr>
      <w:bookmarkStart w:id="36" w:name="_Toc169604141"/>
      <w:bookmarkStart w:id="37" w:name="_Toc169797192"/>
      <w:bookmarkStart w:id="38" w:name="_Toc169800519"/>
      <w:bookmarkStart w:id="39" w:name="_Toc187276978"/>
      <w:r w:rsidRPr="00FC3C44">
        <w:rPr>
          <w:noProof/>
        </w:rPr>
        <w:drawing>
          <wp:inline distT="0" distB="0" distL="0" distR="0" wp14:anchorId="40B430AE" wp14:editId="4F3AFCF4">
            <wp:extent cx="5166995" cy="615124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66995" cy="6151245"/>
                    </a:xfrm>
                    <a:prstGeom prst="rect">
                      <a:avLst/>
                    </a:prstGeom>
                    <a:noFill/>
                    <a:ln>
                      <a:noFill/>
                    </a:ln>
                  </pic:spPr>
                </pic:pic>
              </a:graphicData>
            </a:graphic>
          </wp:inline>
        </w:drawing>
      </w:r>
      <w:bookmarkEnd w:id="36"/>
      <w:bookmarkEnd w:id="37"/>
      <w:bookmarkEnd w:id="38"/>
      <w:bookmarkEnd w:id="39"/>
    </w:p>
    <w:p w14:paraId="157C5FB0" w14:textId="77777777" w:rsidR="00FC3C44" w:rsidRPr="00FC3C44" w:rsidRDefault="00FC3C44" w:rsidP="00FC3C44">
      <w:pPr>
        <w:spacing w:before="120" w:after="240" w:line="360" w:lineRule="auto"/>
        <w:ind w:firstLine="709"/>
        <w:jc w:val="center"/>
        <w:rPr>
          <w:rFonts w:eastAsia="Calibri"/>
          <w:color w:val="000000"/>
          <w:sz w:val="28"/>
          <w:szCs w:val="28"/>
        </w:rPr>
      </w:pPr>
      <w:r w:rsidRPr="00FC3C44">
        <w:rPr>
          <w:color w:val="000000"/>
          <w:sz w:val="28"/>
          <w:szCs w:val="28"/>
        </w:rPr>
        <w:t>Рисунок В.1 –</w:t>
      </w:r>
      <w:r w:rsidRPr="00FC3C44">
        <w:rPr>
          <w:rFonts w:eastAsia="Calibri"/>
          <w:color w:val="000000"/>
          <w:sz w:val="28"/>
          <w:szCs w:val="28"/>
          <w:lang w:eastAsia="en-US"/>
        </w:rPr>
        <w:t xml:space="preserve"> </w:t>
      </w:r>
      <w:r w:rsidRPr="00FC3C44">
        <w:rPr>
          <w:color w:val="000000"/>
          <w:sz w:val="28"/>
          <w:szCs w:val="28"/>
        </w:rPr>
        <w:t>Сведения об обязательных нормативах</w:t>
      </w:r>
    </w:p>
    <w:p w14:paraId="5F6FA207" w14:textId="77777777" w:rsidR="00FC3C44" w:rsidRPr="00FC3C44" w:rsidRDefault="00FC3C44" w:rsidP="00FC3C44">
      <w:pPr>
        <w:spacing w:line="360" w:lineRule="auto"/>
        <w:ind w:firstLine="709"/>
        <w:jc w:val="both"/>
        <w:rPr>
          <w:rFonts w:eastAsia="Calibri"/>
          <w:color w:val="000000"/>
          <w:sz w:val="28"/>
          <w:szCs w:val="28"/>
        </w:rPr>
      </w:pPr>
    </w:p>
    <w:p w14:paraId="58A7BE22" w14:textId="77777777" w:rsidR="00FC3C44" w:rsidRPr="00FC3C44" w:rsidRDefault="00FC3C44" w:rsidP="00FC3C44">
      <w:pPr>
        <w:spacing w:line="360" w:lineRule="auto"/>
        <w:ind w:firstLine="709"/>
        <w:jc w:val="both"/>
        <w:rPr>
          <w:rFonts w:eastAsia="Calibri"/>
          <w:color w:val="000000"/>
          <w:sz w:val="28"/>
          <w:szCs w:val="28"/>
        </w:rPr>
      </w:pPr>
    </w:p>
    <w:p w14:paraId="36360527" w14:textId="77777777" w:rsidR="00FC3C44" w:rsidRPr="00FC3C44" w:rsidRDefault="00FC3C44" w:rsidP="00FC3C44">
      <w:pPr>
        <w:spacing w:line="360" w:lineRule="auto"/>
        <w:ind w:firstLine="709"/>
        <w:jc w:val="both"/>
        <w:rPr>
          <w:rFonts w:eastAsia="Calibri"/>
          <w:color w:val="000000"/>
          <w:sz w:val="28"/>
          <w:szCs w:val="28"/>
        </w:rPr>
      </w:pPr>
    </w:p>
    <w:p w14:paraId="51708B19" w14:textId="77777777" w:rsidR="00FC3C44" w:rsidRPr="00FC3C44" w:rsidRDefault="00FC3C44" w:rsidP="00FC3C44">
      <w:pPr>
        <w:spacing w:line="360" w:lineRule="auto"/>
        <w:ind w:firstLine="709"/>
        <w:jc w:val="both"/>
        <w:rPr>
          <w:rFonts w:eastAsia="Calibri"/>
          <w:color w:val="000000"/>
          <w:sz w:val="28"/>
          <w:szCs w:val="28"/>
        </w:rPr>
      </w:pPr>
    </w:p>
    <w:p w14:paraId="6595276E" w14:textId="77777777" w:rsidR="00FC3C44" w:rsidRPr="00FC3C44" w:rsidRDefault="00FC3C44" w:rsidP="00FC3C44">
      <w:pPr>
        <w:spacing w:line="360" w:lineRule="auto"/>
        <w:ind w:firstLine="709"/>
        <w:jc w:val="both"/>
        <w:rPr>
          <w:rFonts w:eastAsia="Calibri"/>
          <w:color w:val="000000"/>
          <w:sz w:val="28"/>
          <w:szCs w:val="28"/>
        </w:rPr>
      </w:pPr>
    </w:p>
    <w:p w14:paraId="2DAB08E1" w14:textId="77777777" w:rsidR="00FC3C44" w:rsidRDefault="00FC3C44" w:rsidP="00FC3C44">
      <w:pPr>
        <w:spacing w:before="120" w:after="120"/>
        <w:ind w:firstLine="709"/>
        <w:jc w:val="right"/>
        <w:rPr>
          <w:color w:val="000000"/>
          <w:sz w:val="28"/>
          <w:szCs w:val="28"/>
          <w:lang w:eastAsia="en-US"/>
        </w:rPr>
      </w:pPr>
    </w:p>
    <w:p w14:paraId="26168FA3" w14:textId="71CF02CB" w:rsidR="00FC3C44" w:rsidRPr="00FC3C44" w:rsidRDefault="00FC3C44" w:rsidP="00FC3C44">
      <w:pPr>
        <w:spacing w:before="120" w:after="120"/>
        <w:ind w:firstLine="709"/>
        <w:jc w:val="right"/>
        <w:rPr>
          <w:color w:val="000000"/>
          <w:sz w:val="28"/>
          <w:szCs w:val="28"/>
          <w:lang w:eastAsia="en-US"/>
        </w:rPr>
      </w:pPr>
      <w:r w:rsidRPr="00FC3C44">
        <w:rPr>
          <w:color w:val="000000"/>
          <w:sz w:val="28"/>
          <w:szCs w:val="28"/>
          <w:lang w:eastAsia="en-US"/>
        </w:rPr>
        <w:t>Продолжение приложения В</w:t>
      </w:r>
    </w:p>
    <w:p w14:paraId="4A91308A" w14:textId="236E29E4" w:rsidR="00FC3C44" w:rsidRPr="00FC3C44" w:rsidRDefault="00FC3C44" w:rsidP="00FC3C44">
      <w:pPr>
        <w:spacing w:line="360" w:lineRule="auto"/>
        <w:ind w:firstLine="709"/>
        <w:jc w:val="center"/>
        <w:rPr>
          <w:rFonts w:eastAsia="Calibri"/>
          <w:color w:val="000000"/>
          <w:sz w:val="28"/>
          <w:szCs w:val="28"/>
        </w:rPr>
      </w:pPr>
      <w:r w:rsidRPr="00FC3C44">
        <w:rPr>
          <w:rFonts w:eastAsia="Calibri"/>
          <w:noProof/>
          <w:color w:val="000000"/>
          <w:sz w:val="28"/>
          <w:szCs w:val="28"/>
        </w:rPr>
        <w:drawing>
          <wp:inline distT="0" distB="0" distL="0" distR="0" wp14:anchorId="5BBC6C42" wp14:editId="253CAAB8">
            <wp:extent cx="5403215" cy="5646420"/>
            <wp:effectExtent l="0" t="0" r="698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3215" cy="5646420"/>
                    </a:xfrm>
                    <a:prstGeom prst="rect">
                      <a:avLst/>
                    </a:prstGeom>
                    <a:noFill/>
                    <a:ln>
                      <a:noFill/>
                    </a:ln>
                  </pic:spPr>
                </pic:pic>
              </a:graphicData>
            </a:graphic>
          </wp:inline>
        </w:drawing>
      </w:r>
    </w:p>
    <w:p w14:paraId="1ED427B6" w14:textId="3EFFED2F" w:rsidR="00FC3C44" w:rsidRPr="00E1479C" w:rsidRDefault="00FC3C44" w:rsidP="00FC3C44">
      <w:pPr>
        <w:tabs>
          <w:tab w:val="left" w:pos="1134"/>
        </w:tabs>
        <w:spacing w:line="360" w:lineRule="auto"/>
        <w:ind w:left="709"/>
        <w:jc w:val="both"/>
        <w:rPr>
          <w:rFonts w:eastAsia="Calibri"/>
          <w:color w:val="000000"/>
          <w:sz w:val="28"/>
          <w:szCs w:val="28"/>
          <w:lang w:eastAsia="en-US"/>
        </w:rPr>
      </w:pPr>
      <w:r w:rsidRPr="00FC3C44">
        <w:rPr>
          <w:color w:val="000000"/>
          <w:sz w:val="28"/>
          <w:szCs w:val="28"/>
        </w:rPr>
        <w:t>Рисунок В.2 –</w:t>
      </w:r>
      <w:r w:rsidRPr="00FC3C44">
        <w:rPr>
          <w:rFonts w:eastAsia="Calibri"/>
          <w:color w:val="000000"/>
          <w:sz w:val="28"/>
          <w:szCs w:val="28"/>
          <w:lang w:eastAsia="en-US"/>
        </w:rPr>
        <w:t xml:space="preserve"> </w:t>
      </w:r>
      <w:r w:rsidRPr="00FC3C44">
        <w:rPr>
          <w:color w:val="000000"/>
          <w:sz w:val="28"/>
          <w:szCs w:val="28"/>
        </w:rPr>
        <w:t>Сведения об обязательных нормативах</w:t>
      </w:r>
    </w:p>
    <w:p w14:paraId="4BA356FB" w14:textId="77777777" w:rsidR="00E1479C" w:rsidRPr="00E1479C" w:rsidRDefault="00E1479C" w:rsidP="00E1479C">
      <w:pPr>
        <w:rPr>
          <w:rFonts w:eastAsia="Calibri"/>
        </w:rPr>
      </w:pPr>
    </w:p>
    <w:p w14:paraId="1E9B00F2" w14:textId="77777777" w:rsidR="005D729F" w:rsidRPr="00E206E0" w:rsidRDefault="005D729F" w:rsidP="00E206E0">
      <w:pPr>
        <w:spacing w:line="360" w:lineRule="auto"/>
        <w:ind w:firstLine="709"/>
        <w:jc w:val="both"/>
        <w:rPr>
          <w:rFonts w:eastAsia="Calibri"/>
          <w:color w:val="000000"/>
          <w:sz w:val="28"/>
          <w:szCs w:val="28"/>
          <w:lang w:eastAsia="en-US"/>
        </w:rPr>
      </w:pPr>
    </w:p>
    <w:bookmarkEnd w:id="3"/>
    <w:p w14:paraId="4114FF4D" w14:textId="77777777" w:rsidR="0059405B" w:rsidRPr="0059405B" w:rsidRDefault="0059405B" w:rsidP="0059405B">
      <w:pPr>
        <w:spacing w:line="360" w:lineRule="auto"/>
        <w:ind w:firstLine="709"/>
        <w:jc w:val="both"/>
        <w:rPr>
          <w:rFonts w:eastAsia="Calibri"/>
          <w:color w:val="000000"/>
          <w:sz w:val="28"/>
          <w:szCs w:val="28"/>
          <w:lang w:eastAsia="en-US"/>
        </w:rPr>
      </w:pPr>
    </w:p>
    <w:p w14:paraId="24DA4606" w14:textId="77777777" w:rsidR="00EB4918" w:rsidRPr="009870C5" w:rsidRDefault="00EB4918" w:rsidP="009870C5">
      <w:pPr>
        <w:spacing w:before="120" w:line="360" w:lineRule="auto"/>
        <w:ind w:firstLine="709"/>
        <w:jc w:val="both"/>
        <w:rPr>
          <w:rFonts w:eastAsia="Calibri"/>
          <w:color w:val="000000"/>
          <w:sz w:val="28"/>
          <w:szCs w:val="28"/>
          <w:lang w:eastAsia="en-US"/>
        </w:rPr>
      </w:pPr>
    </w:p>
    <w:p w14:paraId="69B93384" w14:textId="77777777" w:rsidR="009870C5" w:rsidRPr="009870C5" w:rsidRDefault="009870C5" w:rsidP="009870C5">
      <w:pPr>
        <w:ind w:firstLine="709"/>
        <w:rPr>
          <w:rFonts w:eastAsia="Calibri"/>
        </w:rPr>
      </w:pPr>
    </w:p>
    <w:p w14:paraId="5CABD28A" w14:textId="77777777" w:rsidR="0042008B" w:rsidRPr="0042008B" w:rsidRDefault="0042008B" w:rsidP="0042008B">
      <w:pPr>
        <w:rPr>
          <w:lang w:eastAsia="ar-SA"/>
        </w:rPr>
      </w:pPr>
    </w:p>
    <w:sectPr w:rsidR="0042008B" w:rsidRPr="0042008B" w:rsidSect="000964A0">
      <w:footerReference w:type="default" r:id="rId22"/>
      <w:pgSz w:w="11906" w:h="16838"/>
      <w:pgMar w:top="1134" w:right="567" w:bottom="1134" w:left="1701" w:header="709" w:footer="709"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0B1AE" w14:textId="77777777" w:rsidR="006759FF" w:rsidRDefault="006759FF" w:rsidP="00537015">
      <w:r>
        <w:separator/>
      </w:r>
    </w:p>
  </w:endnote>
  <w:endnote w:type="continuationSeparator" w:id="0">
    <w:p w14:paraId="7B10B328" w14:textId="77777777" w:rsidR="006759FF" w:rsidRDefault="006759FF" w:rsidP="00537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9E951" w14:textId="3D57E067" w:rsidR="00CE519B" w:rsidRDefault="00CE519B" w:rsidP="00D734A0">
    <w:pPr>
      <w:pStyle w:val="a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BB958" w14:textId="77777777" w:rsidR="006759FF" w:rsidRDefault="006759FF" w:rsidP="00537015">
      <w:r>
        <w:separator/>
      </w:r>
    </w:p>
  </w:footnote>
  <w:footnote w:type="continuationSeparator" w:id="0">
    <w:p w14:paraId="37E6C481" w14:textId="77777777" w:rsidR="006759FF" w:rsidRDefault="006759FF" w:rsidP="005370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F100C" w14:textId="7BC1EC50" w:rsidR="008F3249" w:rsidRDefault="008F3249" w:rsidP="00E75BAC">
    <w:pPr>
      <w:pStyle w:val="ac"/>
    </w:pPr>
  </w:p>
  <w:p w14:paraId="5A0F96EA" w14:textId="77777777" w:rsidR="00816250" w:rsidRDefault="00816250">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27335"/>
    <w:multiLevelType w:val="hybridMultilevel"/>
    <w:tmpl w:val="2BB0508A"/>
    <w:lvl w:ilvl="0" w:tplc="1A56AB96">
      <w:start w:val="1"/>
      <w:numFmt w:val="decimal"/>
      <w:lvlText w:val="%1"/>
      <w:lvlJc w:val="left"/>
      <w:pPr>
        <w:ind w:left="1419" w:hanging="71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 w15:restartNumberingAfterBreak="0">
    <w:nsid w:val="0AB85A4D"/>
    <w:multiLevelType w:val="hybridMultilevel"/>
    <w:tmpl w:val="5F1AE3F6"/>
    <w:lvl w:ilvl="0" w:tplc="F620ED4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15:restartNumberingAfterBreak="0">
    <w:nsid w:val="21770D97"/>
    <w:multiLevelType w:val="hybridMultilevel"/>
    <w:tmpl w:val="329285B6"/>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6E4E74BC"/>
    <w:multiLevelType w:val="multilevel"/>
    <w:tmpl w:val="C6809FDC"/>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0E33"/>
    <w:rsid w:val="0000655E"/>
    <w:rsid w:val="00012998"/>
    <w:rsid w:val="00016231"/>
    <w:rsid w:val="000507CE"/>
    <w:rsid w:val="00070521"/>
    <w:rsid w:val="000964A0"/>
    <w:rsid w:val="000A72BE"/>
    <w:rsid w:val="000C7BA9"/>
    <w:rsid w:val="00113178"/>
    <w:rsid w:val="00122669"/>
    <w:rsid w:val="0013008D"/>
    <w:rsid w:val="0013662C"/>
    <w:rsid w:val="0013741E"/>
    <w:rsid w:val="001730C4"/>
    <w:rsid w:val="001A2F0D"/>
    <w:rsid w:val="001B6D16"/>
    <w:rsid w:val="001D3C47"/>
    <w:rsid w:val="001D76F7"/>
    <w:rsid w:val="001E4521"/>
    <w:rsid w:val="002039C3"/>
    <w:rsid w:val="0021749B"/>
    <w:rsid w:val="002237CB"/>
    <w:rsid w:val="002242CA"/>
    <w:rsid w:val="00241719"/>
    <w:rsid w:val="00253EFB"/>
    <w:rsid w:val="00295EFB"/>
    <w:rsid w:val="002D710A"/>
    <w:rsid w:val="003216B1"/>
    <w:rsid w:val="00321E49"/>
    <w:rsid w:val="00323017"/>
    <w:rsid w:val="00325359"/>
    <w:rsid w:val="003425EE"/>
    <w:rsid w:val="00360335"/>
    <w:rsid w:val="00372B95"/>
    <w:rsid w:val="003803E8"/>
    <w:rsid w:val="003807FC"/>
    <w:rsid w:val="003B1C0D"/>
    <w:rsid w:val="003B5BDE"/>
    <w:rsid w:val="003D02FE"/>
    <w:rsid w:val="0042008B"/>
    <w:rsid w:val="00424600"/>
    <w:rsid w:val="00451A1A"/>
    <w:rsid w:val="00460AF4"/>
    <w:rsid w:val="00476A69"/>
    <w:rsid w:val="00481679"/>
    <w:rsid w:val="004A553C"/>
    <w:rsid w:val="004A7AEB"/>
    <w:rsid w:val="0050018A"/>
    <w:rsid w:val="005131FD"/>
    <w:rsid w:val="0051562A"/>
    <w:rsid w:val="00537015"/>
    <w:rsid w:val="00551AE3"/>
    <w:rsid w:val="0059405B"/>
    <w:rsid w:val="00596685"/>
    <w:rsid w:val="005D328B"/>
    <w:rsid w:val="005D40D0"/>
    <w:rsid w:val="005D729F"/>
    <w:rsid w:val="006146D8"/>
    <w:rsid w:val="006759FF"/>
    <w:rsid w:val="006A18CB"/>
    <w:rsid w:val="006C5827"/>
    <w:rsid w:val="007021F7"/>
    <w:rsid w:val="0072077B"/>
    <w:rsid w:val="00724701"/>
    <w:rsid w:val="007347CF"/>
    <w:rsid w:val="00735238"/>
    <w:rsid w:val="007525C8"/>
    <w:rsid w:val="00752D1C"/>
    <w:rsid w:val="007856CE"/>
    <w:rsid w:val="007863FD"/>
    <w:rsid w:val="007B09D6"/>
    <w:rsid w:val="007C411E"/>
    <w:rsid w:val="007E181D"/>
    <w:rsid w:val="00813444"/>
    <w:rsid w:val="00816250"/>
    <w:rsid w:val="00817AAC"/>
    <w:rsid w:val="00820E33"/>
    <w:rsid w:val="0084024B"/>
    <w:rsid w:val="00894D56"/>
    <w:rsid w:val="008D027C"/>
    <w:rsid w:val="008D12B4"/>
    <w:rsid w:val="008D5FDB"/>
    <w:rsid w:val="008F3249"/>
    <w:rsid w:val="008F6C3E"/>
    <w:rsid w:val="00916278"/>
    <w:rsid w:val="00941EF2"/>
    <w:rsid w:val="009455CC"/>
    <w:rsid w:val="00956305"/>
    <w:rsid w:val="009870C5"/>
    <w:rsid w:val="009923BF"/>
    <w:rsid w:val="0099685B"/>
    <w:rsid w:val="009B3204"/>
    <w:rsid w:val="00A069DD"/>
    <w:rsid w:val="00A568D3"/>
    <w:rsid w:val="00A61AC5"/>
    <w:rsid w:val="00A66FA2"/>
    <w:rsid w:val="00AA5800"/>
    <w:rsid w:val="00AC79F7"/>
    <w:rsid w:val="00AD72AB"/>
    <w:rsid w:val="00B05F75"/>
    <w:rsid w:val="00B35B8E"/>
    <w:rsid w:val="00BA22DD"/>
    <w:rsid w:val="00BD789B"/>
    <w:rsid w:val="00C5283E"/>
    <w:rsid w:val="00C64E63"/>
    <w:rsid w:val="00C82C78"/>
    <w:rsid w:val="00C84B20"/>
    <w:rsid w:val="00CC4634"/>
    <w:rsid w:val="00CD4657"/>
    <w:rsid w:val="00CE519B"/>
    <w:rsid w:val="00D10C83"/>
    <w:rsid w:val="00D52040"/>
    <w:rsid w:val="00D60699"/>
    <w:rsid w:val="00D734A0"/>
    <w:rsid w:val="00D8052D"/>
    <w:rsid w:val="00D812CA"/>
    <w:rsid w:val="00D9054E"/>
    <w:rsid w:val="00DA5D6C"/>
    <w:rsid w:val="00DD4655"/>
    <w:rsid w:val="00DE0CC1"/>
    <w:rsid w:val="00E121CA"/>
    <w:rsid w:val="00E1479C"/>
    <w:rsid w:val="00E206E0"/>
    <w:rsid w:val="00E21D34"/>
    <w:rsid w:val="00E4176C"/>
    <w:rsid w:val="00E62CDB"/>
    <w:rsid w:val="00E724B2"/>
    <w:rsid w:val="00E72E2A"/>
    <w:rsid w:val="00E75BAC"/>
    <w:rsid w:val="00E82070"/>
    <w:rsid w:val="00EB4918"/>
    <w:rsid w:val="00F14047"/>
    <w:rsid w:val="00F72D71"/>
    <w:rsid w:val="00F73CF9"/>
    <w:rsid w:val="00F92B15"/>
    <w:rsid w:val="00F96D4E"/>
    <w:rsid w:val="00FB2BB7"/>
    <w:rsid w:val="00FB657C"/>
    <w:rsid w:val="00FC0503"/>
    <w:rsid w:val="00FC3C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247402B"/>
  <w15:docId w15:val="{9E9D7E03-3F0A-4269-AC9E-AF5D5E3A0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20E33"/>
    <w:rPr>
      <w:sz w:val="24"/>
      <w:szCs w:val="24"/>
    </w:rPr>
  </w:style>
  <w:style w:type="paragraph" w:styleId="1">
    <w:name w:val="heading 1"/>
    <w:basedOn w:val="a"/>
    <w:next w:val="a"/>
    <w:qFormat/>
    <w:rsid w:val="00820E33"/>
    <w:pPr>
      <w:keepNext/>
      <w:spacing w:before="240" w:after="60" w:line="360" w:lineRule="auto"/>
      <w:outlineLvl w:val="0"/>
    </w:pPr>
    <w:rPr>
      <w:rFonts w:ascii="Arial" w:hAnsi="Arial" w:cs="Arial"/>
      <w:bCs/>
      <w:kern w:val="32"/>
      <w:sz w:val="28"/>
      <w:szCs w:val="28"/>
    </w:rPr>
  </w:style>
  <w:style w:type="paragraph" w:styleId="3">
    <w:name w:val="heading 3"/>
    <w:basedOn w:val="a"/>
    <w:next w:val="a"/>
    <w:link w:val="30"/>
    <w:semiHidden/>
    <w:unhideWhenUsed/>
    <w:qFormat/>
    <w:rsid w:val="00FC3C44"/>
    <w:pPr>
      <w:keepNext/>
      <w:keepLines/>
      <w:spacing w:before="40"/>
      <w:outlineLvl w:val="2"/>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820E33"/>
    <w:pPr>
      <w:ind w:left="851" w:right="821"/>
      <w:jc w:val="both"/>
    </w:pPr>
    <w:rPr>
      <w:sz w:val="32"/>
      <w:szCs w:val="20"/>
    </w:rPr>
  </w:style>
  <w:style w:type="character" w:customStyle="1" w:styleId="FontStyle44">
    <w:name w:val="Font Style44"/>
    <w:rsid w:val="000C7BA9"/>
    <w:rPr>
      <w:rFonts w:ascii="Times New Roman" w:hAnsi="Times New Roman" w:cs="Times New Roman"/>
      <w:sz w:val="18"/>
      <w:szCs w:val="18"/>
    </w:rPr>
  </w:style>
  <w:style w:type="paragraph" w:styleId="a4">
    <w:name w:val="Balloon Text"/>
    <w:basedOn w:val="a"/>
    <w:semiHidden/>
    <w:rsid w:val="006C5827"/>
    <w:rPr>
      <w:rFonts w:ascii="Tahoma" w:hAnsi="Tahoma" w:cs="Tahoma"/>
      <w:sz w:val="16"/>
      <w:szCs w:val="16"/>
    </w:rPr>
  </w:style>
  <w:style w:type="paragraph" w:styleId="a5">
    <w:name w:val="Normal (Web)"/>
    <w:basedOn w:val="a"/>
    <w:uiPriority w:val="99"/>
    <w:semiHidden/>
    <w:unhideWhenUsed/>
    <w:rsid w:val="008D027C"/>
    <w:pPr>
      <w:spacing w:before="100" w:beforeAutospacing="1" w:after="100" w:afterAutospacing="1"/>
    </w:pPr>
  </w:style>
  <w:style w:type="paragraph" w:styleId="a6">
    <w:name w:val="List Paragraph"/>
    <w:basedOn w:val="a"/>
    <w:uiPriority w:val="34"/>
    <w:qFormat/>
    <w:rsid w:val="008D027C"/>
    <w:pPr>
      <w:ind w:left="720" w:firstLine="567"/>
      <w:contextualSpacing/>
      <w:jc w:val="both"/>
    </w:pPr>
    <w:rPr>
      <w:rFonts w:ascii="Calibri" w:eastAsia="Calibri" w:hAnsi="Calibri"/>
      <w:sz w:val="22"/>
      <w:szCs w:val="22"/>
      <w:lang w:eastAsia="en-US"/>
    </w:rPr>
  </w:style>
  <w:style w:type="character" w:styleId="a7">
    <w:name w:val="Strong"/>
    <w:basedOn w:val="a0"/>
    <w:uiPriority w:val="22"/>
    <w:qFormat/>
    <w:rsid w:val="008D027C"/>
    <w:rPr>
      <w:b/>
      <w:bCs/>
    </w:rPr>
  </w:style>
  <w:style w:type="paragraph" w:styleId="a8">
    <w:name w:val="Title"/>
    <w:basedOn w:val="a"/>
    <w:next w:val="a"/>
    <w:link w:val="a9"/>
    <w:qFormat/>
    <w:rsid w:val="00DA5D6C"/>
    <w:pPr>
      <w:contextualSpacing/>
    </w:pPr>
    <w:rPr>
      <w:rFonts w:asciiTheme="majorHAnsi" w:eastAsiaTheme="majorEastAsia" w:hAnsiTheme="majorHAnsi" w:cstheme="majorBidi"/>
      <w:spacing w:val="-10"/>
      <w:kern w:val="28"/>
      <w:sz w:val="56"/>
      <w:szCs w:val="56"/>
    </w:rPr>
  </w:style>
  <w:style w:type="character" w:customStyle="1" w:styleId="a9">
    <w:name w:val="Заголовок Знак"/>
    <w:basedOn w:val="a0"/>
    <w:link w:val="a8"/>
    <w:rsid w:val="00DA5D6C"/>
    <w:rPr>
      <w:rFonts w:asciiTheme="majorHAnsi" w:eastAsiaTheme="majorEastAsia" w:hAnsiTheme="majorHAnsi" w:cstheme="majorBidi"/>
      <w:spacing w:val="-10"/>
      <w:kern w:val="28"/>
      <w:sz w:val="56"/>
      <w:szCs w:val="56"/>
    </w:rPr>
  </w:style>
  <w:style w:type="paragraph" w:styleId="aa">
    <w:name w:val="TOC Heading"/>
    <w:basedOn w:val="1"/>
    <w:next w:val="a"/>
    <w:uiPriority w:val="39"/>
    <w:unhideWhenUsed/>
    <w:qFormat/>
    <w:rsid w:val="00DA5D6C"/>
    <w:pPr>
      <w:keepLines/>
      <w:spacing w:after="0" w:line="259" w:lineRule="auto"/>
      <w:outlineLvl w:val="9"/>
    </w:pPr>
    <w:rPr>
      <w:rFonts w:asciiTheme="majorHAnsi" w:eastAsiaTheme="majorEastAsia" w:hAnsiTheme="majorHAnsi" w:cstheme="majorBidi"/>
      <w:bCs w:val="0"/>
      <w:color w:val="2E74B5" w:themeColor="accent1" w:themeShade="BF"/>
      <w:kern w:val="0"/>
      <w:sz w:val="32"/>
      <w:szCs w:val="32"/>
    </w:rPr>
  </w:style>
  <w:style w:type="paragraph" w:styleId="10">
    <w:name w:val="toc 1"/>
    <w:basedOn w:val="a"/>
    <w:next w:val="a"/>
    <w:autoRedefine/>
    <w:uiPriority w:val="39"/>
    <w:unhideWhenUsed/>
    <w:rsid w:val="00DA5D6C"/>
    <w:pPr>
      <w:spacing w:after="100"/>
    </w:pPr>
  </w:style>
  <w:style w:type="character" w:styleId="ab">
    <w:name w:val="Hyperlink"/>
    <w:basedOn w:val="a0"/>
    <w:uiPriority w:val="99"/>
    <w:unhideWhenUsed/>
    <w:rsid w:val="00DA5D6C"/>
    <w:rPr>
      <w:color w:val="0563C1" w:themeColor="hyperlink"/>
      <w:u w:val="single"/>
    </w:rPr>
  </w:style>
  <w:style w:type="character" w:customStyle="1" w:styleId="30">
    <w:name w:val="Заголовок 3 Знак"/>
    <w:basedOn w:val="a0"/>
    <w:link w:val="3"/>
    <w:semiHidden/>
    <w:rsid w:val="00FC3C44"/>
    <w:rPr>
      <w:rFonts w:asciiTheme="majorHAnsi" w:eastAsiaTheme="majorEastAsia" w:hAnsiTheme="majorHAnsi" w:cstheme="majorBidi"/>
      <w:color w:val="1F4D78" w:themeColor="accent1" w:themeShade="7F"/>
      <w:sz w:val="24"/>
      <w:szCs w:val="24"/>
    </w:rPr>
  </w:style>
  <w:style w:type="paragraph" w:styleId="31">
    <w:name w:val="toc 3"/>
    <w:basedOn w:val="a"/>
    <w:next w:val="a"/>
    <w:autoRedefine/>
    <w:uiPriority w:val="39"/>
    <w:unhideWhenUsed/>
    <w:rsid w:val="00537015"/>
    <w:pPr>
      <w:spacing w:after="100"/>
      <w:ind w:left="480"/>
    </w:pPr>
  </w:style>
  <w:style w:type="paragraph" w:styleId="ac">
    <w:name w:val="header"/>
    <w:basedOn w:val="a"/>
    <w:link w:val="ad"/>
    <w:uiPriority w:val="99"/>
    <w:unhideWhenUsed/>
    <w:rsid w:val="00537015"/>
    <w:pPr>
      <w:tabs>
        <w:tab w:val="center" w:pos="4677"/>
        <w:tab w:val="right" w:pos="9355"/>
      </w:tabs>
    </w:pPr>
  </w:style>
  <w:style w:type="character" w:customStyle="1" w:styleId="ad">
    <w:name w:val="Верхний колонтитул Знак"/>
    <w:basedOn w:val="a0"/>
    <w:link w:val="ac"/>
    <w:uiPriority w:val="99"/>
    <w:rsid w:val="00537015"/>
    <w:rPr>
      <w:sz w:val="24"/>
      <w:szCs w:val="24"/>
    </w:rPr>
  </w:style>
  <w:style w:type="paragraph" w:styleId="ae">
    <w:name w:val="footer"/>
    <w:basedOn w:val="a"/>
    <w:link w:val="af"/>
    <w:uiPriority w:val="99"/>
    <w:unhideWhenUsed/>
    <w:rsid w:val="00537015"/>
    <w:pPr>
      <w:tabs>
        <w:tab w:val="center" w:pos="4677"/>
        <w:tab w:val="right" w:pos="9355"/>
      </w:tabs>
    </w:pPr>
  </w:style>
  <w:style w:type="character" w:customStyle="1" w:styleId="af">
    <w:name w:val="Нижний колонтитул Знак"/>
    <w:basedOn w:val="a0"/>
    <w:link w:val="ae"/>
    <w:uiPriority w:val="99"/>
    <w:rsid w:val="00537015"/>
    <w:rPr>
      <w:sz w:val="24"/>
      <w:szCs w:val="24"/>
    </w:rPr>
  </w:style>
  <w:style w:type="table" w:styleId="af0">
    <w:name w:val="Table Grid"/>
    <w:basedOn w:val="a1"/>
    <w:rsid w:val="000705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454617">
      <w:bodyDiv w:val="1"/>
      <w:marLeft w:val="0"/>
      <w:marRight w:val="0"/>
      <w:marTop w:val="0"/>
      <w:marBottom w:val="0"/>
      <w:divBdr>
        <w:top w:val="none" w:sz="0" w:space="0" w:color="auto"/>
        <w:left w:val="none" w:sz="0" w:space="0" w:color="auto"/>
        <w:bottom w:val="none" w:sz="0" w:space="0" w:color="auto"/>
        <w:right w:val="none" w:sz="0" w:space="0" w:color="auto"/>
      </w:divBdr>
      <w:divsChild>
        <w:div w:id="2094816412">
          <w:marLeft w:val="0"/>
          <w:marRight w:val="0"/>
          <w:marTop w:val="0"/>
          <w:marBottom w:val="0"/>
          <w:divBdr>
            <w:top w:val="none" w:sz="0" w:space="0" w:color="auto"/>
            <w:left w:val="none" w:sz="0" w:space="0" w:color="auto"/>
            <w:bottom w:val="none" w:sz="0" w:space="0" w:color="auto"/>
            <w:right w:val="none" w:sz="0" w:space="0" w:color="auto"/>
          </w:divBdr>
          <w:divsChild>
            <w:div w:id="10710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776640">
      <w:bodyDiv w:val="1"/>
      <w:marLeft w:val="0"/>
      <w:marRight w:val="0"/>
      <w:marTop w:val="0"/>
      <w:marBottom w:val="0"/>
      <w:divBdr>
        <w:top w:val="none" w:sz="0" w:space="0" w:color="auto"/>
        <w:left w:val="none" w:sz="0" w:space="0" w:color="auto"/>
        <w:bottom w:val="none" w:sz="0" w:space="0" w:color="auto"/>
        <w:right w:val="none" w:sz="0" w:space="0" w:color="auto"/>
      </w:divBdr>
    </w:div>
    <w:div w:id="1144466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png"/><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Удовлетворенность клиентов текущая </c:v>
                </c:pt>
              </c:strCache>
            </c:strRef>
          </c:tx>
          <c:invertIfNegative val="0"/>
          <c:cat>
            <c:strRef>
              <c:f>Лист1!$A$2:$A$7</c:f>
              <c:strCache>
                <c:ptCount val="6"/>
                <c:pt idx="0">
                  <c:v>Условия кредитования</c:v>
                </c:pt>
                <c:pt idx="1">
                  <c:v>Условия размещения депозита</c:v>
                </c:pt>
                <c:pt idx="2">
                  <c:v>Условия ипотечного кредитования</c:v>
                </c:pt>
                <c:pt idx="3">
                  <c:v>Качество обслуживания клиентов </c:v>
                </c:pt>
                <c:pt idx="4">
                  <c:v>Увеличение числа терминалов и банкоматов </c:v>
                </c:pt>
                <c:pt idx="5">
                  <c:v>Режим работы </c:v>
                </c:pt>
              </c:strCache>
            </c:strRef>
          </c:cat>
          <c:val>
            <c:numRef>
              <c:f>Лист1!$B$2:$B$7</c:f>
              <c:numCache>
                <c:formatCode>0%</c:formatCode>
                <c:ptCount val="6"/>
                <c:pt idx="0">
                  <c:v>0.2</c:v>
                </c:pt>
                <c:pt idx="1">
                  <c:v>0.1</c:v>
                </c:pt>
                <c:pt idx="2">
                  <c:v>0.15</c:v>
                </c:pt>
                <c:pt idx="3">
                  <c:v>0.2</c:v>
                </c:pt>
                <c:pt idx="4">
                  <c:v>0.25</c:v>
                </c:pt>
                <c:pt idx="5">
                  <c:v>0.3</c:v>
                </c:pt>
              </c:numCache>
            </c:numRef>
          </c:val>
          <c:extLst>
            <c:ext xmlns:c16="http://schemas.microsoft.com/office/drawing/2014/chart" uri="{C3380CC4-5D6E-409C-BE32-E72D297353CC}">
              <c16:uniqueId val="{00000000-5BEA-41A8-9838-8C5E6EF66AFD}"/>
            </c:ext>
          </c:extLst>
        </c:ser>
        <c:ser>
          <c:idx val="1"/>
          <c:order val="1"/>
          <c:tx>
            <c:strRef>
              <c:f>Лист1!$C$1</c:f>
              <c:strCache>
                <c:ptCount val="1"/>
                <c:pt idx="0">
                  <c:v>Удовлетворенность клиентов прогнозная </c:v>
                </c:pt>
              </c:strCache>
            </c:strRef>
          </c:tx>
          <c:invertIfNegative val="0"/>
          <c:cat>
            <c:strRef>
              <c:f>Лист1!$A$2:$A$7</c:f>
              <c:strCache>
                <c:ptCount val="6"/>
                <c:pt idx="0">
                  <c:v>Условия кредитования</c:v>
                </c:pt>
                <c:pt idx="1">
                  <c:v>Условия размещения депозита</c:v>
                </c:pt>
                <c:pt idx="2">
                  <c:v>Условия ипотечного кредитования</c:v>
                </c:pt>
                <c:pt idx="3">
                  <c:v>Качество обслуживания клиентов </c:v>
                </c:pt>
                <c:pt idx="4">
                  <c:v>Увеличение числа терминалов и банкоматов </c:v>
                </c:pt>
                <c:pt idx="5">
                  <c:v>Режим работы </c:v>
                </c:pt>
              </c:strCache>
            </c:strRef>
          </c:cat>
          <c:val>
            <c:numRef>
              <c:f>Лист1!$C$2:$C$7</c:f>
              <c:numCache>
                <c:formatCode>0%</c:formatCode>
                <c:ptCount val="6"/>
                <c:pt idx="0">
                  <c:v>0.35</c:v>
                </c:pt>
                <c:pt idx="1">
                  <c:v>0.4</c:v>
                </c:pt>
                <c:pt idx="2">
                  <c:v>0.4</c:v>
                </c:pt>
                <c:pt idx="3">
                  <c:v>0.35</c:v>
                </c:pt>
                <c:pt idx="4">
                  <c:v>0.35</c:v>
                </c:pt>
                <c:pt idx="5">
                  <c:v>0.45</c:v>
                </c:pt>
              </c:numCache>
            </c:numRef>
          </c:val>
          <c:extLst>
            <c:ext xmlns:c16="http://schemas.microsoft.com/office/drawing/2014/chart" uri="{C3380CC4-5D6E-409C-BE32-E72D297353CC}">
              <c16:uniqueId val="{00000001-5BEA-41A8-9838-8C5E6EF66AFD}"/>
            </c:ext>
          </c:extLst>
        </c:ser>
        <c:dLbls>
          <c:showLegendKey val="0"/>
          <c:showVal val="0"/>
          <c:showCatName val="0"/>
          <c:showSerName val="0"/>
          <c:showPercent val="0"/>
          <c:showBubbleSize val="0"/>
        </c:dLbls>
        <c:gapWidth val="150"/>
        <c:axId val="334422544"/>
        <c:axId val="1"/>
      </c:barChart>
      <c:catAx>
        <c:axId val="334422544"/>
        <c:scaling>
          <c:orientation val="minMax"/>
        </c:scaling>
        <c:delete val="0"/>
        <c:axPos val="b"/>
        <c:numFmt formatCode="General" sourceLinked="1"/>
        <c:majorTickMark val="out"/>
        <c:minorTickMark val="none"/>
        <c:tickLblPos val="nextTo"/>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334422544"/>
        <c:crosses val="autoZero"/>
        <c:crossBetween val="between"/>
      </c:valAx>
    </c:plotArea>
    <c:legend>
      <c:legendPos val="r"/>
      <c:layout>
        <c:manualLayout>
          <c:xMode val="edge"/>
          <c:yMode val="edge"/>
          <c:x val="0.27071823204419887"/>
          <c:y val="0.81874999999999998"/>
          <c:w val="0.46408839779005523"/>
          <c:h val="0.13750000000000001"/>
        </c:manualLayout>
      </c:layout>
      <c:overlay val="0"/>
    </c:legend>
    <c:plotVisOnly val="1"/>
    <c:dispBlanksAs val="gap"/>
    <c:showDLblsOverMax val="0"/>
  </c:chart>
  <c:spPr>
    <a:ln>
      <a:noFill/>
    </a:ln>
  </c:spPr>
  <c:txPr>
    <a:bodyPr/>
    <a:lstStyle/>
    <a:p>
      <a:pPr>
        <a:defRPr>
          <a:solidFill>
            <a:schemeClr val="tx1"/>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33E94-4A0C-49DF-A8EC-8BF8CB121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59392</TotalTime>
  <Pages>43</Pages>
  <Words>7572</Words>
  <Characters>43166</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50637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subject/>
  <dc:creator>shelygina</dc:creator>
  <cp:keywords/>
  <dc:description/>
  <cp:lastModifiedBy>Анастасия Шацкая</cp:lastModifiedBy>
  <cp:revision>27</cp:revision>
  <cp:lastPrinted>2017-01-18T04:42:00Z</cp:lastPrinted>
  <dcterms:created xsi:type="dcterms:W3CDTF">2019-09-25T04:49:00Z</dcterms:created>
  <dcterms:modified xsi:type="dcterms:W3CDTF">2025-01-17T07:14:00Z</dcterms:modified>
</cp:coreProperties>
</file>