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40405762"/>
    <w:bookmarkStart w:id="1" w:name="_Hlk140405790"/>
    <w:bookmarkStart w:id="2" w:name="_Hlk139991344"/>
    <w:p w14:paraId="20119A88" w14:textId="77777777" w:rsidR="00D67832" w:rsidRDefault="0070709E" w:rsidP="00D67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FC3E3D" wp14:editId="16C2DB27">
                <wp:simplePos x="0" y="0"/>
                <wp:positionH relativeFrom="column">
                  <wp:posOffset>5556885</wp:posOffset>
                </wp:positionH>
                <wp:positionV relativeFrom="paragraph">
                  <wp:posOffset>-600710</wp:posOffset>
                </wp:positionV>
                <wp:extent cx="762000" cy="457200"/>
                <wp:effectExtent l="0" t="0" r="19050" b="19050"/>
                <wp:wrapNone/>
                <wp:docPr id="190834451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B0D649" id="Прямоугольник 1" o:spid="_x0000_s1026" style="position:absolute;margin-left:437.55pt;margin-top:-47.3pt;width:60pt;height:3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</w:p>
    <w:p w14:paraId="60865D6F" w14:textId="5E6218CA" w:rsidR="0070709E" w:rsidRDefault="0070709E" w:rsidP="00D67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DBB5C8B" w14:textId="77777777" w:rsidR="0070709E" w:rsidRDefault="0070709E" w:rsidP="00D67832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ВЛАДИВОСТОКСКИЙ ГОСУДАРСТВЕННЫЙ УНИВЕРСИТЕТ </w:t>
      </w:r>
    </w:p>
    <w:p w14:paraId="37DA0595" w14:textId="77777777" w:rsidR="0070709E" w:rsidRDefault="0070709E" w:rsidP="00707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МЕЖДУНАРОДНОГО БИЗНЕСА, </w:t>
      </w:r>
    </w:p>
    <w:p w14:paraId="4214EABD" w14:textId="77777777" w:rsidR="0070709E" w:rsidRDefault="0070709E" w:rsidP="0070709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ЭКОНОМИКИ И УПРАВЛЕНИЯ</w:t>
      </w:r>
    </w:p>
    <w:p w14:paraId="377E24AF" w14:textId="77777777" w:rsidR="0070709E" w:rsidRDefault="0070709E" w:rsidP="0070709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ЭКОНОМИКИ И УПРАВЛЕНИЯ</w:t>
      </w:r>
    </w:p>
    <w:p w14:paraId="7D52271C" w14:textId="77777777" w:rsidR="0070709E" w:rsidRDefault="0070709E" w:rsidP="0070709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35FB2" w14:textId="77777777" w:rsidR="0070709E" w:rsidRDefault="0070709E" w:rsidP="0070709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B19B1" w14:textId="77777777" w:rsidR="0070709E" w:rsidRDefault="0070709E" w:rsidP="0070709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5EC54F99" w14:textId="77777777" w:rsidR="0070709E" w:rsidRDefault="0070709E" w:rsidP="0070709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67DEEB" w14:textId="77777777" w:rsidR="0070709E" w:rsidRDefault="0070709E" w:rsidP="0070709E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DFAFB8" w14:textId="77777777" w:rsidR="0070709E" w:rsidRPr="00ED2C95" w:rsidRDefault="0070709E" w:rsidP="006C0A61">
      <w:pPr>
        <w:spacing w:before="240" w:after="24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ED2C95">
        <w:rPr>
          <w:rFonts w:ascii="Times New Roman" w:hAnsi="Times New Roman" w:cs="Times New Roman"/>
          <w:sz w:val="48"/>
          <w:szCs w:val="28"/>
        </w:rPr>
        <w:t>ОТЧЕТ</w:t>
      </w:r>
    </w:p>
    <w:p w14:paraId="1BF50EAD" w14:textId="3F6345FE" w:rsidR="007E26E8" w:rsidRPr="005A02D8" w:rsidRDefault="007E26E8" w:rsidP="00145D6B">
      <w:pPr>
        <w:pStyle w:val="a3"/>
        <w:spacing w:after="120" w:line="240" w:lineRule="auto"/>
        <w:ind w:left="0"/>
        <w:contextualSpacing w:val="0"/>
        <w:jc w:val="center"/>
        <w:rPr>
          <w:rFonts w:ascii="Times New Roman" w:hAnsi="Times New Roman"/>
          <w:color w:val="000000" w:themeColor="text1"/>
          <w:sz w:val="44"/>
          <w:szCs w:val="44"/>
        </w:rPr>
      </w:pPr>
      <w:r w:rsidRPr="007E26E8">
        <w:rPr>
          <w:rFonts w:ascii="Times New Roman" w:hAnsi="Times New Roman"/>
          <w:sz w:val="44"/>
          <w:szCs w:val="44"/>
        </w:rPr>
        <w:t xml:space="preserve">по </w:t>
      </w:r>
      <w:r w:rsidR="00145D6B">
        <w:rPr>
          <w:rFonts w:ascii="Times New Roman" w:hAnsi="Times New Roman"/>
          <w:sz w:val="44"/>
          <w:szCs w:val="44"/>
        </w:rPr>
        <w:t>производственной практике</w:t>
      </w:r>
      <w:r w:rsidR="00145D6B" w:rsidRPr="00145D6B">
        <w:rPr>
          <w:rFonts w:ascii="Times New Roman" w:hAnsi="Times New Roman"/>
          <w:sz w:val="44"/>
          <w:szCs w:val="44"/>
        </w:rPr>
        <w:t xml:space="preserve"> по профилю </w:t>
      </w:r>
      <w:r w:rsidR="00145D6B">
        <w:rPr>
          <w:rFonts w:ascii="Times New Roman" w:hAnsi="Times New Roman"/>
          <w:sz w:val="44"/>
          <w:szCs w:val="44"/>
        </w:rPr>
        <w:br/>
      </w:r>
      <w:r w:rsidR="00145D6B" w:rsidRPr="00145D6B">
        <w:rPr>
          <w:rFonts w:ascii="Times New Roman" w:hAnsi="Times New Roman"/>
          <w:sz w:val="44"/>
          <w:szCs w:val="44"/>
        </w:rPr>
        <w:t>профессиональной деятельности</w:t>
      </w:r>
    </w:p>
    <w:p w14:paraId="08E0CED0" w14:textId="77777777" w:rsidR="007E26E8" w:rsidRDefault="007E26E8" w:rsidP="007E26E8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44"/>
          <w:szCs w:val="44"/>
        </w:rPr>
      </w:pPr>
    </w:p>
    <w:p w14:paraId="21456012" w14:textId="77777777" w:rsidR="007E26E8" w:rsidRDefault="007E26E8" w:rsidP="007E26E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39769481" w14:textId="77777777" w:rsidR="00610CC6" w:rsidRDefault="00610CC6" w:rsidP="007E26E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6981A5FD" w14:textId="77777777" w:rsidR="00B17544" w:rsidRPr="00145D6B" w:rsidRDefault="00B17544" w:rsidP="00B175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D6B">
        <w:rPr>
          <w:rFonts w:ascii="Times New Roman" w:hAnsi="Times New Roman" w:cs="Times New Roman"/>
          <w:sz w:val="24"/>
          <w:szCs w:val="24"/>
        </w:rPr>
        <w:t>Студент</w:t>
      </w:r>
    </w:p>
    <w:p w14:paraId="2DC9D56B" w14:textId="36473543" w:rsidR="00B17544" w:rsidRDefault="00B17544" w:rsidP="00B1754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45D6B">
        <w:rPr>
          <w:rFonts w:ascii="Times New Roman" w:hAnsi="Times New Roman" w:cs="Times New Roman"/>
          <w:sz w:val="24"/>
          <w:szCs w:val="24"/>
        </w:rPr>
        <w:t>гр. МГУ-25-УР1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5D6B">
        <w:rPr>
          <w:rFonts w:ascii="Times New Roman" w:hAnsi="Times New Roman" w:cs="Times New Roman"/>
          <w:sz w:val="28"/>
          <w:szCs w:val="28"/>
        </w:rPr>
        <w:t xml:space="preserve">      </w:t>
      </w:r>
      <w:r w:rsidR="00692C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5D6B">
        <w:rPr>
          <w:rFonts w:ascii="Times New Roman" w:hAnsi="Times New Roman" w:cs="Times New Roman"/>
          <w:sz w:val="28"/>
          <w:szCs w:val="28"/>
        </w:rPr>
        <w:t xml:space="preserve"> </w:t>
      </w:r>
      <w:r w:rsidR="00692CFF"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="00AB2DD6">
        <w:rPr>
          <w:rFonts w:ascii="Times New Roman" w:hAnsi="Times New Roman" w:cs="Times New Roman"/>
          <w:color w:val="000000" w:themeColor="text1"/>
          <w:sz w:val="28"/>
          <w:szCs w:val="28"/>
        </w:rPr>
        <w:t>Ю.В. Усова</w:t>
      </w:r>
    </w:p>
    <w:p w14:paraId="330D4309" w14:textId="77777777" w:rsidR="00B17544" w:rsidRDefault="00B17544" w:rsidP="00B175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18FF5" w14:textId="03E4F76D" w:rsidR="00B17544" w:rsidRPr="00145D6B" w:rsidRDefault="00B17544" w:rsidP="00B175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D6B">
        <w:rPr>
          <w:rFonts w:ascii="Times New Roman" w:hAnsi="Times New Roman" w:cs="Times New Roman"/>
          <w:sz w:val="24"/>
          <w:szCs w:val="24"/>
        </w:rPr>
        <w:t>Руководител</w:t>
      </w:r>
      <w:r w:rsidR="00910D92" w:rsidRPr="00145D6B">
        <w:rPr>
          <w:rFonts w:ascii="Times New Roman" w:hAnsi="Times New Roman" w:cs="Times New Roman"/>
          <w:sz w:val="24"/>
          <w:szCs w:val="24"/>
        </w:rPr>
        <w:t>ь</w:t>
      </w:r>
      <w:r w:rsidR="00145D6B" w:rsidRPr="00145D6B">
        <w:rPr>
          <w:rFonts w:ascii="Times New Roman" w:hAnsi="Times New Roman" w:cs="Times New Roman"/>
          <w:sz w:val="24"/>
          <w:szCs w:val="24"/>
        </w:rPr>
        <w:t>,</w:t>
      </w:r>
      <w:r w:rsidRPr="00145D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C5BC1" w14:textId="0821DEA5" w:rsidR="00B17544" w:rsidRDefault="00AB2DD6" w:rsidP="00B1754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D6B">
        <w:rPr>
          <w:rFonts w:ascii="Times New Roman" w:hAnsi="Times New Roman" w:cs="Times New Roman"/>
          <w:sz w:val="24"/>
          <w:szCs w:val="24"/>
        </w:rPr>
        <w:t>канд. полит</w:t>
      </w:r>
      <w:r w:rsidR="00B17544" w:rsidRPr="00145D6B">
        <w:rPr>
          <w:rFonts w:ascii="Times New Roman" w:hAnsi="Times New Roman" w:cs="Times New Roman"/>
          <w:sz w:val="24"/>
          <w:szCs w:val="24"/>
        </w:rPr>
        <w:t>. нау</w:t>
      </w:r>
      <w:r w:rsidRPr="00145D6B">
        <w:rPr>
          <w:rFonts w:ascii="Times New Roman" w:hAnsi="Times New Roman" w:cs="Times New Roman"/>
          <w:sz w:val="24"/>
          <w:szCs w:val="24"/>
        </w:rPr>
        <w:t>к, доцент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5D6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92CF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5D6B">
        <w:rPr>
          <w:rFonts w:ascii="Times New Roman" w:hAnsi="Times New Roman" w:cs="Times New Roman"/>
          <w:sz w:val="28"/>
          <w:szCs w:val="28"/>
        </w:rPr>
        <w:t xml:space="preserve"> </w:t>
      </w:r>
      <w:r w:rsidR="00692CFF">
        <w:rPr>
          <w:rFonts w:ascii="Times New Roman" w:hAnsi="Times New Roman" w:cs="Times New Roman"/>
          <w:sz w:val="28"/>
          <w:szCs w:val="28"/>
        </w:rPr>
        <w:t xml:space="preserve">_______________  </w:t>
      </w:r>
      <w:r w:rsidR="00145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Н.А. Цар</w:t>
      </w:r>
      <w:r w:rsidR="003D70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</w:t>
      </w:r>
    </w:p>
    <w:p w14:paraId="4A7F3DF6" w14:textId="77777777" w:rsidR="00B17544" w:rsidRDefault="00B17544" w:rsidP="00B175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8F27E" w14:textId="0B873B26" w:rsidR="00B17544" w:rsidRPr="00145D6B" w:rsidRDefault="00145D6B" w:rsidP="00B175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D6B">
        <w:rPr>
          <w:rFonts w:ascii="Times New Roman" w:hAnsi="Times New Roman" w:cs="Times New Roman"/>
          <w:sz w:val="24"/>
          <w:szCs w:val="24"/>
        </w:rPr>
        <w:t>Руководитель практики от организации,</w:t>
      </w:r>
    </w:p>
    <w:p w14:paraId="50FB835F" w14:textId="32FE90A1" w:rsidR="00B17544" w:rsidRPr="00692CFF" w:rsidRDefault="00692CFF" w:rsidP="00692CFF">
      <w:pPr>
        <w:pStyle w:val="msonormaldop"/>
        <w:ind w:firstLine="0"/>
      </w:pPr>
      <w:r>
        <w:t>старший проектный менеджер ООО «ЭкспертГрупп»</w:t>
      </w:r>
      <w:r w:rsidR="00145D6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="00145D6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145D6B">
        <w:rPr>
          <w:sz w:val="28"/>
          <w:szCs w:val="28"/>
        </w:rPr>
        <w:t>.</w:t>
      </w:r>
      <w:r>
        <w:rPr>
          <w:sz w:val="28"/>
          <w:szCs w:val="28"/>
        </w:rPr>
        <w:t>Е</w:t>
      </w:r>
      <w:r w:rsidR="00145D6B">
        <w:rPr>
          <w:sz w:val="28"/>
          <w:szCs w:val="28"/>
        </w:rPr>
        <w:t xml:space="preserve">. </w:t>
      </w:r>
      <w:r>
        <w:rPr>
          <w:sz w:val="28"/>
          <w:szCs w:val="28"/>
        </w:rPr>
        <w:t>Шамова</w:t>
      </w:r>
    </w:p>
    <w:p w14:paraId="24ECF017" w14:textId="77777777" w:rsidR="0070709E" w:rsidRDefault="0070709E" w:rsidP="0070709E"/>
    <w:p w14:paraId="672D66DD" w14:textId="09F7FBAC" w:rsidR="00610CC6" w:rsidRDefault="00610CC6" w:rsidP="0070709E"/>
    <w:p w14:paraId="097EBDF2" w14:textId="7EC289E8" w:rsidR="00145D6B" w:rsidRDefault="00145D6B" w:rsidP="0070709E"/>
    <w:p w14:paraId="0831739C" w14:textId="39734A05" w:rsidR="00145D6B" w:rsidRDefault="00145D6B" w:rsidP="0070709E"/>
    <w:p w14:paraId="16EB65B4" w14:textId="77EA3C26" w:rsidR="00145D6B" w:rsidRDefault="00145D6B" w:rsidP="0070709E"/>
    <w:p w14:paraId="282907AC" w14:textId="49D2321C" w:rsidR="00145D6B" w:rsidRDefault="00145D6B" w:rsidP="0070709E"/>
    <w:bookmarkEnd w:id="0"/>
    <w:p w14:paraId="4B184DFE" w14:textId="77777777" w:rsidR="0070709E" w:rsidRDefault="0070709E" w:rsidP="00707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6B3DD1" w14:textId="77777777" w:rsidR="00610CC6" w:rsidRDefault="00610CC6" w:rsidP="00707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E564E7" w14:textId="5B5B50EC" w:rsidR="00964275" w:rsidRDefault="0070709E" w:rsidP="00707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B95">
        <w:rPr>
          <w:rFonts w:ascii="Times New Roman" w:hAnsi="Times New Roman" w:cs="Times New Roman"/>
          <w:sz w:val="28"/>
          <w:szCs w:val="28"/>
        </w:rPr>
        <w:t>Владивосток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7544">
        <w:rPr>
          <w:rFonts w:ascii="Times New Roman" w:hAnsi="Times New Roman" w:cs="Times New Roman"/>
          <w:sz w:val="28"/>
          <w:szCs w:val="28"/>
        </w:rPr>
        <w:t>6</w:t>
      </w:r>
    </w:p>
    <w:p w14:paraId="593C647F" w14:textId="77777777" w:rsidR="00964275" w:rsidRDefault="00964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A6FBE7" w14:textId="0BFE0811" w:rsidR="00964275" w:rsidRPr="00903A8C" w:rsidRDefault="00BF490C" w:rsidP="00964275">
      <w:pPr>
        <w:widowControl w:val="0"/>
        <w:spacing w:after="12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5F7AE0" wp14:editId="265F4CB6">
                <wp:simplePos x="0" y="0"/>
                <wp:positionH relativeFrom="column">
                  <wp:posOffset>5699760</wp:posOffset>
                </wp:positionH>
                <wp:positionV relativeFrom="paragraph">
                  <wp:posOffset>-609600</wp:posOffset>
                </wp:positionV>
                <wp:extent cx="762000" cy="457200"/>
                <wp:effectExtent l="0" t="0" r="19050" b="19050"/>
                <wp:wrapNone/>
                <wp:docPr id="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BC4F776" id="Прямоугольник 1" o:spid="_x0000_s1026" style="position:absolute;margin-left:448.8pt;margin-top:-48pt;width:60pt;height:3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" fillcolor="white [3212]" strokecolor="white [3212]" strokeweight="1pt"/>
            </w:pict>
          </mc:Fallback>
        </mc:AlternateContent>
      </w:r>
      <w:r w:rsidR="00964275" w:rsidRPr="00903A8C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МИНИСТЕРСТВО </w:t>
      </w:r>
      <w:r w:rsidR="00964275">
        <w:rPr>
          <w:rFonts w:ascii="Times New Roman" w:eastAsia="Times New Roman" w:hAnsi="Times New Roman"/>
          <w:caps/>
          <w:sz w:val="24"/>
          <w:szCs w:val="24"/>
          <w:lang w:eastAsia="ru-RU"/>
        </w:rPr>
        <w:t xml:space="preserve">НАУКИ И ВЫСШЕГО </w:t>
      </w:r>
      <w:r w:rsidR="00964275" w:rsidRPr="00903A8C">
        <w:rPr>
          <w:rFonts w:ascii="Times New Roman" w:eastAsia="Times New Roman" w:hAnsi="Times New Roman"/>
          <w:caps/>
          <w:sz w:val="24"/>
          <w:szCs w:val="24"/>
          <w:lang w:eastAsia="ru-RU"/>
        </w:rPr>
        <w:t>образования российской федерации</w:t>
      </w:r>
    </w:p>
    <w:p w14:paraId="581A8603" w14:textId="77777777" w:rsidR="00964275" w:rsidRPr="00C81513" w:rsidRDefault="00964275" w:rsidP="00964275">
      <w:pPr>
        <w:spacing w:after="0" w:line="240" w:lineRule="auto"/>
        <w:contextualSpacing/>
        <w:jc w:val="center"/>
        <w:rPr>
          <w:rFonts w:ascii="Times New Roman" w:hAnsi="Times New Roman"/>
          <w:spacing w:val="-4"/>
          <w:sz w:val="24"/>
          <w:szCs w:val="24"/>
        </w:rPr>
      </w:pPr>
      <w:r w:rsidRPr="00C81513">
        <w:rPr>
          <w:rFonts w:ascii="Times New Roman" w:hAnsi="Times New Roman"/>
          <w:spacing w:val="-4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C940AAB" w14:textId="77777777" w:rsidR="00964275" w:rsidRPr="00903A8C" w:rsidRDefault="00964275" w:rsidP="0096427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03A8C">
        <w:rPr>
          <w:rFonts w:ascii="Times New Roman" w:hAnsi="Times New Roman"/>
          <w:sz w:val="24"/>
          <w:szCs w:val="24"/>
        </w:rPr>
        <w:t>«ВЛАДИВОСТОКС</w:t>
      </w:r>
      <w:r>
        <w:rPr>
          <w:rFonts w:ascii="Times New Roman" w:hAnsi="Times New Roman"/>
          <w:sz w:val="24"/>
          <w:szCs w:val="24"/>
        </w:rPr>
        <w:t>КИЙ ГОСУДАРСТВЕННЫЙ УНИВЕРСИТЕТ</w:t>
      </w:r>
      <w:r w:rsidRPr="00903A8C">
        <w:rPr>
          <w:rFonts w:ascii="Times New Roman" w:hAnsi="Times New Roman"/>
          <w:sz w:val="24"/>
          <w:szCs w:val="24"/>
        </w:rPr>
        <w:t>»</w:t>
      </w:r>
    </w:p>
    <w:p w14:paraId="2669F2FA" w14:textId="77777777" w:rsidR="00964275" w:rsidRPr="00903A8C" w:rsidRDefault="00964275" w:rsidP="0096427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ЭКОНОМИКИ И УПРАВЛЕНИЯ</w:t>
      </w:r>
    </w:p>
    <w:p w14:paraId="499B24C8" w14:textId="77777777" w:rsidR="00964275" w:rsidRDefault="00964275" w:rsidP="00964275">
      <w:pPr>
        <w:pStyle w:val="msonormaldop"/>
        <w:jc w:val="center"/>
      </w:pPr>
    </w:p>
    <w:p w14:paraId="5FDEDCD4" w14:textId="77777777" w:rsidR="00964275" w:rsidRDefault="00964275" w:rsidP="00964275">
      <w:pPr>
        <w:pStyle w:val="msonormaldop"/>
        <w:jc w:val="center"/>
      </w:pPr>
      <w:r>
        <w:t>ИНДИВИДУАЛЬНОЕ ЗАДАНИЕ</w:t>
      </w:r>
    </w:p>
    <w:p w14:paraId="03CA987F" w14:textId="77777777" w:rsidR="00964275" w:rsidRPr="00AF5BE8" w:rsidRDefault="00964275" w:rsidP="00964275">
      <w:pPr>
        <w:pStyle w:val="msonormaldop"/>
        <w:jc w:val="center"/>
      </w:pPr>
      <w:r>
        <w:t>на производственную практику по профилю профессиональной деятельности</w:t>
      </w:r>
    </w:p>
    <w:p w14:paraId="0E48EDB2" w14:textId="77777777" w:rsidR="00964275" w:rsidRDefault="00964275" w:rsidP="00964275">
      <w:pPr>
        <w:pStyle w:val="msonormaldop"/>
      </w:pPr>
    </w:p>
    <w:p w14:paraId="1ED389ED" w14:textId="77777777" w:rsidR="00964275" w:rsidRPr="009D4674" w:rsidRDefault="00964275" w:rsidP="00964275">
      <w:pPr>
        <w:pStyle w:val="msonormaldop"/>
      </w:pPr>
      <w:r>
        <w:t>Студент: Усова Ю.В.</w:t>
      </w:r>
    </w:p>
    <w:p w14:paraId="345F0EC8" w14:textId="77777777" w:rsidR="00964275" w:rsidRDefault="00964275" w:rsidP="00964275">
      <w:pPr>
        <w:pStyle w:val="msonormaldop"/>
      </w:pPr>
      <w:r>
        <w:t>Группа: МГУ-25-УР1</w:t>
      </w:r>
    </w:p>
    <w:p w14:paraId="3DC6E5A6" w14:textId="77777777" w:rsidR="00964275" w:rsidRDefault="00964275" w:rsidP="00964275">
      <w:pPr>
        <w:pStyle w:val="msonormaldop"/>
      </w:pPr>
      <w:r>
        <w:t>Срок сдачи: 17.07.2026</w:t>
      </w:r>
    </w:p>
    <w:p w14:paraId="1264E6BA" w14:textId="77777777" w:rsidR="00964275" w:rsidRDefault="00964275" w:rsidP="00964275">
      <w:pPr>
        <w:pStyle w:val="msonormaldop"/>
      </w:pPr>
      <w:r>
        <w:t>Содержание отчета по практике:</w:t>
      </w:r>
    </w:p>
    <w:p w14:paraId="43F423BE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Введение: </w:t>
      </w: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 цель и задачи практики, основные методы, необходимые для их достижения </w:t>
      </w: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14:paraId="080C1661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Задание 1 </w:t>
      </w: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Провести анализ инструментов экономической политики с определением проблем в рамках области исследования.</w:t>
      </w:r>
    </w:p>
    <w:p w14:paraId="52C33F5C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Задание 2</w:t>
      </w: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5BE8">
        <w:rPr>
          <w:rFonts w:ascii="Times New Roman" w:eastAsia="Times New Roman" w:hAnsi="Times New Roman"/>
          <w:bCs/>
          <w:sz w:val="24"/>
          <w:szCs w:val="24"/>
          <w:lang w:eastAsia="ru-RU"/>
        </w:rPr>
        <w:t>Индивидуальное задание в соответствии с выбранной темой исследования:</w:t>
      </w:r>
    </w:p>
    <w:p w14:paraId="27628823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Исследовать методы анализа социально-экономических проблем государства и методы выявления угроз и рисков развития в выбранной социальной или экономической сфере. Предложить варианты управленческих решений по совершенствованию системы государственного и муниципального управления в выбранной сфере, предложить систему стратегического, текущего и оперативного контроля предложенного(-ых) решения(-</w:t>
      </w:r>
      <w:proofErr w:type="spellStart"/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proofErr w:type="spellEnd"/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) с опорой на действующую нормативно-правовую базу.</w:t>
      </w:r>
    </w:p>
    <w:p w14:paraId="0A0D66C8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Заключение: </w:t>
      </w: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сделать выводы и предложения</w:t>
      </w: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14:paraId="3F2CC5BF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использованных источников (не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менее 15 позиций не старше 2020 </w:t>
      </w: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года): </w:t>
      </w: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Составить список литературы с использованием профессиональных баз данных и профессиональных Интернет-ресурсов.</w:t>
      </w:r>
      <w:r w:rsidRPr="00AF5B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14:paraId="33AB07FB" w14:textId="77777777" w:rsidR="00964275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5DE89F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Руководитель</w:t>
      </w:r>
    </w:p>
    <w:p w14:paraId="04B1FDB2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канд. полит</w:t>
      </w: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. наук, доцент кафедры ЭУ    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  ___________ Н.А. Царева</w:t>
      </w:r>
    </w:p>
    <w:p w14:paraId="3B5E58A7" w14:textId="77777777" w:rsidR="00964275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7BC0FB" w14:textId="77777777" w:rsidR="00964275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получил:   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                  «26» мая 2025 г.            ___________ Ю. В. Усова</w:t>
      </w:r>
    </w:p>
    <w:p w14:paraId="7FA72D81" w14:textId="77777777" w:rsidR="00964275" w:rsidRPr="00AF5BE8" w:rsidRDefault="00964275" w:rsidP="009642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89A347" w14:textId="77777777" w:rsidR="00964275" w:rsidRPr="00AF5BE8" w:rsidRDefault="00964275" w:rsidP="00964275">
      <w:pPr>
        <w:pStyle w:val="msonormaldop"/>
      </w:pPr>
      <w:r w:rsidRPr="00AF5BE8">
        <w:t>Задание согласовано</w:t>
      </w:r>
    </w:p>
    <w:p w14:paraId="12B27D00" w14:textId="77777777" w:rsidR="00692CFF" w:rsidRDefault="00964275" w:rsidP="00964275">
      <w:pPr>
        <w:pStyle w:val="msonormaldop"/>
      </w:pPr>
      <w:r>
        <w:t>Руководитель практики от организации,</w:t>
      </w:r>
      <w:r w:rsidRPr="00AF5BE8">
        <w:t xml:space="preserve">  </w:t>
      </w:r>
    </w:p>
    <w:p w14:paraId="7A49A68B" w14:textId="1BEF2644" w:rsidR="00964275" w:rsidRPr="00AF5BE8" w:rsidRDefault="00692CFF" w:rsidP="00964275">
      <w:pPr>
        <w:pStyle w:val="msonormaldop"/>
      </w:pPr>
      <w:r>
        <w:t>старший проектный менеджер ООО «ЭкспертГрупп»</w:t>
      </w:r>
      <w:r w:rsidR="00964275" w:rsidRPr="00AF5BE8">
        <w:t xml:space="preserve"> </w:t>
      </w:r>
      <w:r w:rsidR="00964275">
        <w:t xml:space="preserve"> ___________ </w:t>
      </w:r>
      <w:r>
        <w:t>А. Е. Шамова</w:t>
      </w:r>
    </w:p>
    <w:p w14:paraId="3E72F62F" w14:textId="1B33FA03" w:rsidR="00964275" w:rsidRDefault="00964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0B00BC" w14:textId="77777777" w:rsidR="0070709E" w:rsidRDefault="0070709E" w:rsidP="00707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0709E" w:rsidSect="00BF490C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pgNumType w:start="5"/>
          <w:cols w:space="708"/>
          <w:docGrid w:linePitch="360"/>
        </w:sectPr>
      </w:pPr>
    </w:p>
    <w:bookmarkEnd w:id="1"/>
    <w:p w14:paraId="5D8F60CC" w14:textId="2628398D" w:rsidR="00B057B7" w:rsidRPr="00AB1883" w:rsidRDefault="00BF490C" w:rsidP="00B057B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CB3141" wp14:editId="594D0955">
                <wp:simplePos x="0" y="0"/>
                <wp:positionH relativeFrom="column">
                  <wp:posOffset>5654040</wp:posOffset>
                </wp:positionH>
                <wp:positionV relativeFrom="paragraph">
                  <wp:posOffset>-609600</wp:posOffset>
                </wp:positionV>
                <wp:extent cx="762000" cy="457200"/>
                <wp:effectExtent l="0" t="0" r="19050" b="19050"/>
                <wp:wrapNone/>
                <wp:docPr id="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BB5CD35" id="Прямоугольник 1" o:spid="_x0000_s1026" style="position:absolute;margin-left:445.2pt;margin-top:-48pt;width:60pt;height:3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" fillcolor="white [3212]" strokecolor="white [3212]" strokeweight="1pt"/>
            </w:pict>
          </mc:Fallback>
        </mc:AlternateContent>
      </w:r>
      <w:r w:rsidR="00B057B7" w:rsidRPr="00AB1883">
        <w:rPr>
          <w:rFonts w:ascii="Times New Roman" w:eastAsia="Times New Roman" w:hAnsi="Times New Roman"/>
          <w:b/>
          <w:bCs/>
          <w:sz w:val="24"/>
          <w:szCs w:val="28"/>
        </w:rPr>
        <w:t>РАБОЧИЙ ГРАФИК (ПЛАН)</w:t>
      </w:r>
      <w:r w:rsidR="00B057B7">
        <w:rPr>
          <w:rFonts w:ascii="Times New Roman" w:eastAsia="Times New Roman" w:hAnsi="Times New Roman"/>
          <w:b/>
          <w:bCs/>
          <w:sz w:val="24"/>
          <w:szCs w:val="28"/>
        </w:rPr>
        <w:t xml:space="preserve"> ПРОВЕДЕНИЯ ПРАКТИКИ</w:t>
      </w:r>
    </w:p>
    <w:p w14:paraId="6081657F" w14:textId="77777777" w:rsidR="00B057B7" w:rsidRPr="00AB1883" w:rsidRDefault="00B057B7" w:rsidP="00B057B7">
      <w:pPr>
        <w:shd w:val="clear" w:color="auto" w:fill="FFFFFF"/>
        <w:tabs>
          <w:tab w:val="left" w:pos="6237"/>
        </w:tabs>
        <w:suppressAutoHyphens/>
        <w:spacing w:after="0" w:line="240" w:lineRule="auto"/>
        <w:ind w:left="780"/>
        <w:contextualSpacing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5F1FAED9" w14:textId="77777777" w:rsidR="00B057B7" w:rsidRPr="00C33D0A" w:rsidRDefault="00B057B7" w:rsidP="00B057B7">
      <w:pPr>
        <w:shd w:val="clear" w:color="auto" w:fill="FFFFFF"/>
        <w:tabs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Студент </w:t>
      </w:r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>Усова Юлия Витальевна</w:t>
      </w:r>
      <w:r>
        <w:rPr>
          <w:rFonts w:ascii="Times New Roman" w:eastAsia="SimSun" w:hAnsi="Times New Roman"/>
          <w:sz w:val="24"/>
          <w:szCs w:val="24"/>
          <w:lang w:eastAsia="zh-CN"/>
        </w:rPr>
        <w:t>___________________</w:t>
      </w:r>
    </w:p>
    <w:p w14:paraId="5D83A262" w14:textId="77777777" w:rsidR="00B057B7" w:rsidRPr="00AB1883" w:rsidRDefault="00B057B7" w:rsidP="00B057B7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 w:rsidRPr="00AB1883"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p w14:paraId="1DF9647E" w14:textId="77777777" w:rsidR="00B057B7" w:rsidRPr="00AB1883" w:rsidRDefault="00B057B7" w:rsidP="00B057B7">
      <w:pPr>
        <w:shd w:val="clear" w:color="auto" w:fill="FFFFFF"/>
        <w:tabs>
          <w:tab w:val="left" w:pos="3060"/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Кафедра </w:t>
      </w:r>
      <w:r w:rsidRPr="0004642F">
        <w:rPr>
          <w:rFonts w:ascii="Times New Roman" w:eastAsia="SimSun" w:hAnsi="Times New Roman"/>
          <w:sz w:val="24"/>
          <w:szCs w:val="24"/>
          <w:u w:val="single"/>
          <w:lang w:eastAsia="zh-CN"/>
        </w:rPr>
        <w:t>Экономики и управления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AB1883">
        <w:rPr>
          <w:rFonts w:ascii="Times New Roman" w:eastAsia="SimSun" w:hAnsi="Times New Roman"/>
          <w:sz w:val="24"/>
          <w:szCs w:val="24"/>
          <w:lang w:eastAsia="zh-CN"/>
        </w:rPr>
        <w:t xml:space="preserve">гр. 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D82E9F">
        <w:rPr>
          <w:rFonts w:ascii="Times New Roman" w:eastAsia="SimSun" w:hAnsi="Times New Roman"/>
          <w:sz w:val="24"/>
          <w:szCs w:val="24"/>
          <w:u w:val="single"/>
          <w:lang w:eastAsia="zh-CN"/>
        </w:rPr>
        <w:t>МГУ-25-УР1</w:t>
      </w:r>
    </w:p>
    <w:p w14:paraId="0390F5EB" w14:textId="77777777" w:rsidR="00B057B7" w:rsidRPr="00AB1883" w:rsidRDefault="00B057B7" w:rsidP="00B057B7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6B36D810" w14:textId="77777777" w:rsidR="00B057B7" w:rsidRPr="00AB1883" w:rsidRDefault="00B057B7" w:rsidP="00B057B7">
      <w:pPr>
        <w:shd w:val="clear" w:color="auto" w:fill="FFFFFF"/>
        <w:tabs>
          <w:tab w:val="left" w:pos="6237"/>
        </w:tabs>
        <w:suppressAutoHyphens/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</w:pPr>
      <w:r w:rsidRPr="00AB1883">
        <w:rPr>
          <w:rFonts w:ascii="Times New Roman" w:eastAsia="SimSun" w:hAnsi="Times New Roman"/>
          <w:sz w:val="24"/>
          <w:szCs w:val="24"/>
          <w:lang w:eastAsia="zh-CN"/>
        </w:rPr>
        <w:t>Руководитель практики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D82E9F">
        <w:rPr>
          <w:rFonts w:ascii="Times New Roman" w:eastAsia="SimSun" w:hAnsi="Times New Roman"/>
          <w:sz w:val="24"/>
          <w:szCs w:val="24"/>
          <w:u w:val="single"/>
          <w:lang w:eastAsia="zh-CN"/>
        </w:rPr>
        <w:t>Царева Наталья Александровна</w:t>
      </w:r>
    </w:p>
    <w:p w14:paraId="320BD7A6" w14:textId="77777777" w:rsidR="00B057B7" w:rsidRPr="00AB1883" w:rsidRDefault="00B057B7" w:rsidP="00B057B7">
      <w:pPr>
        <w:suppressAutoHyphens/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</w:p>
    <w:p w14:paraId="0B5CBC45" w14:textId="77777777" w:rsidR="00B057B7" w:rsidRPr="00AB1883" w:rsidRDefault="00B057B7" w:rsidP="00B057B7">
      <w:p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B1883">
        <w:rPr>
          <w:rFonts w:ascii="Times New Roman" w:hAnsi="Times New Roman"/>
          <w:color w:val="000000"/>
          <w:sz w:val="24"/>
          <w:szCs w:val="24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7FAF690C" w14:textId="77777777" w:rsidR="00B057B7" w:rsidRPr="003A3B9A" w:rsidRDefault="00B057B7" w:rsidP="00B057B7">
      <w:pPr>
        <w:suppressAutoHyphens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3A3B9A">
        <w:rPr>
          <w:rFonts w:ascii="Times New Roman" w:hAnsi="Times New Roman"/>
          <w:sz w:val="24"/>
          <w:szCs w:val="24"/>
        </w:rPr>
        <w:t>__________________________А. Е. Шамова</w:t>
      </w:r>
    </w:p>
    <w:p w14:paraId="075DE43A" w14:textId="77777777" w:rsidR="00B057B7" w:rsidRPr="003A3B9A" w:rsidRDefault="00B057B7" w:rsidP="00B057B7">
      <w:pPr>
        <w:suppressAutoHyphens/>
        <w:spacing w:after="0" w:line="240" w:lineRule="auto"/>
        <w:contextualSpacing/>
        <w:jc w:val="right"/>
        <w:rPr>
          <w:rFonts w:ascii="Times New Roman" w:hAnsi="Times New Roman"/>
          <w:sz w:val="18"/>
          <w:szCs w:val="18"/>
        </w:rPr>
      </w:pPr>
      <w:r w:rsidRPr="003A3B9A">
        <w:rPr>
          <w:rFonts w:ascii="Times New Roman" w:hAnsi="Times New Roman"/>
          <w:sz w:val="18"/>
          <w:szCs w:val="18"/>
        </w:rPr>
        <w:t>(подпись уполномоченного лица, МП)</w:t>
      </w:r>
    </w:p>
    <w:p w14:paraId="38094A15" w14:textId="77777777" w:rsidR="00B057B7" w:rsidRPr="00AB1883" w:rsidRDefault="00B057B7" w:rsidP="00B057B7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76BC645" w14:textId="77777777" w:rsidR="00B057B7" w:rsidRPr="00AB1883" w:rsidRDefault="00B057B7" w:rsidP="00B057B7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B1883">
        <w:rPr>
          <w:rFonts w:ascii="Times New Roman" w:hAnsi="Times New Roman"/>
          <w:color w:val="000000"/>
          <w:sz w:val="24"/>
          <w:szCs w:val="24"/>
        </w:rPr>
        <w:t>С правилами трудового распорядка ознакомлен__________________</w:t>
      </w:r>
    </w:p>
    <w:p w14:paraId="5CA21936" w14:textId="77777777" w:rsidR="00B057B7" w:rsidRPr="00AB1883" w:rsidRDefault="00B057B7" w:rsidP="00B057B7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AB1883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(подпись обучающегося)</w:t>
      </w:r>
    </w:p>
    <w:p w14:paraId="51AE05C8" w14:textId="77777777" w:rsidR="00B057B7" w:rsidRPr="00AB1883" w:rsidRDefault="00B057B7" w:rsidP="00B057B7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</w:rPr>
      </w:pPr>
    </w:p>
    <w:p w14:paraId="1C20A958" w14:textId="77777777" w:rsidR="00B057B7" w:rsidRPr="00AB1883" w:rsidRDefault="00B057B7" w:rsidP="00B057B7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973"/>
        <w:gridCol w:w="2305"/>
        <w:gridCol w:w="2305"/>
      </w:tblGrid>
      <w:tr w:rsidR="00B057B7" w:rsidRPr="00AB1883" w14:paraId="4E1EF848" w14:textId="77777777" w:rsidTr="00C81513">
        <w:trPr>
          <w:trHeight w:val="1000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D46B9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EF210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914E6" w14:textId="77777777" w:rsidR="00B057B7" w:rsidRPr="0099618A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38129" w14:textId="77777777" w:rsidR="00B057B7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B057B7" w:rsidRPr="00AB1883" w14:paraId="2F450568" w14:textId="77777777" w:rsidTr="00C81513">
        <w:trPr>
          <w:trHeight w:val="368"/>
        </w:trPr>
        <w:tc>
          <w:tcPr>
            <w:tcW w:w="1062" w:type="pct"/>
            <w:vMerge w:val="restart"/>
            <w:vAlign w:val="center"/>
          </w:tcPr>
          <w:p w14:paraId="1527BBB3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1544" w:type="pct"/>
            <w:vAlign w:val="center"/>
          </w:tcPr>
          <w:p w14:paraId="305877D4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Организационное собрание</w:t>
            </w:r>
          </w:p>
        </w:tc>
        <w:tc>
          <w:tcPr>
            <w:tcW w:w="1197" w:type="pct"/>
            <w:vAlign w:val="center"/>
          </w:tcPr>
          <w:p w14:paraId="4CF9C387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25.05.2026</w:t>
            </w:r>
          </w:p>
        </w:tc>
        <w:tc>
          <w:tcPr>
            <w:tcW w:w="1197" w:type="pct"/>
            <w:vAlign w:val="center"/>
          </w:tcPr>
          <w:p w14:paraId="24CEDEC6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B057B7" w:rsidRPr="00AB1883" w14:paraId="64EA5649" w14:textId="77777777" w:rsidTr="00C81513">
        <w:trPr>
          <w:trHeight w:val="413"/>
        </w:trPr>
        <w:tc>
          <w:tcPr>
            <w:tcW w:w="1062" w:type="pct"/>
            <w:vMerge/>
            <w:vAlign w:val="center"/>
          </w:tcPr>
          <w:p w14:paraId="05ED3875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pct"/>
            <w:vAlign w:val="center"/>
          </w:tcPr>
          <w:p w14:paraId="789B9387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Инструктаж по технике безопасности</w:t>
            </w:r>
          </w:p>
        </w:tc>
        <w:tc>
          <w:tcPr>
            <w:tcW w:w="1197" w:type="pct"/>
            <w:vAlign w:val="center"/>
          </w:tcPr>
          <w:p w14:paraId="037796A3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26.05.2026</w:t>
            </w:r>
          </w:p>
        </w:tc>
        <w:tc>
          <w:tcPr>
            <w:tcW w:w="1197" w:type="pct"/>
            <w:vAlign w:val="center"/>
          </w:tcPr>
          <w:p w14:paraId="1DDA909B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B057B7" w:rsidRPr="00AB1883" w14:paraId="51D43A7E" w14:textId="77777777" w:rsidTr="00C81513">
        <w:trPr>
          <w:trHeight w:val="878"/>
        </w:trPr>
        <w:tc>
          <w:tcPr>
            <w:tcW w:w="1062" w:type="pct"/>
            <w:vMerge w:val="restart"/>
            <w:vAlign w:val="center"/>
          </w:tcPr>
          <w:p w14:paraId="0CFD0F68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2. Практический</w:t>
            </w:r>
          </w:p>
        </w:tc>
        <w:tc>
          <w:tcPr>
            <w:tcW w:w="1544" w:type="pct"/>
            <w:vAlign w:val="center"/>
          </w:tcPr>
          <w:p w14:paraId="6344B6EF" w14:textId="77777777" w:rsidR="00B057B7" w:rsidRPr="0004642F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6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Провести анализ инструментов экономической политики с определением проблем в рамках области исследования</w:t>
            </w:r>
          </w:p>
        </w:tc>
        <w:tc>
          <w:tcPr>
            <w:tcW w:w="1197" w:type="pct"/>
            <w:vAlign w:val="center"/>
          </w:tcPr>
          <w:p w14:paraId="5E2AEAD4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27.05.2026-16.06.2026</w:t>
            </w:r>
          </w:p>
        </w:tc>
        <w:tc>
          <w:tcPr>
            <w:tcW w:w="1197" w:type="pct"/>
            <w:vAlign w:val="center"/>
          </w:tcPr>
          <w:p w14:paraId="2F7FB875" w14:textId="77777777" w:rsidR="00B057B7" w:rsidRPr="00AB1883" w:rsidRDefault="00B057B7" w:rsidP="00C81513">
            <w:pPr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B057B7" w:rsidRPr="00AB1883" w14:paraId="0A4B1E5D" w14:textId="77777777" w:rsidTr="00C81513">
        <w:trPr>
          <w:trHeight w:val="94"/>
        </w:trPr>
        <w:tc>
          <w:tcPr>
            <w:tcW w:w="1062" w:type="pct"/>
            <w:vMerge/>
            <w:vAlign w:val="center"/>
          </w:tcPr>
          <w:p w14:paraId="55D4D362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pct"/>
            <w:vAlign w:val="center"/>
          </w:tcPr>
          <w:p w14:paraId="60BE27BF" w14:textId="77777777" w:rsidR="00B057B7" w:rsidRPr="0004642F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6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Исследовать методы анализа социально-экономических проблем государства и методы выявления угроз и рисков развития в выбранной социальной или экономической сфере.</w:t>
            </w:r>
          </w:p>
        </w:tc>
        <w:tc>
          <w:tcPr>
            <w:tcW w:w="1197" w:type="pct"/>
            <w:vAlign w:val="center"/>
          </w:tcPr>
          <w:p w14:paraId="7A07BFB9" w14:textId="77777777" w:rsidR="00B057B7" w:rsidRPr="00AB1883" w:rsidRDefault="00B057B7" w:rsidP="00C81513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17.05.2026-26.06.2026</w:t>
            </w:r>
          </w:p>
        </w:tc>
        <w:tc>
          <w:tcPr>
            <w:tcW w:w="1197" w:type="pct"/>
            <w:vAlign w:val="center"/>
          </w:tcPr>
          <w:p w14:paraId="16530748" w14:textId="77777777" w:rsidR="00B057B7" w:rsidRPr="00AB1883" w:rsidRDefault="00B057B7" w:rsidP="00C81513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B057B7" w:rsidRPr="00AB1883" w14:paraId="71641FBD" w14:textId="77777777" w:rsidTr="00C81513">
        <w:trPr>
          <w:trHeight w:val="354"/>
        </w:trPr>
        <w:tc>
          <w:tcPr>
            <w:tcW w:w="1062" w:type="pct"/>
            <w:vMerge/>
            <w:vAlign w:val="center"/>
          </w:tcPr>
          <w:p w14:paraId="7ED89B04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4" w:type="pct"/>
            <w:vAlign w:val="center"/>
          </w:tcPr>
          <w:p w14:paraId="56BFE25C" w14:textId="77777777" w:rsidR="00B057B7" w:rsidRPr="0004642F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6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Предложить варианты управленческих решений по совершенствованию системы государственного и муниципального управления в выбранной сфере, предложить систему стратегического, текущего и оперативного контроля предложенного(-ых) решения(-</w:t>
            </w:r>
            <w:proofErr w:type="spellStart"/>
            <w:r w:rsidRPr="00046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ий</w:t>
            </w:r>
            <w:proofErr w:type="spellEnd"/>
            <w:r w:rsidRPr="000464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с опорой на действующую нормативно-правовую базу</w:t>
            </w:r>
          </w:p>
        </w:tc>
        <w:tc>
          <w:tcPr>
            <w:tcW w:w="1197" w:type="pct"/>
            <w:vAlign w:val="center"/>
          </w:tcPr>
          <w:p w14:paraId="1A5BD1A5" w14:textId="77777777" w:rsidR="00B057B7" w:rsidRPr="00AB1883" w:rsidRDefault="00B057B7" w:rsidP="00C81513">
            <w:pPr>
              <w:tabs>
                <w:tab w:val="num" w:pos="643"/>
              </w:tabs>
              <w:spacing w:after="0"/>
              <w:ind w:left="393" w:hanging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27.05.2026-15.07.2026</w:t>
            </w:r>
          </w:p>
        </w:tc>
        <w:tc>
          <w:tcPr>
            <w:tcW w:w="1197" w:type="pct"/>
            <w:vAlign w:val="center"/>
          </w:tcPr>
          <w:p w14:paraId="4F8661D6" w14:textId="77777777" w:rsidR="00B057B7" w:rsidRPr="00AB1883" w:rsidRDefault="00B057B7" w:rsidP="00C81513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  <w:tr w:rsidR="00B057B7" w:rsidRPr="00AB1883" w14:paraId="70061BFC" w14:textId="77777777" w:rsidTr="00C81513">
        <w:trPr>
          <w:trHeight w:val="354"/>
        </w:trPr>
        <w:tc>
          <w:tcPr>
            <w:tcW w:w="1062" w:type="pct"/>
            <w:vAlign w:val="center"/>
          </w:tcPr>
          <w:p w14:paraId="29227D10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3. Заключительный</w:t>
            </w:r>
          </w:p>
        </w:tc>
        <w:tc>
          <w:tcPr>
            <w:tcW w:w="1544" w:type="pct"/>
            <w:vAlign w:val="center"/>
          </w:tcPr>
          <w:p w14:paraId="2B249BC4" w14:textId="77777777" w:rsidR="00B057B7" w:rsidRPr="00AB1883" w:rsidRDefault="00B057B7" w:rsidP="00C8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1883">
              <w:rPr>
                <w:rFonts w:ascii="Times New Roman" w:hAnsi="Times New Roman"/>
                <w:sz w:val="20"/>
                <w:szCs w:val="20"/>
              </w:rPr>
              <w:t>Подготовка и сдача отчета</w:t>
            </w:r>
          </w:p>
        </w:tc>
        <w:tc>
          <w:tcPr>
            <w:tcW w:w="1197" w:type="pct"/>
            <w:vAlign w:val="center"/>
          </w:tcPr>
          <w:p w14:paraId="36787696" w14:textId="77777777" w:rsidR="00B057B7" w:rsidRPr="00AB1883" w:rsidRDefault="00B057B7" w:rsidP="00C81513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17.07.2026</w:t>
            </w:r>
          </w:p>
        </w:tc>
        <w:tc>
          <w:tcPr>
            <w:tcW w:w="1197" w:type="pct"/>
            <w:vAlign w:val="center"/>
          </w:tcPr>
          <w:p w14:paraId="466A1DCD" w14:textId="77777777" w:rsidR="00B057B7" w:rsidRPr="00AB1883" w:rsidRDefault="00B057B7" w:rsidP="00C81513">
            <w:pPr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Выполнено</w:t>
            </w:r>
          </w:p>
        </w:tc>
      </w:tr>
    </w:tbl>
    <w:p w14:paraId="356C7C92" w14:textId="77777777" w:rsidR="00B057B7" w:rsidRPr="00AB1883" w:rsidRDefault="00B057B7" w:rsidP="00B057B7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DF3C7C8" w14:textId="77777777" w:rsidR="00B057B7" w:rsidRPr="00AB1883" w:rsidRDefault="00B057B7" w:rsidP="00B057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883">
        <w:rPr>
          <w:rFonts w:ascii="Times New Roman" w:hAnsi="Times New Roman"/>
          <w:sz w:val="24"/>
          <w:szCs w:val="24"/>
        </w:rPr>
        <w:t>Руководитель практики</w:t>
      </w:r>
    </w:p>
    <w:p w14:paraId="2C43F5DC" w14:textId="77777777" w:rsidR="00B057B7" w:rsidRPr="00AF5BE8" w:rsidRDefault="00B057B7" w:rsidP="00B057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канд. полит</w:t>
      </w:r>
      <w:r w:rsidRPr="00AF5BE8">
        <w:rPr>
          <w:rFonts w:ascii="Times New Roman" w:eastAsia="Times New Roman" w:hAnsi="Times New Roman"/>
          <w:sz w:val="24"/>
          <w:szCs w:val="24"/>
          <w:lang w:eastAsia="ru-RU"/>
        </w:rPr>
        <w:t>. наук, доцент кафедры ЭУ    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  ___________ Н.А. Царева</w:t>
      </w:r>
    </w:p>
    <w:p w14:paraId="463BC739" w14:textId="77777777" w:rsidR="00B057B7" w:rsidRPr="00AB1883" w:rsidRDefault="00B057B7" w:rsidP="00B057B7">
      <w:pPr>
        <w:spacing w:line="240" w:lineRule="auto"/>
        <w:rPr>
          <w:rFonts w:ascii="Times New Roman" w:hAnsi="Times New Roman"/>
          <w:sz w:val="24"/>
        </w:rPr>
      </w:pPr>
    </w:p>
    <w:p w14:paraId="7E56A86D" w14:textId="773F2EAB" w:rsidR="00B057B7" w:rsidRPr="00035C0A" w:rsidRDefault="00B057B7" w:rsidP="00B057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035C0A">
        <w:rPr>
          <w:rFonts w:ascii="Times New Roman" w:hAnsi="Times New Roman"/>
          <w:color w:val="000000"/>
          <w:sz w:val="24"/>
          <w:szCs w:val="24"/>
        </w:rPr>
        <w:t>Руководитель</w:t>
      </w:r>
      <w:r>
        <w:rPr>
          <w:rFonts w:ascii="Times New Roman" w:hAnsi="Times New Roman"/>
          <w:color w:val="000000"/>
          <w:sz w:val="24"/>
          <w:szCs w:val="24"/>
        </w:rPr>
        <w:t xml:space="preserve"> практики от предприятия     </w:t>
      </w:r>
      <w:r w:rsidR="00692CFF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___________</w:t>
      </w:r>
      <w:r w:rsidR="00692CFF">
        <w:rPr>
          <w:rFonts w:ascii="Times New Roman" w:hAnsi="Times New Roman"/>
          <w:sz w:val="24"/>
        </w:rPr>
        <w:t>А.Е. Шамова</w:t>
      </w:r>
    </w:p>
    <w:p w14:paraId="4152214F" w14:textId="3519EF42" w:rsidR="00235049" w:rsidRDefault="00692CFF" w:rsidP="00B1754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92CFF">
        <w:rPr>
          <w:rFonts w:ascii="Times New Roman" w:hAnsi="Times New Roman"/>
          <w:sz w:val="24"/>
        </w:rPr>
        <w:t>старший проектный менеджер ООО «ЭкспертГрупп»</w:t>
      </w:r>
    </w:p>
    <w:p w14:paraId="15E7BF2A" w14:textId="58F5EAD0" w:rsidR="00235049" w:rsidRDefault="00235049">
      <w:pPr>
        <w:rPr>
          <w:rFonts w:ascii="Times New Roman" w:hAnsi="Times New Roman"/>
          <w:sz w:val="24"/>
        </w:rPr>
      </w:pPr>
    </w:p>
    <w:p w14:paraId="36AA0D58" w14:textId="101AB4D7" w:rsidR="00B3698A" w:rsidRDefault="000D18CC" w:rsidP="00B3698A">
      <w:pPr>
        <w:spacing w:after="240"/>
        <w:jc w:val="center"/>
        <w:rPr>
          <w:rFonts w:ascii="Arial" w:eastAsia="Arial" w:hAnsi="Arial" w:cs="Arial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6D3069" wp14:editId="23EE075A">
                <wp:simplePos x="0" y="0"/>
                <wp:positionH relativeFrom="page">
                  <wp:posOffset>6309360</wp:posOffset>
                </wp:positionH>
                <wp:positionV relativeFrom="page">
                  <wp:posOffset>160020</wp:posOffset>
                </wp:positionV>
                <wp:extent cx="1188720" cy="426720"/>
                <wp:effectExtent l="0" t="0" r="11430" b="11430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6DD625E" id="Прямоугольник 3" o:spid="_x0000_s1026" style="position:absolute;margin-left:496.8pt;margin-top:12.6pt;width:93.6pt;height:33.6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" fillcolor="window" strokecolor="window" strokeweight="1pt">
                <w10:wrap anchorx="page" anchory="page"/>
              </v:rect>
            </w:pict>
          </mc:Fallback>
        </mc:AlternateContent>
      </w:r>
      <w:r w:rsidR="00B3698A" w:rsidRPr="00AC3A5D">
        <w:rPr>
          <w:rFonts w:ascii="Arial" w:eastAsia="Arial" w:hAnsi="Arial" w:cs="Arial"/>
          <w:color w:val="000000" w:themeColor="text1"/>
          <w:sz w:val="28"/>
          <w:lang w:eastAsia="ru-RU"/>
        </w:rPr>
        <w:t>Содержание</w:t>
      </w:r>
    </w:p>
    <w:p w14:paraId="34CEAB22" w14:textId="77777777" w:rsidR="00B3698A" w:rsidRPr="00C634F0" w:rsidRDefault="00B3698A" w:rsidP="00B3698A">
      <w:pPr>
        <w:tabs>
          <w:tab w:val="right" w:leader="dot" w:pos="9781"/>
        </w:tabs>
        <w:spacing w:line="360" w:lineRule="auto"/>
        <w:ind w:right="49" w:firstLine="181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C634F0">
        <w:rPr>
          <w:rFonts w:ascii="Times New Roman" w:eastAsia="Calibri" w:hAnsi="Times New Roman" w:cs="Times New Roman"/>
          <w:sz w:val="28"/>
          <w:szCs w:val="32"/>
        </w:rPr>
        <w:t>Введение</w:t>
      </w:r>
      <w:r w:rsidRPr="00C634F0">
        <w:rPr>
          <w:rFonts w:ascii="Times New Roman" w:eastAsia="Calibri" w:hAnsi="Times New Roman" w:cs="Times New Roman"/>
          <w:sz w:val="28"/>
          <w:szCs w:val="32"/>
        </w:rPr>
        <w:tab/>
        <w:t>3</w:t>
      </w:r>
    </w:p>
    <w:p w14:paraId="7787F9BC" w14:textId="3D189FEF" w:rsidR="00B3698A" w:rsidRPr="00C634F0" w:rsidRDefault="00B3698A" w:rsidP="00697359">
      <w:pPr>
        <w:tabs>
          <w:tab w:val="right" w:leader="dot" w:pos="9781"/>
        </w:tabs>
        <w:spacing w:line="252" w:lineRule="auto"/>
        <w:ind w:left="284" w:right="49" w:hanging="284"/>
        <w:jc w:val="both"/>
        <w:rPr>
          <w:rFonts w:ascii="Times New Roman" w:eastAsia="Calibri" w:hAnsi="Times New Roman" w:cs="Times New Roman"/>
          <w:sz w:val="28"/>
          <w:szCs w:val="32"/>
        </w:rPr>
      </w:pPr>
      <w:bookmarkStart w:id="3" w:name="_Hlk187675635"/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1 Актуальность и теоретико-методологические основы исследования процессов </w:t>
      </w:r>
      <w:r w:rsidRPr="00C634F0">
        <w:rPr>
          <w:rFonts w:ascii="Times New Roman" w:eastAsia="Calibri" w:hAnsi="Times New Roman" w:cs="Times New Roman"/>
          <w:sz w:val="28"/>
          <w:szCs w:val="32"/>
        </w:rPr>
        <w:br/>
        <w:t>трансграничного экономического сотрудничества</w:t>
      </w:r>
      <w:r w:rsidR="00892F36" w:rsidRPr="00C634F0">
        <w:rPr>
          <w:rFonts w:ascii="Times New Roman" w:eastAsia="Calibri" w:hAnsi="Times New Roman" w:cs="Times New Roman"/>
          <w:sz w:val="28"/>
          <w:szCs w:val="32"/>
        </w:rPr>
        <w:tab/>
      </w:r>
      <w:r w:rsidR="00142978">
        <w:rPr>
          <w:rFonts w:ascii="Times New Roman" w:eastAsia="Calibri" w:hAnsi="Times New Roman" w:cs="Times New Roman"/>
          <w:sz w:val="28"/>
          <w:szCs w:val="32"/>
        </w:rPr>
        <w:t>5</w:t>
      </w:r>
    </w:p>
    <w:p w14:paraId="36849EF4" w14:textId="2B5E1900" w:rsidR="00B3698A" w:rsidRPr="00C634F0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bookmarkStart w:id="4" w:name="_Hlk187675722"/>
      <w:bookmarkStart w:id="5" w:name="_Hlk187677576"/>
      <w:bookmarkEnd w:id="3"/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 xml:space="preserve">1.1 </w:t>
      </w:r>
      <w:bookmarkStart w:id="6" w:name="_Hlk219921430"/>
      <w:r w:rsidRPr="00697359">
        <w:rPr>
          <w:rFonts w:ascii="Times New Roman" w:eastAsia="Calibri" w:hAnsi="Times New Roman" w:cs="Times New Roman"/>
          <w:sz w:val="28"/>
          <w:szCs w:val="32"/>
        </w:rPr>
        <w:t>Обоснование</w:t>
      </w:r>
      <w:bookmarkEnd w:id="6"/>
      <w:r w:rsidR="005B638C" w:rsidRPr="005B638C">
        <w:t xml:space="preserve"> </w:t>
      </w:r>
      <w:r w:rsidR="005B638C" w:rsidRPr="005B638C">
        <w:rPr>
          <w:rFonts w:ascii="Times New Roman" w:eastAsia="Calibri" w:hAnsi="Times New Roman" w:cs="Times New Roman"/>
          <w:sz w:val="28"/>
          <w:szCs w:val="32"/>
        </w:rPr>
        <w:t xml:space="preserve">актуальности исследования через апробацию </w:t>
      </w:r>
      <w:r w:rsidR="005B638C">
        <w:rPr>
          <w:rFonts w:ascii="Times New Roman" w:eastAsia="Calibri" w:hAnsi="Times New Roman" w:cs="Times New Roman"/>
          <w:sz w:val="28"/>
          <w:szCs w:val="32"/>
        </w:rPr>
        <w:br/>
      </w:r>
      <w:r w:rsidR="005B638C" w:rsidRPr="005B638C">
        <w:rPr>
          <w:rFonts w:ascii="Times New Roman" w:eastAsia="Calibri" w:hAnsi="Times New Roman" w:cs="Times New Roman"/>
          <w:sz w:val="28"/>
          <w:szCs w:val="32"/>
        </w:rPr>
        <w:t>существующих научных и практических разработок</w:t>
      </w: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ab/>
      </w:r>
      <w:r w:rsidR="00142978">
        <w:rPr>
          <w:rFonts w:ascii="Times New Roman" w:eastAsia="Calibri" w:hAnsi="Times New Roman" w:cs="Times New Roman"/>
          <w:spacing w:val="-4"/>
          <w:sz w:val="28"/>
          <w:szCs w:val="32"/>
        </w:rPr>
        <w:t>5</w:t>
      </w:r>
    </w:p>
    <w:p w14:paraId="18D2C1A6" w14:textId="6FD04EDE" w:rsidR="00B3698A" w:rsidRPr="00C634F0" w:rsidRDefault="00B3698A" w:rsidP="00B3698A">
      <w:pPr>
        <w:tabs>
          <w:tab w:val="right" w:leader="dot" w:pos="9781"/>
        </w:tabs>
        <w:spacing w:before="120"/>
        <w:ind w:left="709" w:right="49"/>
        <w:rPr>
          <w:rFonts w:ascii="Times New Roman" w:eastAsia="Calibri" w:hAnsi="Times New Roman" w:cs="Times New Roman"/>
          <w:sz w:val="28"/>
          <w:szCs w:val="32"/>
        </w:rPr>
      </w:pPr>
      <w:bookmarkStart w:id="7" w:name="_Hlk187675316"/>
      <w:bookmarkEnd w:id="4"/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1.2 </w:t>
      </w:r>
      <w:r w:rsidRPr="00697359">
        <w:rPr>
          <w:rFonts w:ascii="Times New Roman" w:eastAsia="Calibri" w:hAnsi="Times New Roman" w:cs="Times New Roman"/>
          <w:sz w:val="28"/>
          <w:szCs w:val="32"/>
        </w:rPr>
        <w:t xml:space="preserve">Теоретические подходы и методологические основы анализа </w:t>
      </w:r>
      <w:r w:rsidR="00697359">
        <w:rPr>
          <w:rFonts w:ascii="Times New Roman" w:eastAsia="Calibri" w:hAnsi="Times New Roman" w:cs="Times New Roman"/>
          <w:sz w:val="28"/>
          <w:szCs w:val="32"/>
        </w:rPr>
        <w:br/>
        <w:t xml:space="preserve">       </w:t>
      </w:r>
      <w:r w:rsidRPr="00697359">
        <w:rPr>
          <w:rFonts w:ascii="Times New Roman" w:eastAsia="Calibri" w:hAnsi="Times New Roman" w:cs="Times New Roman"/>
          <w:sz w:val="28"/>
          <w:szCs w:val="32"/>
        </w:rPr>
        <w:t>трансграничных связей</w:t>
      </w:r>
      <w:r w:rsidRPr="00C634F0">
        <w:rPr>
          <w:rFonts w:ascii="Times New Roman" w:eastAsia="Calibri" w:hAnsi="Times New Roman" w:cs="Times New Roman"/>
          <w:sz w:val="28"/>
          <w:szCs w:val="32"/>
        </w:rPr>
        <w:tab/>
      </w:r>
      <w:r w:rsidR="00142978">
        <w:rPr>
          <w:rFonts w:ascii="Times New Roman" w:eastAsia="Calibri" w:hAnsi="Times New Roman" w:cs="Times New Roman"/>
          <w:sz w:val="28"/>
          <w:szCs w:val="32"/>
        </w:rPr>
        <w:t>7</w:t>
      </w:r>
    </w:p>
    <w:p w14:paraId="685BA9F6" w14:textId="1EECD898" w:rsidR="00B3698A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z w:val="28"/>
          <w:szCs w:val="32"/>
        </w:rPr>
      </w:pPr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1.3 </w:t>
      </w:r>
      <w:r w:rsidR="005B638C" w:rsidRPr="005B638C">
        <w:rPr>
          <w:rFonts w:ascii="Times New Roman" w:eastAsia="Calibri" w:hAnsi="Times New Roman" w:cs="Times New Roman"/>
          <w:sz w:val="28"/>
          <w:szCs w:val="32"/>
        </w:rPr>
        <w:t>Нормативно-правовое обеспечение и институциональные условия трансграничного сотрудничества в ДФО</w:t>
      </w:r>
      <w:r w:rsidRPr="00C634F0">
        <w:rPr>
          <w:rFonts w:ascii="Times New Roman" w:eastAsia="Calibri" w:hAnsi="Times New Roman" w:cs="Times New Roman"/>
          <w:sz w:val="28"/>
          <w:szCs w:val="32"/>
        </w:rPr>
        <w:tab/>
      </w:r>
      <w:r w:rsidR="00142978">
        <w:rPr>
          <w:rFonts w:ascii="Times New Roman" w:eastAsia="Calibri" w:hAnsi="Times New Roman" w:cs="Times New Roman"/>
          <w:sz w:val="28"/>
          <w:szCs w:val="32"/>
        </w:rPr>
        <w:t>8</w:t>
      </w:r>
    </w:p>
    <w:p w14:paraId="3FA77BA9" w14:textId="20812366" w:rsidR="005B638C" w:rsidRPr="00C634F0" w:rsidRDefault="005B638C" w:rsidP="005B638C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1.4</w:t>
      </w:r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Pr="005B638C">
        <w:rPr>
          <w:rFonts w:ascii="Times New Roman" w:eastAsia="Calibri" w:hAnsi="Times New Roman" w:cs="Times New Roman"/>
          <w:sz w:val="28"/>
          <w:szCs w:val="32"/>
        </w:rPr>
        <w:t>Характеристика базы практики и роль ООО «</w:t>
      </w:r>
      <w:proofErr w:type="spellStart"/>
      <w:r w:rsidRPr="005B638C">
        <w:rPr>
          <w:rFonts w:ascii="Times New Roman" w:eastAsia="Calibri" w:hAnsi="Times New Roman" w:cs="Times New Roman"/>
          <w:sz w:val="28"/>
          <w:szCs w:val="32"/>
        </w:rPr>
        <w:t>ЭкспертГрупп</w:t>
      </w:r>
      <w:proofErr w:type="spellEnd"/>
      <w:r w:rsidRPr="005B638C">
        <w:rPr>
          <w:rFonts w:ascii="Times New Roman" w:eastAsia="Calibri" w:hAnsi="Times New Roman" w:cs="Times New Roman"/>
          <w:sz w:val="28"/>
          <w:szCs w:val="32"/>
        </w:rPr>
        <w:t xml:space="preserve">» в </w:t>
      </w:r>
      <w:r>
        <w:rPr>
          <w:rFonts w:ascii="Times New Roman" w:eastAsia="Calibri" w:hAnsi="Times New Roman" w:cs="Times New Roman"/>
          <w:sz w:val="28"/>
          <w:szCs w:val="32"/>
        </w:rPr>
        <w:br/>
      </w:r>
      <w:r w:rsidRPr="005B638C">
        <w:rPr>
          <w:rFonts w:ascii="Times New Roman" w:eastAsia="Calibri" w:hAnsi="Times New Roman" w:cs="Times New Roman"/>
          <w:sz w:val="28"/>
          <w:szCs w:val="32"/>
        </w:rPr>
        <w:t>информационном сопровождении трансграничных проектов</w:t>
      </w:r>
      <w:r w:rsidRPr="00C634F0">
        <w:rPr>
          <w:rFonts w:ascii="Times New Roman" w:eastAsia="Calibri" w:hAnsi="Times New Roman" w:cs="Times New Roman"/>
          <w:sz w:val="28"/>
          <w:szCs w:val="32"/>
        </w:rPr>
        <w:tab/>
      </w:r>
      <w:r w:rsidR="00142978">
        <w:rPr>
          <w:rFonts w:ascii="Times New Roman" w:eastAsia="Calibri" w:hAnsi="Times New Roman" w:cs="Times New Roman"/>
          <w:sz w:val="28"/>
          <w:szCs w:val="32"/>
        </w:rPr>
        <w:t>11</w:t>
      </w:r>
    </w:p>
    <w:p w14:paraId="1F942619" w14:textId="1D8FAC49" w:rsidR="00B3698A" w:rsidRPr="00C634F0" w:rsidRDefault="00B3698A" w:rsidP="00B3698A">
      <w:pPr>
        <w:tabs>
          <w:tab w:val="right" w:leader="dot" w:pos="9781"/>
        </w:tabs>
        <w:spacing w:before="120"/>
        <w:ind w:left="284" w:right="49" w:hanging="284"/>
        <w:rPr>
          <w:rFonts w:ascii="Times New Roman" w:eastAsia="Calibri" w:hAnsi="Times New Roman" w:cs="Times New Roman"/>
          <w:sz w:val="28"/>
          <w:szCs w:val="32"/>
        </w:rPr>
      </w:pPr>
      <w:bookmarkStart w:id="8" w:name="_Hlk187676093"/>
      <w:bookmarkStart w:id="9" w:name="_Hlk187674057"/>
      <w:bookmarkEnd w:id="5"/>
      <w:bookmarkEnd w:id="7"/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2 </w:t>
      </w:r>
      <w:r w:rsidR="00151A09" w:rsidRPr="00C634F0">
        <w:rPr>
          <w:rFonts w:ascii="Times New Roman" w:eastAsia="Calibri" w:hAnsi="Times New Roman" w:cs="Times New Roman"/>
          <w:sz w:val="28"/>
          <w:szCs w:val="32"/>
        </w:rPr>
        <w:t xml:space="preserve">Анализ мер поддержки и методов оценки влияния трансграничного </w:t>
      </w:r>
      <w:r w:rsidR="00697359">
        <w:rPr>
          <w:rFonts w:ascii="Times New Roman" w:eastAsia="Calibri" w:hAnsi="Times New Roman" w:cs="Times New Roman"/>
          <w:sz w:val="28"/>
          <w:szCs w:val="32"/>
        </w:rPr>
        <w:br/>
      </w:r>
      <w:r w:rsidR="00151A09" w:rsidRPr="00C634F0">
        <w:rPr>
          <w:rFonts w:ascii="Times New Roman" w:eastAsia="Calibri" w:hAnsi="Times New Roman" w:cs="Times New Roman"/>
          <w:sz w:val="28"/>
          <w:szCs w:val="32"/>
        </w:rPr>
        <w:t>сотрудничества на экономику субъектов ДФО</w:t>
      </w:r>
      <w:r w:rsidRPr="00C634F0">
        <w:rPr>
          <w:rFonts w:ascii="Times New Roman" w:eastAsia="Calibri" w:hAnsi="Times New Roman" w:cs="Times New Roman"/>
          <w:sz w:val="28"/>
          <w:szCs w:val="32"/>
        </w:rPr>
        <w:tab/>
        <w:t>1</w:t>
      </w:r>
      <w:r w:rsidR="00142978">
        <w:rPr>
          <w:rFonts w:ascii="Times New Roman" w:eastAsia="Calibri" w:hAnsi="Times New Roman" w:cs="Times New Roman"/>
          <w:sz w:val="28"/>
          <w:szCs w:val="32"/>
        </w:rPr>
        <w:t>4</w:t>
      </w:r>
    </w:p>
    <w:bookmarkEnd w:id="8"/>
    <w:p w14:paraId="11865DDC" w14:textId="2F41FDF3" w:rsidR="00B3698A" w:rsidRPr="00C634F0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 xml:space="preserve">2.1 </w:t>
      </w:r>
      <w:r w:rsidR="005B638C" w:rsidRPr="005B638C">
        <w:rPr>
          <w:rFonts w:ascii="Times New Roman" w:eastAsia="Calibri" w:hAnsi="Times New Roman" w:cs="Times New Roman"/>
          <w:sz w:val="28"/>
          <w:szCs w:val="32"/>
        </w:rPr>
        <w:t>Ключевые проекты трансграничного сотрудничества и их влияние на экономику субъектов ДФО</w:t>
      </w: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ab/>
        <w:t>1</w:t>
      </w:r>
      <w:r w:rsidR="00142978">
        <w:rPr>
          <w:rFonts w:ascii="Times New Roman" w:eastAsia="Calibri" w:hAnsi="Times New Roman" w:cs="Times New Roman"/>
          <w:spacing w:val="-4"/>
          <w:sz w:val="28"/>
          <w:szCs w:val="32"/>
        </w:rPr>
        <w:t>4</w:t>
      </w:r>
    </w:p>
    <w:p w14:paraId="6ACB6D0D" w14:textId="77B6AEE9" w:rsidR="00B3698A" w:rsidRPr="00C634F0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 xml:space="preserve">2.2 </w:t>
      </w:r>
      <w:r w:rsidR="005B638C" w:rsidRPr="005B638C">
        <w:rPr>
          <w:rFonts w:ascii="Times New Roman" w:eastAsia="Calibri" w:hAnsi="Times New Roman" w:cs="Times New Roman"/>
          <w:spacing w:val="-4"/>
          <w:sz w:val="28"/>
          <w:szCs w:val="32"/>
        </w:rPr>
        <w:t>Методы социально-экономического анализа в выбранной сфере</w:t>
      </w: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ab/>
      </w:r>
      <w:r w:rsidR="00345C93"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>1</w:t>
      </w:r>
      <w:r w:rsidR="00142978">
        <w:rPr>
          <w:rFonts w:ascii="Times New Roman" w:eastAsia="Calibri" w:hAnsi="Times New Roman" w:cs="Times New Roman"/>
          <w:spacing w:val="-4"/>
          <w:sz w:val="28"/>
          <w:szCs w:val="32"/>
        </w:rPr>
        <w:t>6</w:t>
      </w:r>
    </w:p>
    <w:p w14:paraId="19238B67" w14:textId="06BCA325" w:rsidR="00B3698A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 xml:space="preserve">2.3 </w:t>
      </w:r>
      <w:r w:rsidR="005B638C" w:rsidRPr="005B638C">
        <w:rPr>
          <w:rFonts w:ascii="Times New Roman" w:eastAsia="Calibri" w:hAnsi="Times New Roman" w:cs="Times New Roman"/>
          <w:spacing w:val="-4"/>
          <w:sz w:val="28"/>
          <w:szCs w:val="32"/>
        </w:rPr>
        <w:t>Региональные меры поддержки и инфраструктурные инициативы для развития трансграничных связей</w:t>
      </w: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ab/>
      </w:r>
      <w:r w:rsidR="00345C93"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>1</w:t>
      </w:r>
      <w:r w:rsidR="00142978">
        <w:rPr>
          <w:rFonts w:ascii="Times New Roman" w:eastAsia="Calibri" w:hAnsi="Times New Roman" w:cs="Times New Roman"/>
          <w:spacing w:val="-4"/>
          <w:sz w:val="28"/>
          <w:szCs w:val="32"/>
        </w:rPr>
        <w:t>7</w:t>
      </w:r>
    </w:p>
    <w:p w14:paraId="647FE610" w14:textId="202CBD3E" w:rsidR="005B638C" w:rsidRPr="00C634F0" w:rsidRDefault="005B638C" w:rsidP="005B638C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r>
        <w:rPr>
          <w:rFonts w:ascii="Times New Roman" w:eastAsia="Calibri" w:hAnsi="Times New Roman" w:cs="Times New Roman"/>
          <w:spacing w:val="-4"/>
          <w:sz w:val="28"/>
          <w:szCs w:val="32"/>
        </w:rPr>
        <w:t>2.4</w:t>
      </w: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 xml:space="preserve"> </w:t>
      </w:r>
      <w:r w:rsidRPr="005B638C">
        <w:rPr>
          <w:rFonts w:ascii="Times New Roman" w:eastAsia="Calibri" w:hAnsi="Times New Roman" w:cs="Times New Roman"/>
          <w:spacing w:val="-4"/>
          <w:sz w:val="28"/>
          <w:szCs w:val="32"/>
        </w:rPr>
        <w:t>Методы оценки эффективности реализуемых проектов и инициатив</w:t>
      </w: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ab/>
        <w:t>1</w:t>
      </w:r>
      <w:r w:rsidR="00142978">
        <w:rPr>
          <w:rFonts w:ascii="Times New Roman" w:eastAsia="Calibri" w:hAnsi="Times New Roman" w:cs="Times New Roman"/>
          <w:spacing w:val="-4"/>
          <w:sz w:val="28"/>
          <w:szCs w:val="32"/>
        </w:rPr>
        <w:t>9</w:t>
      </w:r>
    </w:p>
    <w:p w14:paraId="03A7B5AE" w14:textId="69C304A8" w:rsidR="00B3698A" w:rsidRPr="00C634F0" w:rsidRDefault="00B3698A" w:rsidP="00B3698A">
      <w:pPr>
        <w:tabs>
          <w:tab w:val="right" w:leader="dot" w:pos="9781"/>
        </w:tabs>
        <w:spacing w:before="120"/>
        <w:ind w:left="284" w:right="49" w:hanging="284"/>
        <w:rPr>
          <w:rFonts w:ascii="Times New Roman" w:eastAsia="Calibri" w:hAnsi="Times New Roman" w:cs="Times New Roman"/>
          <w:sz w:val="28"/>
          <w:szCs w:val="32"/>
        </w:rPr>
      </w:pPr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3 </w:t>
      </w:r>
      <w:r w:rsidR="00151A09" w:rsidRPr="00697359">
        <w:rPr>
          <w:rFonts w:ascii="Times New Roman" w:eastAsia="Calibri" w:hAnsi="Times New Roman" w:cs="Times New Roman"/>
          <w:sz w:val="28"/>
          <w:szCs w:val="32"/>
        </w:rPr>
        <w:t xml:space="preserve">Предложения по совершенствованию системы управления и развития </w:t>
      </w:r>
      <w:r w:rsidR="00697359">
        <w:rPr>
          <w:rFonts w:ascii="Times New Roman" w:eastAsia="Calibri" w:hAnsi="Times New Roman" w:cs="Times New Roman"/>
          <w:sz w:val="28"/>
          <w:szCs w:val="32"/>
        </w:rPr>
        <w:br/>
      </w:r>
      <w:r w:rsidR="00151A09" w:rsidRPr="00697359">
        <w:rPr>
          <w:rFonts w:ascii="Times New Roman" w:eastAsia="Calibri" w:hAnsi="Times New Roman" w:cs="Times New Roman"/>
          <w:sz w:val="28"/>
          <w:szCs w:val="32"/>
        </w:rPr>
        <w:t>трансграничных связей</w:t>
      </w:r>
      <w:r w:rsidR="00142978">
        <w:rPr>
          <w:rFonts w:ascii="Times New Roman" w:eastAsia="Calibri" w:hAnsi="Times New Roman" w:cs="Times New Roman"/>
          <w:sz w:val="28"/>
          <w:szCs w:val="32"/>
        </w:rPr>
        <w:tab/>
        <w:t>22</w:t>
      </w:r>
    </w:p>
    <w:p w14:paraId="53F17DB8" w14:textId="22B621A2" w:rsidR="00B3698A" w:rsidRPr="00C634F0" w:rsidRDefault="00B3698A" w:rsidP="00892F36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r w:rsidRPr="00C634F0">
        <w:rPr>
          <w:rFonts w:ascii="Times New Roman" w:eastAsia="Calibri" w:hAnsi="Times New Roman" w:cs="Times New Roman"/>
          <w:spacing w:val="-4"/>
          <w:sz w:val="28"/>
          <w:szCs w:val="32"/>
        </w:rPr>
        <w:t xml:space="preserve">3.1 </w:t>
      </w:r>
      <w:r w:rsidR="00566936" w:rsidRPr="00566936">
        <w:rPr>
          <w:rFonts w:ascii="Times New Roman" w:eastAsia="Calibri" w:hAnsi="Times New Roman" w:cs="Times New Roman"/>
          <w:spacing w:val="-4"/>
          <w:sz w:val="28"/>
          <w:szCs w:val="32"/>
        </w:rPr>
        <w:t>Варианты управленческих решений для повышения эффективности межрегиональных взаимодействий</w:t>
      </w:r>
      <w:r w:rsidR="00142978">
        <w:rPr>
          <w:rFonts w:ascii="Times New Roman" w:eastAsia="Calibri" w:hAnsi="Times New Roman" w:cs="Times New Roman"/>
          <w:spacing w:val="-4"/>
          <w:sz w:val="28"/>
          <w:szCs w:val="32"/>
        </w:rPr>
        <w:tab/>
        <w:t>22</w:t>
      </w:r>
    </w:p>
    <w:p w14:paraId="7160029A" w14:textId="28CEADC3" w:rsidR="00B3698A" w:rsidRPr="00C634F0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-4"/>
          <w:sz w:val="28"/>
          <w:szCs w:val="32"/>
        </w:rPr>
      </w:pPr>
      <w:r w:rsidRPr="00C634F0">
        <w:rPr>
          <w:rFonts w:ascii="Times New Roman" w:eastAsia="Calibri" w:hAnsi="Times New Roman" w:cs="Times New Roman"/>
          <w:sz w:val="28"/>
          <w:szCs w:val="32"/>
        </w:rPr>
        <w:t>3.</w:t>
      </w:r>
      <w:r w:rsidR="00892F36" w:rsidRPr="00C634F0">
        <w:rPr>
          <w:rFonts w:ascii="Times New Roman" w:eastAsia="Calibri" w:hAnsi="Times New Roman" w:cs="Times New Roman"/>
          <w:sz w:val="28"/>
          <w:szCs w:val="32"/>
        </w:rPr>
        <w:t>2</w:t>
      </w:r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566936" w:rsidRPr="00566936">
        <w:rPr>
          <w:rFonts w:ascii="Times New Roman" w:eastAsia="Calibri" w:hAnsi="Times New Roman" w:cs="Times New Roman"/>
          <w:spacing w:val="-4"/>
          <w:sz w:val="28"/>
          <w:szCs w:val="32"/>
        </w:rPr>
        <w:t>Стратегические приоритеты государственной поддержки</w:t>
      </w:r>
      <w:r w:rsidR="00500D49" w:rsidRPr="00C634F0">
        <w:rPr>
          <w:rFonts w:ascii="Times New Roman" w:eastAsia="Calibri" w:hAnsi="Times New Roman" w:cs="Times New Roman"/>
          <w:sz w:val="28"/>
          <w:szCs w:val="32"/>
        </w:rPr>
        <w:tab/>
      </w:r>
      <w:r w:rsidR="00142978">
        <w:rPr>
          <w:rFonts w:ascii="Times New Roman" w:eastAsia="Calibri" w:hAnsi="Times New Roman" w:cs="Times New Roman"/>
          <w:sz w:val="28"/>
          <w:szCs w:val="32"/>
        </w:rPr>
        <w:t>23</w:t>
      </w:r>
    </w:p>
    <w:p w14:paraId="0B50B713" w14:textId="5CEC03B0" w:rsidR="00B3698A" w:rsidRPr="00C634F0" w:rsidRDefault="00B3698A" w:rsidP="00B3698A">
      <w:pPr>
        <w:tabs>
          <w:tab w:val="right" w:leader="dot" w:pos="9781"/>
        </w:tabs>
        <w:spacing w:before="120"/>
        <w:ind w:left="1134" w:right="49" w:hanging="425"/>
        <w:rPr>
          <w:rFonts w:ascii="Times New Roman" w:eastAsia="Calibri" w:hAnsi="Times New Roman" w:cs="Times New Roman"/>
          <w:spacing w:val="2"/>
          <w:sz w:val="28"/>
          <w:szCs w:val="32"/>
        </w:rPr>
      </w:pPr>
      <w:r w:rsidRPr="00C634F0">
        <w:rPr>
          <w:rFonts w:ascii="Times New Roman" w:eastAsia="Calibri" w:hAnsi="Times New Roman" w:cs="Times New Roman"/>
          <w:sz w:val="28"/>
          <w:szCs w:val="32"/>
        </w:rPr>
        <w:t>3.</w:t>
      </w:r>
      <w:r w:rsidR="00892F36" w:rsidRPr="00C634F0">
        <w:rPr>
          <w:rFonts w:ascii="Times New Roman" w:eastAsia="Calibri" w:hAnsi="Times New Roman" w:cs="Times New Roman"/>
          <w:sz w:val="28"/>
          <w:szCs w:val="32"/>
        </w:rPr>
        <w:t>3</w:t>
      </w:r>
      <w:r w:rsidRPr="00C634F0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566936" w:rsidRPr="00566936">
        <w:rPr>
          <w:rFonts w:ascii="Times New Roman" w:eastAsia="Calibri" w:hAnsi="Times New Roman" w:cs="Times New Roman"/>
          <w:spacing w:val="-4"/>
          <w:sz w:val="28"/>
          <w:szCs w:val="32"/>
        </w:rPr>
        <w:t>Рекомендации по усовершенствованию управленческих механизмов и система контроля</w:t>
      </w:r>
      <w:r w:rsidR="00500D49" w:rsidRPr="00C634F0">
        <w:rPr>
          <w:rFonts w:ascii="Times New Roman" w:eastAsia="Calibri" w:hAnsi="Times New Roman" w:cs="Times New Roman"/>
          <w:sz w:val="28"/>
          <w:szCs w:val="32"/>
        </w:rPr>
        <w:tab/>
        <w:t>2</w:t>
      </w:r>
      <w:r w:rsidR="00142978">
        <w:rPr>
          <w:rFonts w:ascii="Times New Roman" w:eastAsia="Calibri" w:hAnsi="Times New Roman" w:cs="Times New Roman"/>
          <w:sz w:val="28"/>
          <w:szCs w:val="32"/>
        </w:rPr>
        <w:t>4</w:t>
      </w:r>
    </w:p>
    <w:bookmarkEnd w:id="9"/>
    <w:p w14:paraId="328C0163" w14:textId="6F09849D" w:rsidR="00B3698A" w:rsidRPr="00C634F0" w:rsidRDefault="00500D49" w:rsidP="00B3698A">
      <w:pPr>
        <w:tabs>
          <w:tab w:val="right" w:leader="dot" w:pos="9781"/>
        </w:tabs>
        <w:spacing w:before="120" w:line="360" w:lineRule="auto"/>
        <w:ind w:right="49" w:firstLine="181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C634F0">
        <w:rPr>
          <w:rFonts w:ascii="Times New Roman" w:eastAsia="Calibri" w:hAnsi="Times New Roman" w:cs="Times New Roman"/>
          <w:sz w:val="28"/>
          <w:szCs w:val="32"/>
        </w:rPr>
        <w:t>Заключение</w:t>
      </w:r>
      <w:r w:rsidRPr="00C634F0">
        <w:rPr>
          <w:rFonts w:ascii="Times New Roman" w:eastAsia="Calibri" w:hAnsi="Times New Roman" w:cs="Times New Roman"/>
          <w:sz w:val="28"/>
          <w:szCs w:val="32"/>
        </w:rPr>
        <w:tab/>
        <w:t>2</w:t>
      </w:r>
      <w:r w:rsidR="00142978">
        <w:rPr>
          <w:rFonts w:ascii="Times New Roman" w:eastAsia="Calibri" w:hAnsi="Times New Roman" w:cs="Times New Roman"/>
          <w:sz w:val="28"/>
          <w:szCs w:val="32"/>
        </w:rPr>
        <w:t>6</w:t>
      </w:r>
    </w:p>
    <w:p w14:paraId="15088962" w14:textId="3A95B108" w:rsidR="0070709E" w:rsidRPr="00396CE9" w:rsidRDefault="00B3698A" w:rsidP="00396CE9">
      <w:pPr>
        <w:tabs>
          <w:tab w:val="right" w:leader="dot" w:pos="9781"/>
        </w:tabs>
        <w:spacing w:before="120" w:line="360" w:lineRule="auto"/>
        <w:ind w:right="49" w:firstLine="181"/>
        <w:jc w:val="both"/>
        <w:rPr>
          <w:rFonts w:ascii="Times New Roman" w:eastAsia="Calibri" w:hAnsi="Times New Roman" w:cs="Times New Roman"/>
          <w:sz w:val="24"/>
          <w:szCs w:val="28"/>
        </w:rPr>
        <w:sectPr w:rsidR="0070709E" w:rsidRPr="00396CE9" w:rsidSect="00BF490C">
          <w:pgSz w:w="11906" w:h="16838" w:code="9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  <w:bookmarkStart w:id="10" w:name="_Hlk187678311"/>
      <w:bookmarkStart w:id="11" w:name="_Hlk187678324"/>
      <w:r w:rsidRPr="00C634F0">
        <w:rPr>
          <w:rFonts w:ascii="Times New Roman" w:eastAsia="Calibri" w:hAnsi="Times New Roman" w:cs="Times New Roman"/>
          <w:sz w:val="28"/>
          <w:szCs w:val="32"/>
        </w:rPr>
        <w:t>Список используемых источников</w:t>
      </w:r>
      <w:bookmarkEnd w:id="10"/>
      <w:r w:rsidRPr="00C634F0">
        <w:rPr>
          <w:rFonts w:ascii="Times New Roman" w:eastAsia="Calibri" w:hAnsi="Times New Roman" w:cs="Times New Roman"/>
          <w:sz w:val="28"/>
          <w:szCs w:val="32"/>
        </w:rPr>
        <w:tab/>
      </w:r>
      <w:bookmarkEnd w:id="11"/>
      <w:r w:rsidR="00142978">
        <w:rPr>
          <w:rFonts w:ascii="Times New Roman" w:eastAsia="Calibri" w:hAnsi="Times New Roman" w:cs="Times New Roman"/>
          <w:sz w:val="28"/>
          <w:szCs w:val="32"/>
        </w:rPr>
        <w:t>28</w:t>
      </w:r>
      <w:bookmarkStart w:id="12" w:name="_GoBack"/>
      <w:bookmarkEnd w:id="12"/>
      <w:r w:rsidR="00B17544">
        <w:rPr>
          <w:rFonts w:ascii="Times New Roman" w:hAnsi="Times New Roman"/>
          <w:sz w:val="24"/>
        </w:rPr>
        <w:br w:type="page"/>
      </w:r>
    </w:p>
    <w:bookmarkEnd w:id="2"/>
    <w:p w14:paraId="32C51BCB" w14:textId="77777777" w:rsidR="00396CE9" w:rsidRPr="00C634F0" w:rsidRDefault="00396CE9" w:rsidP="00FA0B9E">
      <w:pPr>
        <w:spacing w:after="240" w:line="240" w:lineRule="auto"/>
        <w:jc w:val="center"/>
        <w:rPr>
          <w:rFonts w:ascii="Arial" w:hAnsi="Arial" w:cs="Arial"/>
          <w:sz w:val="30"/>
          <w:szCs w:val="30"/>
        </w:rPr>
      </w:pPr>
      <w:r w:rsidRPr="00C634F0">
        <w:rPr>
          <w:rFonts w:ascii="Arial" w:hAnsi="Arial" w:cs="Arial"/>
          <w:sz w:val="30"/>
          <w:szCs w:val="30"/>
        </w:rPr>
        <w:lastRenderedPageBreak/>
        <w:t>Введение</w:t>
      </w:r>
    </w:p>
    <w:p w14:paraId="21F92C13" w14:textId="60D709AC" w:rsidR="00566936" w:rsidRPr="00566936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36">
        <w:rPr>
          <w:rFonts w:ascii="Times New Roman" w:hAnsi="Times New Roman" w:cs="Times New Roman"/>
          <w:sz w:val="28"/>
          <w:szCs w:val="28"/>
        </w:rPr>
        <w:t>Дальневосточный федеральный округ в условиях геополитической трансформации и переориентации внешнеэкономических связей России на страны Азиатско-Тихоокеанского региона приобретает стратегическое значение. Интенсификация трансграничного экономического сотрудничества становится одним из ключевых факторов социально-экономического развития субъектов ДФО, что обусловливает необходимость системного анализа его влияния на региональную экономику и совершенствования управленческих механизмов в данной сфере.</w:t>
      </w:r>
    </w:p>
    <w:p w14:paraId="3640F08C" w14:textId="456669F1" w:rsidR="00566936" w:rsidRPr="00566936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36">
        <w:rPr>
          <w:rFonts w:ascii="Times New Roman" w:hAnsi="Times New Roman" w:cs="Times New Roman"/>
          <w:sz w:val="28"/>
          <w:szCs w:val="28"/>
        </w:rPr>
        <w:t xml:space="preserve">Настоящая работа подготовлена по итогам производственной практики, проходившей в ООО «ЭкспертГрупп» (г. Владивосток) в период с 25 мая по 17 июля 2026 года. </w:t>
      </w:r>
      <w:r w:rsidR="00CA23F6" w:rsidRPr="00CA23F6">
        <w:rPr>
          <w:rFonts w:ascii="Times New Roman" w:hAnsi="Times New Roman" w:cs="Times New Roman"/>
          <w:sz w:val="28"/>
          <w:szCs w:val="28"/>
        </w:rPr>
        <w:t>Специфика д</w:t>
      </w:r>
      <w:r w:rsidR="00CA23F6">
        <w:rPr>
          <w:rFonts w:ascii="Times New Roman" w:hAnsi="Times New Roman" w:cs="Times New Roman"/>
          <w:sz w:val="28"/>
          <w:szCs w:val="28"/>
        </w:rPr>
        <w:t>еятельности ООО «</w:t>
      </w:r>
      <w:proofErr w:type="spellStart"/>
      <w:r w:rsidR="00CA23F6">
        <w:rPr>
          <w:rFonts w:ascii="Times New Roman" w:hAnsi="Times New Roman" w:cs="Times New Roman"/>
          <w:sz w:val="28"/>
          <w:szCs w:val="28"/>
        </w:rPr>
        <w:t>ЭкспертГрупп</w:t>
      </w:r>
      <w:proofErr w:type="spellEnd"/>
      <w:r w:rsidR="00CA23F6">
        <w:rPr>
          <w:rFonts w:ascii="Times New Roman" w:hAnsi="Times New Roman" w:cs="Times New Roman"/>
          <w:sz w:val="28"/>
          <w:szCs w:val="28"/>
        </w:rPr>
        <w:t>» -</w:t>
      </w:r>
      <w:r w:rsidR="00CA23F6" w:rsidRPr="00CA23F6">
        <w:rPr>
          <w:rFonts w:ascii="Times New Roman" w:hAnsi="Times New Roman" w:cs="Times New Roman"/>
          <w:sz w:val="28"/>
          <w:szCs w:val="28"/>
        </w:rPr>
        <w:t xml:space="preserve"> информационно-аналитическое сопровождение деятельности органов власти и бизнес-структур, подготовка и распространение медиаматериалов, освещающих социально-экономическую повестку Дальнего Востока. Работа с открытыми данными, мониторинг нормативно-правовых актов и экспертных публикаций позволили в ходе практики собрать и систематизировать информацию о ключевых проектах трансграничного сотрудничества, а также оценить характер их освещения в региональных и федеральных средствах массовой информации.</w:t>
      </w:r>
    </w:p>
    <w:p w14:paraId="148F2A4A" w14:textId="681F5983" w:rsidR="00566936" w:rsidRPr="00566936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исследования -</w:t>
      </w:r>
      <w:r w:rsidRPr="00566936">
        <w:rPr>
          <w:rFonts w:ascii="Times New Roman" w:hAnsi="Times New Roman" w:cs="Times New Roman"/>
          <w:sz w:val="28"/>
          <w:szCs w:val="28"/>
        </w:rPr>
        <w:t xml:space="preserve"> «Исследование процессов влияния трансграничного экономического сотрудничества на экономику субъ</w:t>
      </w:r>
      <w:r>
        <w:rPr>
          <w:rFonts w:ascii="Times New Roman" w:hAnsi="Times New Roman" w:cs="Times New Roman"/>
          <w:sz w:val="28"/>
          <w:szCs w:val="28"/>
        </w:rPr>
        <w:t>ектов ДФО» -</w:t>
      </w:r>
      <w:r w:rsidRPr="00566936">
        <w:rPr>
          <w:rFonts w:ascii="Times New Roman" w:hAnsi="Times New Roman" w:cs="Times New Roman"/>
          <w:sz w:val="28"/>
          <w:szCs w:val="28"/>
        </w:rPr>
        <w:t xml:space="preserve"> определила направленность практической работы. Основное содержание практики составили анализ текущего состояния трансграничных связей, изучение мер государственной поддержки и инфраструктурных проектов, а также разработка предложений по совершенствованию системы управления трансграничным сотрудничеством.</w:t>
      </w:r>
    </w:p>
    <w:p w14:paraId="2A9A4F43" w14:textId="77777777" w:rsidR="00566936" w:rsidRPr="00566936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36">
        <w:rPr>
          <w:rFonts w:ascii="Times New Roman" w:hAnsi="Times New Roman" w:cs="Times New Roman"/>
          <w:sz w:val="28"/>
          <w:szCs w:val="28"/>
        </w:rPr>
        <w:t>Целью практики является комплексное исследование влияния трансграничного экономического сотрудничества на экономику субъектов ДФО и разработка практических управленческих решений, направленных на повышение эффективности межрегиональных взаимодействий.</w:t>
      </w:r>
    </w:p>
    <w:p w14:paraId="2827D7DA" w14:textId="77777777" w:rsidR="00566936" w:rsidRPr="00566936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36">
        <w:rPr>
          <w:rFonts w:ascii="Times New Roman" w:hAnsi="Times New Roman" w:cs="Times New Roman"/>
          <w:sz w:val="28"/>
          <w:szCs w:val="28"/>
        </w:rPr>
        <w:t>В соответствии с поставленной целью решались следующие задачи:</w:t>
      </w:r>
    </w:p>
    <w:p w14:paraId="12A9755D" w14:textId="00AC64A1" w:rsidR="00566936" w:rsidRPr="00566936" w:rsidRDefault="00004CF3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66936" w:rsidRPr="00566936">
        <w:rPr>
          <w:rFonts w:ascii="Times New Roman" w:hAnsi="Times New Roman" w:cs="Times New Roman"/>
          <w:sz w:val="28"/>
          <w:szCs w:val="28"/>
        </w:rPr>
        <w:t>обоснование актуальности темы исследования через анализ научных и практических разработок в области трансграничного сотрудничества;</w:t>
      </w:r>
    </w:p>
    <w:p w14:paraId="76ABA144" w14:textId="39C4B690" w:rsidR="00566936" w:rsidRPr="00566936" w:rsidRDefault="00004CF3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936" w:rsidRPr="00566936">
        <w:rPr>
          <w:rFonts w:ascii="Times New Roman" w:hAnsi="Times New Roman" w:cs="Times New Roman"/>
          <w:sz w:val="28"/>
          <w:szCs w:val="28"/>
        </w:rPr>
        <w:t>изучение теоретических подходов и методологических основ анализа трансграничных связей;</w:t>
      </w:r>
    </w:p>
    <w:p w14:paraId="63DF0019" w14:textId="33764DEC" w:rsidR="00566936" w:rsidRPr="00566936" w:rsidRDefault="00004CF3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936" w:rsidRPr="00566936">
        <w:rPr>
          <w:rFonts w:ascii="Times New Roman" w:hAnsi="Times New Roman" w:cs="Times New Roman"/>
          <w:sz w:val="28"/>
          <w:szCs w:val="28"/>
        </w:rPr>
        <w:t>анализ инструментов государственной экономической политики и мер поддержки трансграничного сотрудничества в ДФО;</w:t>
      </w:r>
    </w:p>
    <w:p w14:paraId="75E0F041" w14:textId="74C67DD0" w:rsidR="00566936" w:rsidRPr="00566936" w:rsidRDefault="00004CF3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936" w:rsidRPr="00566936">
        <w:rPr>
          <w:rFonts w:ascii="Times New Roman" w:hAnsi="Times New Roman" w:cs="Times New Roman"/>
          <w:sz w:val="28"/>
          <w:szCs w:val="28"/>
        </w:rPr>
        <w:t>исследование методов социально-экономического анализа для оценки влияния трансграничных связей на региональную экономику</w:t>
      </w:r>
      <w:r w:rsidR="00CA23F6" w:rsidRPr="00CA23F6">
        <w:rPr>
          <w:rFonts w:ascii="Times New Roman" w:hAnsi="Times New Roman" w:cs="Times New Roman"/>
          <w:sz w:val="28"/>
          <w:szCs w:val="28"/>
        </w:rPr>
        <w:t>, включая выявление угроз и рисков развития</w:t>
      </w:r>
      <w:r w:rsidR="00566936" w:rsidRPr="00566936">
        <w:rPr>
          <w:rFonts w:ascii="Times New Roman" w:hAnsi="Times New Roman" w:cs="Times New Roman"/>
          <w:sz w:val="28"/>
          <w:szCs w:val="28"/>
        </w:rPr>
        <w:t>;</w:t>
      </w:r>
    </w:p>
    <w:p w14:paraId="7FEA8C72" w14:textId="3628E7A0" w:rsidR="00566936" w:rsidRPr="00566936" w:rsidRDefault="00004CF3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936" w:rsidRPr="00566936">
        <w:rPr>
          <w:rFonts w:ascii="Times New Roman" w:hAnsi="Times New Roman" w:cs="Times New Roman"/>
          <w:sz w:val="28"/>
          <w:szCs w:val="28"/>
        </w:rPr>
        <w:t>разработка вариантов управленческих решений по совершенствованию системы управления трансграничными связями и системы контроля их реализации;</w:t>
      </w:r>
    </w:p>
    <w:p w14:paraId="7A4959D5" w14:textId="432B71FA" w:rsidR="00566936" w:rsidRPr="00566936" w:rsidRDefault="00004CF3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936" w:rsidRPr="00566936">
        <w:rPr>
          <w:rFonts w:ascii="Times New Roman" w:hAnsi="Times New Roman" w:cs="Times New Roman"/>
          <w:sz w:val="28"/>
          <w:szCs w:val="28"/>
        </w:rPr>
        <w:t>систематизация нормативно-правовой базы и актуальных источников по теме исследования.</w:t>
      </w:r>
    </w:p>
    <w:p w14:paraId="35B9906D" w14:textId="77777777" w:rsidR="00566936" w:rsidRPr="00566936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36">
        <w:rPr>
          <w:rFonts w:ascii="Times New Roman" w:hAnsi="Times New Roman" w:cs="Times New Roman"/>
          <w:sz w:val="28"/>
          <w:szCs w:val="28"/>
        </w:rPr>
        <w:t>Объектом исследования выступают процессы трансграничного экономического сотрудничества субъектов Дальневосточного федерального округа. Предметом исследования являются инструменты, методы и механизмы государственного и муниципального управления, направленные на развитие и оценку эффективности трансграничного сотрудничества в ДФО.</w:t>
      </w:r>
    </w:p>
    <w:p w14:paraId="6AF5CE4B" w14:textId="680439BC" w:rsidR="009455B2" w:rsidRPr="00C634F0" w:rsidRDefault="00566936" w:rsidP="00566936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936">
        <w:rPr>
          <w:rFonts w:ascii="Times New Roman" w:hAnsi="Times New Roman" w:cs="Times New Roman"/>
          <w:sz w:val="28"/>
          <w:szCs w:val="28"/>
        </w:rPr>
        <w:t>Теоретико-методологическая база исследования включает труды отечественных ученых в области геополитики и регионального развития, нормативно-правовые акты Российской Федерации и Дальневосточного федерального округа, а также статистические данные и аналитические материалы федеральных органов исполнительной власти и институтов развития.</w:t>
      </w:r>
    </w:p>
    <w:p w14:paraId="172D7BEF" w14:textId="355C6FEE" w:rsidR="00056AEE" w:rsidRPr="00697359" w:rsidRDefault="00386CB5" w:rsidP="00697359">
      <w:pPr>
        <w:widowControl w:val="0"/>
        <w:tabs>
          <w:tab w:val="left" w:pos="709"/>
        </w:tabs>
        <w:spacing w:after="0" w:line="240" w:lineRule="auto"/>
        <w:ind w:left="993" w:hanging="284"/>
        <w:jc w:val="both"/>
        <w:rPr>
          <w:rFonts w:ascii="Arial" w:hAnsi="Arial" w:cs="Arial"/>
          <w:sz w:val="28"/>
          <w:szCs w:val="28"/>
        </w:rPr>
      </w:pPr>
      <w:r w:rsidRPr="00C634F0">
        <w:rPr>
          <w:rFonts w:ascii="Times New Roman" w:hAnsi="Times New Roman"/>
          <w:color w:val="FF0000"/>
          <w:sz w:val="32"/>
          <w:szCs w:val="28"/>
        </w:rPr>
        <w:br w:type="page"/>
      </w:r>
      <w:r w:rsidRPr="00697359">
        <w:rPr>
          <w:rFonts w:ascii="Arial" w:hAnsi="Arial" w:cs="Arial"/>
          <w:sz w:val="28"/>
          <w:szCs w:val="28"/>
        </w:rPr>
        <w:lastRenderedPageBreak/>
        <w:t>1</w:t>
      </w:r>
      <w:r w:rsidR="00FA0B9E" w:rsidRPr="00697359">
        <w:rPr>
          <w:rFonts w:ascii="Arial" w:hAnsi="Arial" w:cs="Arial"/>
          <w:sz w:val="28"/>
          <w:szCs w:val="28"/>
        </w:rPr>
        <w:t xml:space="preserve"> </w:t>
      </w:r>
      <w:r w:rsidR="00FA0B9E" w:rsidRPr="00697359">
        <w:rPr>
          <w:rFonts w:ascii="Arial" w:hAnsi="Arial" w:cs="Arial"/>
          <w:spacing w:val="-6"/>
          <w:sz w:val="28"/>
          <w:szCs w:val="28"/>
        </w:rPr>
        <w:t>Актуальность и теоретико-методологические основы</w:t>
      </w:r>
      <w:r w:rsidR="00531B1F" w:rsidRPr="00697359">
        <w:rPr>
          <w:rFonts w:ascii="Arial" w:hAnsi="Arial" w:cs="Arial"/>
          <w:spacing w:val="-6"/>
          <w:sz w:val="28"/>
          <w:szCs w:val="28"/>
        </w:rPr>
        <w:t xml:space="preserve"> </w:t>
      </w:r>
      <w:r w:rsidR="00FA0B9E" w:rsidRPr="00697359">
        <w:rPr>
          <w:rFonts w:ascii="Arial" w:hAnsi="Arial" w:cs="Arial"/>
          <w:spacing w:val="-6"/>
          <w:sz w:val="28"/>
          <w:szCs w:val="28"/>
        </w:rPr>
        <w:t>исследования процессов трансграничного экономического</w:t>
      </w:r>
      <w:r w:rsidR="00004CF3">
        <w:rPr>
          <w:rFonts w:ascii="Arial" w:hAnsi="Arial" w:cs="Arial"/>
          <w:spacing w:val="-6"/>
          <w:sz w:val="28"/>
          <w:szCs w:val="28"/>
        </w:rPr>
        <w:t xml:space="preserve"> </w:t>
      </w:r>
      <w:r w:rsidR="00FA0B9E" w:rsidRPr="00697359">
        <w:rPr>
          <w:rFonts w:ascii="Arial" w:hAnsi="Arial" w:cs="Arial"/>
          <w:spacing w:val="-6"/>
          <w:sz w:val="28"/>
          <w:szCs w:val="28"/>
        </w:rPr>
        <w:t>сотрудничества</w:t>
      </w:r>
    </w:p>
    <w:p w14:paraId="2BF14970" w14:textId="2E0673AE" w:rsidR="005B3DC2" w:rsidRPr="00C634F0" w:rsidRDefault="00531B1F" w:rsidP="001F6708">
      <w:pPr>
        <w:pStyle w:val="a7"/>
        <w:widowControl w:val="0"/>
        <w:numPr>
          <w:ilvl w:val="1"/>
          <w:numId w:val="35"/>
        </w:numPr>
        <w:tabs>
          <w:tab w:val="left" w:pos="1418"/>
        </w:tabs>
        <w:suppressAutoHyphens/>
        <w:spacing w:before="240" w:after="120"/>
        <w:ind w:left="1134" w:hanging="425"/>
        <w:rPr>
          <w:sz w:val="28"/>
          <w:szCs w:val="28"/>
        </w:rPr>
      </w:pPr>
      <w:r w:rsidRPr="00C634F0">
        <w:rPr>
          <w:sz w:val="28"/>
          <w:szCs w:val="28"/>
        </w:rPr>
        <w:t>Обоснование актуальности исследования через апробацию существующих научных и практических разработок</w:t>
      </w:r>
    </w:p>
    <w:p w14:paraId="796F364C" w14:textId="7C974B32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современной геополитической трансформации и переориентации внешнеэкономических связей Российской Федерации на страны Азиатско-Тихоокеанского региона (АТР), Дальневосточный федеральный округ приобретает стратегическое значение как ключевой «мост» между Россией и динамично развивающимися экономиками Азии. Как отмечает А.Б. Волынчук, Приамурье традиционно выступало и продолжает выступать полигоном, где сталкиваются и переплетаются геополитические интересы России и стран Азиатско-Тихоокеанского региона [1]. В условиях «поворота на Восток» эти процессы приобретают новое измерение, требуя не тольк</w:t>
      </w:r>
      <w:r w:rsidR="00294CDA">
        <w:rPr>
          <w:rFonts w:ascii="Times New Roman" w:eastAsia="Times New Roman" w:hAnsi="Times New Roman" w:cs="Times New Roman"/>
          <w:sz w:val="28"/>
          <w:szCs w:val="28"/>
          <w:lang w:eastAsia="ru-RU"/>
        </w:rPr>
        <w:t>о экономического, но и комплексного</w:t>
      </w: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геополитического осмысления.</w:t>
      </w:r>
    </w:p>
    <w:p w14:paraId="4BB05F5A" w14:textId="77777777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исследования подтверждается рядом факторов. Китай закрепился в роли главного внешнеэкономического партнера России, а «поворот на Восток» перестал быть лозунгом и превратился в реальную географию потоков: значительная часть экспортных грузов с Северо-Запада и Юга ушла в сторону Тихого океана [2].</w:t>
      </w:r>
    </w:p>
    <w:p w14:paraId="6008DA78" w14:textId="77777777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первого полугодия 2025 года несырьевой экспорт из ДФО в КНР вырос на 5% по сравнению с аналогичным периодом 2024 года [3]. Приморский край остается лидером ДФО по объему внешней торговли с КНР. Китай сохраняет первое место среди ключевых стран-партнеров ДФО по внешней торговле [3].</w:t>
      </w:r>
    </w:p>
    <w:p w14:paraId="1EB4606C" w14:textId="77777777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 трансграничных потоков наглядно демонстрирует портовая статистика. По данным Банка России, в феврале 2025 года грузооборот дальневосточных портов снизился, в основном за счет сокращения поставок контейнеров и объемов перевалки угля, отгрузки которого уменьшились из-за слабого внешнего спроса [4]. Транспортные компании отмечали уменьшение в I квартале 2025 года числа заказов на перевозку товаров из стран Азии. В результате импортные </w:t>
      </w: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экспортные контейнерные потоки на Дальнем Востоке сравнялись впервые за несколько лет [4].</w:t>
      </w:r>
    </w:p>
    <w:p w14:paraId="25ABA68A" w14:textId="4D6371BC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для экономики ДФО приобретает запуск с 1 января 2026 года нового инстру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государственной политики -</w:t>
      </w: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международных территорий опережающего развития (МТОР). Соответствующий Федеральный закон № 285-ФЗ подписан Президентом Российской</w:t>
      </w:r>
      <w:r w:rsidR="00CA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31 июля 2025 года</w:t>
      </w: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международной ТОР на территории ДФО для реализации совместных с иностранными партнерами инвестиционных проектов возможно одним из двух способов: по решению Правительства или на основании международного договора. Общая площадь такой ТОР ограничена 20 квадратными километрами [5].</w:t>
      </w:r>
    </w:p>
    <w:p w14:paraId="15AF7ACC" w14:textId="0A30824B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Резидентом МТОР может стать новая коммерческая организация, в том числе созданная с иностранным участием. Инвестиционный проект, реализуемый на международной ТОР, должен соответствовать требованиям: объем капиталовложений не менее 500 млн рублей, производство продукции с высокой добавленной стоимостью или выполнение работ (оказание услуг), виды котор</w:t>
      </w:r>
      <w:r w:rsidR="00C73567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определены Правительством</w:t>
      </w: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Иностранным банкам разрешено, помимо одного филиала в России, иметь еще один филиал для</w:t>
      </w:r>
      <w:r w:rsidR="00C73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на международной ТОР</w:t>
      </w: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Предусмотрены гарантии прав резидентов МТОР: в течение 15 лет с даты включения в реестр не будут применяться акты (решения), ухудшающие условия ведения деятельности [5].</w:t>
      </w:r>
    </w:p>
    <w:p w14:paraId="03A99C5C" w14:textId="77777777" w:rsidR="00004CF3" w:rsidRPr="00004CF3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МТОР создаются в пяти субъектах ДФО: Амурской области, Приморском, Забайкальском и Хабаровском краях, Еврейской автономной области. 20 ноября 2025 года утверждены Правила ведения реестра резидентов международных территорий опережающего развития (Постановление Правительства РФ № 1838) [6].</w:t>
      </w:r>
    </w:p>
    <w:p w14:paraId="11A495E0" w14:textId="610914A5" w:rsidR="00697359" w:rsidRPr="00964275" w:rsidRDefault="00004CF3" w:rsidP="00004CF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практики были апробированы научные разработки, посвященные механизмам оценки и моделирования эффективности трансграничных проектов. Использование системного анализа, сравнительного анализа и социально-экономического мониторинга подтвердило их эффективность для оценки взаимодействий между субъектами на межрегиональном и международном уровнях.</w:t>
      </w:r>
    </w:p>
    <w:p w14:paraId="1F30200C" w14:textId="04883FB4" w:rsidR="00056AEE" w:rsidRDefault="00927AB5" w:rsidP="00927AB5">
      <w:pPr>
        <w:pStyle w:val="a7"/>
        <w:widowControl w:val="0"/>
        <w:numPr>
          <w:ilvl w:val="1"/>
          <w:numId w:val="19"/>
        </w:numPr>
        <w:tabs>
          <w:tab w:val="left" w:pos="1418"/>
        </w:tabs>
        <w:suppressAutoHyphens/>
        <w:spacing w:before="240" w:after="120"/>
        <w:ind w:left="1134" w:hanging="425"/>
        <w:rPr>
          <w:sz w:val="28"/>
          <w:szCs w:val="28"/>
        </w:rPr>
      </w:pPr>
      <w:r w:rsidRPr="00927AB5">
        <w:rPr>
          <w:sz w:val="28"/>
          <w:szCs w:val="28"/>
        </w:rPr>
        <w:lastRenderedPageBreak/>
        <w:t>Теоретические подходы и методологические основы анализа трансграничных связей</w:t>
      </w:r>
    </w:p>
    <w:p w14:paraId="5019AE41" w14:textId="7E030401" w:rsidR="00004CF3" w:rsidRPr="00004CF3" w:rsidRDefault="00004CF3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CF3">
        <w:rPr>
          <w:rFonts w:ascii="Times New Roman" w:hAnsi="Times New Roman" w:cs="Times New Roman"/>
          <w:sz w:val="28"/>
          <w:szCs w:val="28"/>
        </w:rPr>
        <w:t>В ходе исследования были применены следующие теоретические подходы и методологические инструменты:</w:t>
      </w:r>
    </w:p>
    <w:p w14:paraId="7B9B676F" w14:textId="35A845D9" w:rsidR="00004CF3" w:rsidRPr="00004CF3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Системный подход обеспечил целостное восприятие процессов трансграничного сотрудничества как части сложной динамической системы, в которой социальные, экономические, инфраструктурные и управленческие компоненты взаимодействуют и влияют друг на друга. В своих работах А.Б. Волынчук обосновывает необходимость использования ретроспективного анализа в региональных геополитических исследованиях, рассматривая территорию Приамурья как полигон для изучения полити</w:t>
      </w:r>
      <w:r>
        <w:rPr>
          <w:rFonts w:ascii="Times New Roman" w:hAnsi="Times New Roman" w:cs="Times New Roman"/>
          <w:sz w:val="28"/>
          <w:szCs w:val="28"/>
        </w:rPr>
        <w:t>ко-территориальных процессов</w:t>
      </w:r>
      <w:r w:rsidR="00004CF3" w:rsidRPr="00004CF3">
        <w:rPr>
          <w:rFonts w:ascii="Times New Roman" w:hAnsi="Times New Roman" w:cs="Times New Roman"/>
          <w:sz w:val="28"/>
          <w:szCs w:val="28"/>
        </w:rPr>
        <w:t>. В статье «Россия в Северо-Восточной Азии: вектор геополитических интересов» автор подчеркивает, что движение России на восток отвечает стратегическим интересам нашей страны, а также улучшению условий экономического развития российского Дальнего Востока [7]. Эти теоретические установки легли в основу системного подхода, примененного в настоящем исследовании.</w:t>
      </w:r>
    </w:p>
    <w:p w14:paraId="7BAC699D" w14:textId="0D2F2A1C" w:rsidR="00004CF3" w:rsidRPr="00004CF3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Институциональный анализ позволил изучить нормативно-правовую базу, регулирующую внешнеэкономическую деятельность и приграничное сотрудничество. Ключевыми документами, проанализированными в ходе практики, являются Федер</w:t>
      </w:r>
      <w:r>
        <w:rPr>
          <w:rFonts w:ascii="Times New Roman" w:hAnsi="Times New Roman" w:cs="Times New Roman"/>
          <w:sz w:val="28"/>
          <w:szCs w:val="28"/>
        </w:rPr>
        <w:t>альный закон № 285-ФЗ о МТОР</w:t>
      </w:r>
      <w:r w:rsidR="00004CF3" w:rsidRPr="00004CF3">
        <w:rPr>
          <w:rFonts w:ascii="Times New Roman" w:hAnsi="Times New Roman" w:cs="Times New Roman"/>
          <w:sz w:val="28"/>
          <w:szCs w:val="28"/>
        </w:rPr>
        <w:t>, Федеральный закон № 179-ФЗ «Об основах приграничного сотрудничества в Российской Федерации». Как отмечают Н.А. Маслюк и Н.В. Медведева, МТОР представляют собой новый источник инвестиционных возможностей, основанный на беспрецедентных преференциях для резидентов [8]. К.В. Онищенко в своем исследовании подчеркивает, что международная территория опережающего развития является новым направлением в развитии территориальных преференциальных режимов, требующим тщательной правовой проработки [9].</w:t>
      </w:r>
    </w:p>
    <w:p w14:paraId="1B37B54A" w14:textId="19F5679B" w:rsidR="00004CF3" w:rsidRPr="00004CF3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Сравнительный анализ использовался для выявления лучших практик трансграничного взаимодействия. Сравнение преференциальных режимов, действовавших на Дальнем Востоке (ТОР, СПВ), с новым режимом МТОР показало, </w:t>
      </w:r>
      <w:r w:rsidR="00004CF3" w:rsidRPr="00004CF3">
        <w:rPr>
          <w:rFonts w:ascii="Times New Roman" w:hAnsi="Times New Roman" w:cs="Times New Roman"/>
          <w:sz w:val="28"/>
          <w:szCs w:val="28"/>
        </w:rPr>
        <w:lastRenderedPageBreak/>
        <w:t>что единый и упрощенный режим для бизнеса, объединяющий лучшие практики существующих механизмов, способен повысить инвестиционную привлекательность региона. И.Н. Золотухин в своих исследованиях анализирует перспективы развития трансграничных отношений российского Дальнего Востока со странами Южной и Юго-Восточной Азии, отмечая растущий интерес со стороны новых партнеров [10].</w:t>
      </w:r>
    </w:p>
    <w:p w14:paraId="08FE8D39" w14:textId="1A632161" w:rsidR="00004CF3" w:rsidRPr="00004CF3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Статистические методы позволили количественно оценить взаимосвязь между объемами трансграничной торговли, инвестициями и основными макроэкономическими показателями развития регионов. Анализ показателей 2025 года подтверждает корреляцию между ростом внешнеторгового оборота и развитием инфраструктуры в субъектах ДФО.</w:t>
      </w:r>
    </w:p>
    <w:p w14:paraId="484E8AC2" w14:textId="727A57B6" w:rsidR="00004CF3" w:rsidRPr="00004CF3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SWOT-анализ применен для выявления сильных и слабых сторон текущей системы управления трансграничным сотрудничеством. Ключевыми угрозами определены необходимость масштабного дорожного строительства и модернизации энергосетей для обеспечения растущего грузопотока, а также в</w:t>
      </w:r>
      <w:r>
        <w:rPr>
          <w:rFonts w:ascii="Times New Roman" w:hAnsi="Times New Roman" w:cs="Times New Roman"/>
          <w:sz w:val="28"/>
          <w:szCs w:val="28"/>
        </w:rPr>
        <w:t>олатильность внешнего спроса</w:t>
      </w:r>
      <w:r w:rsidR="00004CF3" w:rsidRPr="00004CF3">
        <w:rPr>
          <w:rFonts w:ascii="Times New Roman" w:hAnsi="Times New Roman" w:cs="Times New Roman"/>
          <w:sz w:val="28"/>
          <w:szCs w:val="28"/>
        </w:rPr>
        <w:t>.</w:t>
      </w:r>
    </w:p>
    <w:p w14:paraId="68A339B6" w14:textId="2227B105" w:rsidR="00004CF3" w:rsidRPr="00004CF3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Метод затрат-выгоды позволил сопоставить экономические и социальные выгоды от реализации инфраструктурных проектов с затратами на их осуществление.</w:t>
      </w:r>
    </w:p>
    <w:p w14:paraId="45B98ACC" w14:textId="140C75CF" w:rsidR="00927AB5" w:rsidRPr="00C634F0" w:rsidRDefault="00C73567" w:rsidP="00004C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4CF3" w:rsidRPr="00004CF3">
        <w:rPr>
          <w:rFonts w:ascii="Times New Roman" w:hAnsi="Times New Roman" w:cs="Times New Roman"/>
          <w:sz w:val="28"/>
          <w:szCs w:val="28"/>
        </w:rPr>
        <w:t xml:space="preserve"> Экспертные оценки использованы для качественного анализа проблем и перспектив развития трансграничных связей. В частности, были изучены материалы Российского экспортного центра по р</w:t>
      </w:r>
      <w:r>
        <w:rPr>
          <w:rFonts w:ascii="Times New Roman" w:hAnsi="Times New Roman" w:cs="Times New Roman"/>
          <w:sz w:val="28"/>
          <w:szCs w:val="28"/>
        </w:rPr>
        <w:t>азвитию несырьевого экспорта</w:t>
      </w:r>
      <w:r w:rsidR="00004CF3" w:rsidRPr="00004CF3">
        <w:rPr>
          <w:rFonts w:ascii="Times New Roman" w:hAnsi="Times New Roman" w:cs="Times New Roman"/>
          <w:sz w:val="28"/>
          <w:szCs w:val="28"/>
        </w:rPr>
        <w:t>.</w:t>
      </w:r>
    </w:p>
    <w:p w14:paraId="78FADDF3" w14:textId="5A7DD555" w:rsidR="00144296" w:rsidRPr="00144296" w:rsidRDefault="00004CF3" w:rsidP="00623AA3">
      <w:pPr>
        <w:pStyle w:val="a7"/>
        <w:widowControl w:val="0"/>
        <w:numPr>
          <w:ilvl w:val="1"/>
          <w:numId w:val="19"/>
        </w:numPr>
        <w:tabs>
          <w:tab w:val="left" w:pos="1418"/>
        </w:tabs>
        <w:suppressAutoHyphens/>
        <w:spacing w:before="240" w:after="120"/>
        <w:ind w:left="1418" w:hanging="709"/>
        <w:rPr>
          <w:sz w:val="28"/>
          <w:szCs w:val="28"/>
        </w:rPr>
      </w:pPr>
      <w:r w:rsidRPr="00004CF3">
        <w:rPr>
          <w:sz w:val="28"/>
          <w:szCs w:val="28"/>
        </w:rPr>
        <w:t>Нормативно-правовое обеспечение и институциональные условия трансграничного сотрудничества в ДФО</w:t>
      </w:r>
    </w:p>
    <w:p w14:paraId="676076D2" w14:textId="77777777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>Эффективность реализации трансграничного экономического сотрудничества напрямую зависит от качества нормативно-правовой базы и зрелости институциональной среды. В ходе практики в ООО «</w:t>
      </w:r>
      <w:proofErr w:type="spellStart"/>
      <w:r w:rsidRPr="00AC6F89"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 w:rsidRPr="00AC6F89">
        <w:rPr>
          <w:rFonts w:ascii="Times New Roman" w:hAnsi="Times New Roman" w:cs="Times New Roman"/>
          <w:spacing w:val="-4"/>
          <w:sz w:val="28"/>
          <w:szCs w:val="28"/>
        </w:rPr>
        <w:t>» был проведен анализ действующих и вступающих в силу нормативных актов, а также институтов, обеспечивающих регулирование и поддержку внешнеэкономической деятельности и приграничного взаимодействия субъектов ДФО.</w:t>
      </w:r>
    </w:p>
    <w:p w14:paraId="7FB9E3ED" w14:textId="77777777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lastRenderedPageBreak/>
        <w:t>На федеральном уровне правовую основу трансграничного сотрудничества составляют несколько ключевых документов. Концепция приграничного сотрудничества в Российской Федерации (утв. Распоряжением Правительства РФ от 07.10.2020 № 2577-р) определяет основные направления развития приграничных территорий, включая Дальний Восток [11]. Федеральный закон № 179-ФЗ «Об основах приграничного сотрудничества в Российской Федерации» устанавливает правовые основы взаимодействия органов государственной власти субъектов РФ с административно-территориальными образованиями сопредельных государств [12]. В рамках национального проекта «Международная кооперация и экспорт» ДФО выделен как пилотный регион для внедрения экспортных стандартов, что создает дополнительные стимулы для развития трансграничных связей.</w:t>
      </w:r>
    </w:p>
    <w:p w14:paraId="11CF0B3D" w14:textId="02802B33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Институциональная архитектура поддержки трансграничного сотрудничества в ДФО представлена двумя группами участников. К числу ключевых государственных институтов развития относится Корпорация развития Дальнего Востока и Арктики (КРДВ), выполняющая функции управляющей компании преференциальных режимов 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 территорий опережающего развития и международных территорий опережающего развития. Корпорация отвечает за привлечение инвестиций, сопровождение резидентов и реализацию инфраструктурных проектов. Министерство Российской Федерации по развитию Дальнего Востока и Арктики является федеральным органом исполнительной власти, осуществляющим выработку государственной политики и нормативно-правовое регулирование в сфере развития макрорегиона. Важную роль в поддержке внешнеэкономической деятельности играет Российский экспортный центр (РЭЦ), предоставляющий экспортерам финансовые и нефинансовые инструменты содействия, включая страхование, кредитование </w:t>
      </w:r>
      <w:r>
        <w:rPr>
          <w:rFonts w:ascii="Times New Roman" w:hAnsi="Times New Roman" w:cs="Times New Roman"/>
          <w:spacing w:val="-4"/>
          <w:sz w:val="28"/>
          <w:szCs w:val="28"/>
        </w:rPr>
        <w:t>и консультационную поддержку</w:t>
      </w:r>
      <w:r w:rsidRPr="00AC6F89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3F1F752F" w14:textId="6684BFC1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>Значимым элементом институциональной среды выступают бизнес-ассоциации и общественные структуры, которые агрегируют и представляют интересы предпринимательского сообщества, участвуют в выработке предложений по совершенствованию законодательства и практических механизмов реализации трансгра</w:t>
      </w: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ничных проектов. Среди них -</w:t>
      </w:r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 Межрегиональная ассоциация экономического взаимодействия субъектов ДФО (</w:t>
      </w:r>
      <w:proofErr w:type="spellStart"/>
      <w:r w:rsidRPr="00AC6F89">
        <w:rPr>
          <w:rFonts w:ascii="Times New Roman" w:hAnsi="Times New Roman" w:cs="Times New Roman"/>
          <w:spacing w:val="-4"/>
          <w:sz w:val="28"/>
          <w:szCs w:val="28"/>
        </w:rPr>
        <w:t>МАДВиЗ</w:t>
      </w:r>
      <w:proofErr w:type="spellEnd"/>
      <w:r w:rsidRPr="00AC6F89">
        <w:rPr>
          <w:rFonts w:ascii="Times New Roman" w:hAnsi="Times New Roman" w:cs="Times New Roman"/>
          <w:spacing w:val="-4"/>
          <w:sz w:val="28"/>
          <w:szCs w:val="28"/>
        </w:rPr>
        <w:t>), объединяющая усилия региональных властей и бизнеса для решения задач социально-экономического развития Дальнего Востока. ООО «</w:t>
      </w:r>
      <w:proofErr w:type="spellStart"/>
      <w:r w:rsidRPr="00AC6F89"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 w:rsidRPr="00AC6F89">
        <w:rPr>
          <w:rFonts w:ascii="Times New Roman" w:hAnsi="Times New Roman" w:cs="Times New Roman"/>
          <w:spacing w:val="-4"/>
          <w:sz w:val="28"/>
          <w:szCs w:val="28"/>
        </w:rPr>
        <w:t>» в рамках своей деятельности освещает работу указанных организаций, обеспечивая информационное сопровождение их инициатив. Взаимодействие государственных институтов развития и бизнес-ассоциаций создает основу для системной поддержки трансграничного сотрудничества, обеспечивая как нормативно-правовое регулирование, так и практическое сопровождение инвестиционных проектов.</w:t>
      </w:r>
    </w:p>
    <w:p w14:paraId="7963F308" w14:textId="77777777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>Г.А. Борщевский в своем исследовании отмечает, что преференциальные режимы оказывают значительное влияние на развитие макрорегиона Дальнего Востока, однако их эффективность зависит от качества институциональной среды и координации между различными уровнями власти [13]. С.Н. Леонов подчеркивает, что преференциальные режимы созданных локальных точек роста имеют как положительные, так и отрицательные стороны, и их влияние на экономику Дальнего Востока требует дальнейшего изучения [14].</w:t>
      </w:r>
    </w:p>
    <w:p w14:paraId="6E849A55" w14:textId="77777777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Д.А. Владимирова, Е.Н. </w:t>
      </w:r>
      <w:proofErr w:type="spellStart"/>
      <w:r w:rsidRPr="00AC6F89">
        <w:rPr>
          <w:rFonts w:ascii="Times New Roman" w:hAnsi="Times New Roman" w:cs="Times New Roman"/>
          <w:spacing w:val="-4"/>
          <w:sz w:val="28"/>
          <w:szCs w:val="28"/>
        </w:rPr>
        <w:t>Давыборец</w:t>
      </w:r>
      <w:proofErr w:type="spellEnd"/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 и И.В. </w:t>
      </w:r>
      <w:proofErr w:type="spellStart"/>
      <w:r w:rsidRPr="00AC6F89">
        <w:rPr>
          <w:rFonts w:ascii="Times New Roman" w:hAnsi="Times New Roman" w:cs="Times New Roman"/>
          <w:spacing w:val="-4"/>
          <w:sz w:val="28"/>
          <w:szCs w:val="28"/>
        </w:rPr>
        <w:t>Радиков</w:t>
      </w:r>
      <w:proofErr w:type="spellEnd"/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 в своей работе отмечают, что «поворот России на Восток» создает новые вызовы и возможности в развитии Дальневосточного региона, требуя комплексного подхода к институциональному обеспечению трансграничного сотрудничества [15]. Е.С. Шилец и В.В. Пилипенко в своем исследовании анализируют воздействие территорий опережающего развития на экономику Дальнего Востока, подчеркивая необходимость совершенствования механизмов их реализации [16].</w:t>
      </w:r>
    </w:p>
    <w:p w14:paraId="549D491A" w14:textId="3C65DF76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В рамках практики было проведено исследование нового правового режима, запускаемого с 1 января 2026 года. Федеральный закон от 31.07.2025 № 285-ФЗ вносит изменения в Федеральный закон от 29.12.2014 № 473-ФЗ «О территориях опережающего развития в Российской Федерации», дополняя его новой главой, устанавливающей особенности создания и функционирования международных территорий </w:t>
      </w:r>
      <w:r>
        <w:rPr>
          <w:rFonts w:ascii="Times New Roman" w:hAnsi="Times New Roman" w:cs="Times New Roman"/>
          <w:spacing w:val="-4"/>
          <w:sz w:val="28"/>
          <w:szCs w:val="28"/>
        </w:rPr>
        <w:t>опережающего развития (МТОР)</w:t>
      </w:r>
      <w:r w:rsidRPr="00AC6F89">
        <w:rPr>
          <w:rFonts w:ascii="Times New Roman" w:hAnsi="Times New Roman" w:cs="Times New Roman"/>
          <w:spacing w:val="-4"/>
          <w:sz w:val="28"/>
          <w:szCs w:val="28"/>
        </w:rPr>
        <w:t>. Ключевые параметры нового режима представлены в таблице 1.</w:t>
      </w:r>
    </w:p>
    <w:p w14:paraId="310A3D18" w14:textId="77777777" w:rsidR="00AC6F89" w:rsidRPr="00AC6F89" w:rsidRDefault="00AC6F89" w:rsidP="00AC6F8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95B627E" w14:textId="2238EEF2" w:rsidR="00AC6F89" w:rsidRPr="005569FB" w:rsidRDefault="00AC6F89" w:rsidP="001122AB">
      <w:pPr>
        <w:spacing w:after="12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Таблица 1 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AC6F89">
        <w:rPr>
          <w:rFonts w:ascii="Times New Roman" w:hAnsi="Times New Roman" w:cs="Times New Roman"/>
          <w:spacing w:val="-4"/>
          <w:sz w:val="28"/>
          <w:szCs w:val="28"/>
        </w:rPr>
        <w:t xml:space="preserve"> Основные параметры режима международных территорий </w:t>
      </w:r>
      <w:r w:rsidR="00ED6138">
        <w:rPr>
          <w:rFonts w:ascii="Times New Roman" w:hAnsi="Times New Roman" w:cs="Times New Roman"/>
          <w:spacing w:val="-4"/>
          <w:sz w:val="28"/>
          <w:szCs w:val="28"/>
        </w:rPr>
        <w:br/>
        <w:t xml:space="preserve">                                     </w:t>
      </w:r>
      <w:r w:rsidRPr="00AC6F89">
        <w:rPr>
          <w:rFonts w:ascii="Times New Roman" w:hAnsi="Times New Roman" w:cs="Times New Roman"/>
          <w:spacing w:val="-4"/>
          <w:sz w:val="28"/>
          <w:szCs w:val="28"/>
        </w:rPr>
        <w:t>опережающего развития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B2861" w:rsidRPr="00623AA3" w14:paraId="394CD43A" w14:textId="77777777" w:rsidTr="008B2861">
        <w:tc>
          <w:tcPr>
            <w:tcW w:w="48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A82A78" w14:textId="7AF8675C" w:rsidR="008B2861" w:rsidRPr="008B2861" w:rsidRDefault="008B2861" w:rsidP="008B2861">
            <w:pPr>
              <w:spacing w:line="36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Параметр</w:t>
            </w:r>
          </w:p>
        </w:tc>
        <w:tc>
          <w:tcPr>
            <w:tcW w:w="48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226F1" w14:textId="26A228DD" w:rsidR="008B2861" w:rsidRPr="008B2861" w:rsidRDefault="008B2861" w:rsidP="008B2861">
            <w:pPr>
              <w:spacing w:line="36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Содержание преференции</w:t>
            </w:r>
          </w:p>
        </w:tc>
      </w:tr>
      <w:tr w:rsidR="008B2861" w:rsidRPr="00623AA3" w14:paraId="5D553EB3" w14:textId="77777777" w:rsidTr="00C81513">
        <w:tc>
          <w:tcPr>
            <w:tcW w:w="4814" w:type="dxa"/>
            <w:shd w:val="clear" w:color="auto" w:fill="FFFFFF"/>
            <w:vAlign w:val="center"/>
          </w:tcPr>
          <w:p w14:paraId="53768565" w14:textId="36066440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Налог на прибыль (в федеральный бюджет)</w:t>
            </w:r>
          </w:p>
        </w:tc>
        <w:tc>
          <w:tcPr>
            <w:tcW w:w="4814" w:type="dxa"/>
            <w:shd w:val="clear" w:color="auto" w:fill="FFFFFF"/>
            <w:vAlign w:val="center"/>
          </w:tcPr>
          <w:p w14:paraId="04E842BF" w14:textId="2E40CD68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0% на 10 лет</w:t>
            </w:r>
          </w:p>
        </w:tc>
      </w:tr>
      <w:tr w:rsidR="008B2861" w:rsidRPr="00623AA3" w14:paraId="13B42D99" w14:textId="77777777" w:rsidTr="00C81513">
        <w:tc>
          <w:tcPr>
            <w:tcW w:w="4814" w:type="dxa"/>
            <w:shd w:val="clear" w:color="auto" w:fill="FFFFFF"/>
            <w:vAlign w:val="center"/>
          </w:tcPr>
          <w:p w14:paraId="2A534467" w14:textId="0714E6AD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Страховые взносы</w:t>
            </w:r>
          </w:p>
        </w:tc>
        <w:tc>
          <w:tcPr>
            <w:tcW w:w="4814" w:type="dxa"/>
            <w:shd w:val="clear" w:color="auto" w:fill="FFFFFF"/>
            <w:vAlign w:val="center"/>
          </w:tcPr>
          <w:p w14:paraId="5773E20F" w14:textId="47E230CC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7,6% на 10 лет (стандартный тариф — 30%)</w:t>
            </w:r>
          </w:p>
        </w:tc>
      </w:tr>
      <w:tr w:rsidR="008B2861" w:rsidRPr="00623AA3" w14:paraId="441A3CA3" w14:textId="77777777" w:rsidTr="00C81513">
        <w:tc>
          <w:tcPr>
            <w:tcW w:w="4814" w:type="dxa"/>
            <w:shd w:val="clear" w:color="auto" w:fill="FFFFFF"/>
            <w:vAlign w:val="center"/>
          </w:tcPr>
          <w:p w14:paraId="0245F963" w14:textId="4B76D38E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Стабильность правового режима</w:t>
            </w:r>
          </w:p>
        </w:tc>
        <w:tc>
          <w:tcPr>
            <w:tcW w:w="4814" w:type="dxa"/>
            <w:shd w:val="clear" w:color="auto" w:fill="FFFFFF"/>
            <w:vAlign w:val="center"/>
          </w:tcPr>
          <w:p w14:paraId="517D0449" w14:textId="289ED96F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15 лет (запрет на ухудшение условий для резидента)</w:t>
            </w:r>
          </w:p>
        </w:tc>
      </w:tr>
      <w:tr w:rsidR="008B2861" w:rsidRPr="00623AA3" w14:paraId="53D21B2B" w14:textId="77777777" w:rsidTr="00C81513">
        <w:tc>
          <w:tcPr>
            <w:tcW w:w="4814" w:type="dxa"/>
            <w:shd w:val="clear" w:color="auto" w:fill="FFFFFF"/>
            <w:vAlign w:val="center"/>
          </w:tcPr>
          <w:p w14:paraId="3D951B12" w14:textId="710851E9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Иностранные банки</w:t>
            </w:r>
          </w:p>
        </w:tc>
        <w:tc>
          <w:tcPr>
            <w:tcW w:w="4814" w:type="dxa"/>
            <w:shd w:val="clear" w:color="auto" w:fill="FFFFFF"/>
            <w:vAlign w:val="center"/>
          </w:tcPr>
          <w:p w14:paraId="1C3C63EC" w14:textId="673B48A2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Возможность открытия дополнительного филиала на МТОР</w:t>
            </w:r>
          </w:p>
        </w:tc>
      </w:tr>
      <w:tr w:rsidR="008B2861" w:rsidRPr="00623AA3" w14:paraId="1E9ED7F5" w14:textId="77777777" w:rsidTr="00C81513">
        <w:tc>
          <w:tcPr>
            <w:tcW w:w="4814" w:type="dxa"/>
            <w:shd w:val="clear" w:color="auto" w:fill="FFFFFF"/>
            <w:vAlign w:val="center"/>
          </w:tcPr>
          <w:p w14:paraId="3E691092" w14:textId="685E6BC1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Минимальный объем инвестиций</w:t>
            </w:r>
          </w:p>
        </w:tc>
        <w:tc>
          <w:tcPr>
            <w:tcW w:w="4814" w:type="dxa"/>
            <w:shd w:val="clear" w:color="auto" w:fill="FFFFFF"/>
            <w:vAlign w:val="center"/>
          </w:tcPr>
          <w:p w14:paraId="5FAD839C" w14:textId="0958C374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500 млн рублей</w:t>
            </w:r>
          </w:p>
        </w:tc>
      </w:tr>
      <w:tr w:rsidR="008B2861" w:rsidRPr="00623AA3" w14:paraId="71919C98" w14:textId="77777777" w:rsidTr="00C81513">
        <w:tc>
          <w:tcPr>
            <w:tcW w:w="4814" w:type="dxa"/>
            <w:shd w:val="clear" w:color="auto" w:fill="FFFFFF"/>
            <w:vAlign w:val="center"/>
          </w:tcPr>
          <w:p w14:paraId="4ECF9524" w14:textId="2D4EE1AE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Максимальная площадь</w:t>
            </w:r>
          </w:p>
        </w:tc>
        <w:tc>
          <w:tcPr>
            <w:tcW w:w="4814" w:type="dxa"/>
            <w:shd w:val="clear" w:color="auto" w:fill="FFFFFF"/>
            <w:vAlign w:val="center"/>
          </w:tcPr>
          <w:p w14:paraId="0C995654" w14:textId="46348DF4" w:rsidR="008B2861" w:rsidRPr="008B2861" w:rsidRDefault="008B2861" w:rsidP="008B2861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B286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20 км²</w:t>
            </w:r>
          </w:p>
        </w:tc>
      </w:tr>
    </w:tbl>
    <w:p w14:paraId="0B015333" w14:textId="570319CE" w:rsidR="008B2861" w:rsidRPr="008B2861" w:rsidRDefault="00AC6F89" w:rsidP="00AC6F89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6F89">
        <w:rPr>
          <w:rFonts w:ascii="Times New Roman" w:hAnsi="Times New Roman" w:cs="Times New Roman"/>
          <w:spacing w:val="-4"/>
          <w:sz w:val="28"/>
          <w:szCs w:val="28"/>
        </w:rPr>
        <w:t>Преференции МТОР формируют комплексный механизм привлечения долгосрочных инвестиций. Обнуление налога на прибыль и снижение страховых взносов до 7,6% позволяют резидентам направлять высвобождаемые средства на развитие производства. Гарантия неизменности условий в течение 15 лет снижает регуляторные риски для иностранных инвесторов, а порог в 500 млн рублей ориентирует режим на крупные проекты с высокой добавленной стоимостью. Ограничение площади (20 км²) обеспечивает управляемость и адресность предоставляемых льгот</w:t>
      </w:r>
    </w:p>
    <w:p w14:paraId="13B25E76" w14:textId="08C3758F" w:rsidR="008B2861" w:rsidRPr="00144296" w:rsidRDefault="008B2861" w:rsidP="00AC6F89">
      <w:pPr>
        <w:pStyle w:val="a7"/>
        <w:widowControl w:val="0"/>
        <w:numPr>
          <w:ilvl w:val="1"/>
          <w:numId w:val="19"/>
        </w:numPr>
        <w:tabs>
          <w:tab w:val="left" w:pos="1418"/>
        </w:tabs>
        <w:suppressAutoHyphens/>
        <w:spacing w:before="240" w:after="120"/>
        <w:ind w:left="1276" w:hanging="567"/>
        <w:rPr>
          <w:sz w:val="28"/>
          <w:szCs w:val="28"/>
        </w:rPr>
      </w:pPr>
      <w:r w:rsidRPr="008B2861">
        <w:rPr>
          <w:sz w:val="28"/>
          <w:szCs w:val="28"/>
        </w:rPr>
        <w:t>Характеристика базы практики и роль ООО «</w:t>
      </w:r>
      <w:proofErr w:type="spellStart"/>
      <w:r w:rsidRPr="008B2861">
        <w:rPr>
          <w:sz w:val="28"/>
          <w:szCs w:val="28"/>
        </w:rPr>
        <w:t>ЭкспертГрупп</w:t>
      </w:r>
      <w:proofErr w:type="spellEnd"/>
      <w:r w:rsidRPr="008B2861">
        <w:rPr>
          <w:sz w:val="28"/>
          <w:szCs w:val="28"/>
        </w:rPr>
        <w:t>» в информационном сопровождении трансграничных проектов</w:t>
      </w:r>
    </w:p>
    <w:p w14:paraId="274DA803" w14:textId="425C9E90" w:rsidR="002D71E9" w:rsidRPr="002D71E9" w:rsidRDefault="002D71E9" w:rsidP="002D71E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D71E9">
        <w:rPr>
          <w:rFonts w:ascii="Times New Roman" w:hAnsi="Times New Roman" w:cs="Times New Roman"/>
          <w:spacing w:val="-4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» (г. Владивосток) 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2D71E9">
        <w:rPr>
          <w:rFonts w:ascii="Times New Roman" w:hAnsi="Times New Roman" w:cs="Times New Roman"/>
          <w:spacing w:val="-4"/>
          <w:sz w:val="28"/>
          <w:szCs w:val="28"/>
        </w:rPr>
        <w:t xml:space="preserve"> организация, специализирующаяся на деятельности в сфере средств массовой информации, информационных и консультационных услугах. Компания осуществляет полный цикл работ по информационному сопровождению деятельности государственных органов, бизнес-структур и общественных организаций Дальневосточного реги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она. Основной вид деятельности 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2D71E9">
        <w:rPr>
          <w:rFonts w:ascii="Times New Roman" w:hAnsi="Times New Roman" w:cs="Times New Roman"/>
          <w:spacing w:val="-4"/>
          <w:sz w:val="28"/>
          <w:szCs w:val="28"/>
        </w:rPr>
        <w:t xml:space="preserve"> подготовка и распространение информационных материалов (новост</w:t>
      </w:r>
      <w:r w:rsidRPr="002D71E9">
        <w:rPr>
          <w:rFonts w:ascii="Times New Roman" w:hAnsi="Times New Roman" w:cs="Times New Roman"/>
          <w:spacing w:val="-4"/>
          <w:sz w:val="28"/>
          <w:szCs w:val="28"/>
        </w:rPr>
        <w:lastRenderedPageBreak/>
        <w:t>ных, аналитических, экспертных) по вопросам социально-экономического развития Дальневосточного региона, включая внешнеэкономическую деятельность и трансграничное сотрудничество.</w:t>
      </w:r>
    </w:p>
    <w:p w14:paraId="6EC73D3B" w14:textId="77777777" w:rsidR="002D71E9" w:rsidRPr="002D71E9" w:rsidRDefault="002D71E9" w:rsidP="002D71E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D71E9">
        <w:rPr>
          <w:rFonts w:ascii="Times New Roman" w:hAnsi="Times New Roman" w:cs="Times New Roman"/>
          <w:spacing w:val="-4"/>
          <w:sz w:val="28"/>
          <w:szCs w:val="28"/>
        </w:rPr>
        <w:t>Выбор данной организации в качестве базы практики обусловлен прямым соответствием ее профиля теме магистерского исследования. В условиях, когда эффективность государственного и муниципального управления во многом зависит от качества информационной среды и обратной связи с обществом, деятельность организаций, специализирующихся на региональной проблематике, приобретает особое значение. ООО «</w:t>
      </w:r>
      <w:proofErr w:type="spellStart"/>
      <w:r w:rsidRPr="002D71E9"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 w:rsidRPr="002D71E9">
        <w:rPr>
          <w:rFonts w:ascii="Times New Roman" w:hAnsi="Times New Roman" w:cs="Times New Roman"/>
          <w:spacing w:val="-4"/>
          <w:sz w:val="28"/>
          <w:szCs w:val="28"/>
        </w:rPr>
        <w:t>» является для органов власти и бизнеса не только источником информации, но и каналом коммуникации, формирующим общественное мнение о реализации государственных программ и инвестиционных проектов.</w:t>
      </w:r>
    </w:p>
    <w:p w14:paraId="409F56A0" w14:textId="2A4FCB97" w:rsidR="002D71E9" w:rsidRPr="002D71E9" w:rsidRDefault="002D71E9" w:rsidP="002D71E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D71E9">
        <w:rPr>
          <w:rFonts w:ascii="Times New Roman" w:hAnsi="Times New Roman" w:cs="Times New Roman"/>
          <w:spacing w:val="-4"/>
          <w:sz w:val="28"/>
          <w:szCs w:val="28"/>
        </w:rPr>
        <w:t xml:space="preserve">В период прохождения практики с 25 </w:t>
      </w:r>
      <w:r>
        <w:rPr>
          <w:rFonts w:ascii="Times New Roman" w:hAnsi="Times New Roman" w:cs="Times New Roman"/>
          <w:spacing w:val="-4"/>
          <w:sz w:val="28"/>
          <w:szCs w:val="28"/>
        </w:rPr>
        <w:t>мая по 17 июля 2026 года</w:t>
      </w:r>
      <w:r w:rsidRPr="002D71E9">
        <w:rPr>
          <w:rFonts w:ascii="Times New Roman" w:hAnsi="Times New Roman" w:cs="Times New Roman"/>
          <w:spacing w:val="-4"/>
          <w:sz w:val="28"/>
          <w:szCs w:val="28"/>
        </w:rPr>
        <w:t xml:space="preserve"> выполнялся следующий комплекс задач, непосредственно связанных с темой исследования:</w:t>
      </w:r>
    </w:p>
    <w:p w14:paraId="2F873AA0" w14:textId="35C7C340" w:rsidR="002D71E9" w:rsidRPr="002D71E9" w:rsidRDefault="00E76EC8" w:rsidP="002D71E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2D71E9" w:rsidRPr="002D71E9">
        <w:rPr>
          <w:rFonts w:ascii="Times New Roman" w:hAnsi="Times New Roman" w:cs="Times New Roman"/>
          <w:spacing w:val="-4"/>
          <w:sz w:val="28"/>
          <w:szCs w:val="28"/>
        </w:rPr>
        <w:t xml:space="preserve"> Мониторинг и анализ информационного поля по вопросам </w:t>
      </w:r>
      <w:r w:rsidR="002D71E9">
        <w:rPr>
          <w:rFonts w:ascii="Times New Roman" w:hAnsi="Times New Roman" w:cs="Times New Roman"/>
          <w:spacing w:val="-4"/>
          <w:sz w:val="28"/>
          <w:szCs w:val="28"/>
        </w:rPr>
        <w:t>трансграничного сотрудничества.</w:t>
      </w:r>
    </w:p>
    <w:p w14:paraId="2620D859" w14:textId="77777777" w:rsidR="00E76EC8" w:rsidRDefault="002D71E9" w:rsidP="002D71E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D71E9">
        <w:rPr>
          <w:rFonts w:ascii="Times New Roman" w:hAnsi="Times New Roman" w:cs="Times New Roman"/>
          <w:spacing w:val="-4"/>
          <w:sz w:val="28"/>
          <w:szCs w:val="28"/>
        </w:rPr>
        <w:t xml:space="preserve">В рамках данного направления осуществлялся ежедневный мониторинг федеральных и региональных СМИ, официальных сайтов государственных органов (Минвостокразвития России, КРДВ, РЭЦ) и специализированных информационных ресурсов по вопросам внешнеэкономической деятельности ДФО. </w:t>
      </w:r>
    </w:p>
    <w:p w14:paraId="71E0EB82" w14:textId="6F9444D0" w:rsidR="002D71E9" w:rsidRDefault="002D71E9" w:rsidP="002D71E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D71E9">
        <w:rPr>
          <w:rFonts w:ascii="Times New Roman" w:hAnsi="Times New Roman" w:cs="Times New Roman"/>
          <w:spacing w:val="-4"/>
          <w:sz w:val="28"/>
          <w:szCs w:val="28"/>
        </w:rPr>
        <w:t>Были проанализированы публикации, посвященные реализации инфраструктурных проектов, строительству крупных промышленных объектов с участием иностранного капитала, а также запуску с 1 января 2026 года международных территорий опережающего развития (МТОР) и реакции бизнес-сообщества на новый преференциальный режим.</w:t>
      </w:r>
    </w:p>
    <w:p w14:paraId="71256EEB" w14:textId="6DCE4A4A" w:rsidR="00E76EC8" w:rsidRPr="00E76EC8" w:rsidRDefault="00E76EC8" w:rsidP="00E76E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76EC8">
        <w:rPr>
          <w:rFonts w:ascii="Times New Roman" w:hAnsi="Times New Roman" w:cs="Times New Roman"/>
          <w:spacing w:val="-4"/>
          <w:sz w:val="28"/>
          <w:szCs w:val="28"/>
        </w:rPr>
        <w:t>Подготовка информационных и экспертных материалов. На основе собранной информации принималось участие в подготовке информационных бюллетеней и обзоров дл</w:t>
      </w:r>
      <w:r>
        <w:rPr>
          <w:rFonts w:ascii="Times New Roman" w:hAnsi="Times New Roman" w:cs="Times New Roman"/>
          <w:spacing w:val="-4"/>
          <w:sz w:val="28"/>
          <w:szCs w:val="28"/>
        </w:rPr>
        <w:t>я партнеров ООО «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>» -</w:t>
      </w:r>
      <w:r w:rsidRPr="00E76EC8">
        <w:rPr>
          <w:rFonts w:ascii="Times New Roman" w:hAnsi="Times New Roman" w:cs="Times New Roman"/>
          <w:spacing w:val="-4"/>
          <w:sz w:val="28"/>
          <w:szCs w:val="28"/>
        </w:rPr>
        <w:t xml:space="preserve"> органов государственной власти Приморского края и бизнес-ассоциаций. Материалы охватывали динамику несырь</w:t>
      </w:r>
      <w:r w:rsidRPr="00E76EC8">
        <w:rPr>
          <w:rFonts w:ascii="Times New Roman" w:hAnsi="Times New Roman" w:cs="Times New Roman"/>
          <w:spacing w:val="-4"/>
          <w:sz w:val="28"/>
          <w:szCs w:val="28"/>
        </w:rPr>
        <w:lastRenderedPageBreak/>
        <w:t>евого экспорта ДФО в КНР, перспективные направления взаимодействия и инфраструктурные проекты в рамках преференциальных режимов. Работа позволила изучить нормативную базу и выработать навыки презентации управленческой и экономической информации для различных целевых аудиторий.</w:t>
      </w:r>
    </w:p>
    <w:p w14:paraId="2E8410E9" w14:textId="77777777" w:rsidR="00E76EC8" w:rsidRPr="00E76EC8" w:rsidRDefault="00E76EC8" w:rsidP="00E76E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76EC8">
        <w:rPr>
          <w:rFonts w:ascii="Times New Roman" w:hAnsi="Times New Roman" w:cs="Times New Roman"/>
          <w:spacing w:val="-4"/>
          <w:sz w:val="28"/>
          <w:szCs w:val="28"/>
        </w:rPr>
        <w:t>Участие в информационном сопровождении мероприятий. В период практики организовано освещение заседаний экспертных советов при Межрегиональной ассоциации экономического взаимодействия субъектов ДФО (</w:t>
      </w:r>
      <w:proofErr w:type="spellStart"/>
      <w:r w:rsidRPr="00E76EC8">
        <w:rPr>
          <w:rFonts w:ascii="Times New Roman" w:hAnsi="Times New Roman" w:cs="Times New Roman"/>
          <w:spacing w:val="-4"/>
          <w:sz w:val="28"/>
          <w:szCs w:val="28"/>
        </w:rPr>
        <w:t>МАДВиЗ</w:t>
      </w:r>
      <w:proofErr w:type="spellEnd"/>
      <w:r w:rsidRPr="00E76EC8">
        <w:rPr>
          <w:rFonts w:ascii="Times New Roman" w:hAnsi="Times New Roman" w:cs="Times New Roman"/>
          <w:spacing w:val="-4"/>
          <w:sz w:val="28"/>
          <w:szCs w:val="28"/>
        </w:rPr>
        <w:t>), посвященных реализации МТОР и модернизации погранпереходов. Подготовлены пресс-релизы и посты для социальных сетей.</w:t>
      </w:r>
    </w:p>
    <w:p w14:paraId="0831C94D" w14:textId="3EFCE26B" w:rsidR="00E76EC8" w:rsidRPr="00E76EC8" w:rsidRDefault="00E76EC8" w:rsidP="00E76E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76EC8">
        <w:rPr>
          <w:rFonts w:ascii="Times New Roman" w:hAnsi="Times New Roman" w:cs="Times New Roman"/>
          <w:spacing w:val="-4"/>
          <w:sz w:val="28"/>
          <w:szCs w:val="28"/>
        </w:rPr>
        <w:t>Систематизация информации о ключевых проектах. Проведена работа по актуализации базы данных ООО «</w:t>
      </w:r>
      <w:proofErr w:type="spellStart"/>
      <w:r w:rsidRPr="00E76EC8"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 w:rsidRPr="00E76EC8">
        <w:rPr>
          <w:rFonts w:ascii="Times New Roman" w:hAnsi="Times New Roman" w:cs="Times New Roman"/>
          <w:spacing w:val="-4"/>
          <w:sz w:val="28"/>
          <w:szCs w:val="28"/>
        </w:rPr>
        <w:t xml:space="preserve">» по инвестиционным проектам ДФО с участием иностранного капитала. Структурированы данные об Амурском ГПЗ (5 из 6 линий построены), Амурском ГХК (готовность 90%, запуск в III квартале 2026 года) и «Сухом порте Благовещенск» (запущен в мае 2026 года, мощность 520 тыс. </w:t>
      </w:r>
      <w:r>
        <w:rPr>
          <w:rFonts w:ascii="Times New Roman" w:hAnsi="Times New Roman" w:cs="Times New Roman"/>
          <w:spacing w:val="-4"/>
          <w:sz w:val="28"/>
          <w:szCs w:val="28"/>
        </w:rPr>
        <w:t>тонн грузов в год, к 2030 году -</w:t>
      </w:r>
      <w:r w:rsidRPr="00E76EC8">
        <w:rPr>
          <w:rFonts w:ascii="Times New Roman" w:hAnsi="Times New Roman" w:cs="Times New Roman"/>
          <w:spacing w:val="-4"/>
          <w:sz w:val="28"/>
          <w:szCs w:val="28"/>
        </w:rPr>
        <w:t xml:space="preserve"> 800 тыс. тонн).</w:t>
      </w:r>
    </w:p>
    <w:p w14:paraId="32597441" w14:textId="1E294A77" w:rsidR="00E76EC8" w:rsidRDefault="00E76EC8" w:rsidP="00E76EC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76EC8">
        <w:rPr>
          <w:rFonts w:ascii="Times New Roman" w:hAnsi="Times New Roman" w:cs="Times New Roman"/>
          <w:spacing w:val="-4"/>
          <w:sz w:val="28"/>
          <w:szCs w:val="28"/>
        </w:rPr>
        <w:t>Таким образом, прохождение практики позволило применить методологию исследования трансграничных процессов: от сбора и анализа информации до подготовки структурированных материалов. Полученный опыт будет использован при работе над магистерской диссертацией и в профессиональной деятельности.</w:t>
      </w:r>
    </w:p>
    <w:p w14:paraId="5910CC8D" w14:textId="1C1952BB" w:rsidR="00E76EC8" w:rsidRPr="002D71E9" w:rsidRDefault="00E76EC8" w:rsidP="00E76EC8">
      <w:pPr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br w:type="page"/>
      </w:r>
    </w:p>
    <w:p w14:paraId="3CDB2337" w14:textId="6C20AD8A" w:rsidR="00555FE6" w:rsidRDefault="00000134" w:rsidP="002B0953">
      <w:pPr>
        <w:pStyle w:val="a7"/>
        <w:widowControl w:val="0"/>
        <w:numPr>
          <w:ilvl w:val="0"/>
          <w:numId w:val="11"/>
        </w:numPr>
        <w:tabs>
          <w:tab w:val="left" w:pos="1134"/>
        </w:tabs>
        <w:spacing w:after="0"/>
        <w:jc w:val="left"/>
        <w:rPr>
          <w:szCs w:val="30"/>
        </w:rPr>
      </w:pPr>
      <w:r w:rsidRPr="00000134">
        <w:rPr>
          <w:szCs w:val="30"/>
        </w:rPr>
        <w:lastRenderedPageBreak/>
        <w:t xml:space="preserve">Анализ мер поддержки и методов оценки влияния </w:t>
      </w:r>
      <w:r>
        <w:rPr>
          <w:szCs w:val="30"/>
        </w:rPr>
        <w:br/>
      </w:r>
      <w:r w:rsidRPr="00000134">
        <w:rPr>
          <w:szCs w:val="30"/>
        </w:rPr>
        <w:t>трансграничного сотрудничества на</w:t>
      </w:r>
      <w:r>
        <w:rPr>
          <w:szCs w:val="30"/>
        </w:rPr>
        <w:t xml:space="preserve"> экономику субъектов ДФО</w:t>
      </w:r>
    </w:p>
    <w:p w14:paraId="3FDD534D" w14:textId="75D1D8D0" w:rsidR="005E0B31" w:rsidRPr="00555FE6" w:rsidRDefault="008E7B17" w:rsidP="00D2697F">
      <w:pPr>
        <w:pStyle w:val="a7"/>
        <w:widowControl w:val="0"/>
        <w:tabs>
          <w:tab w:val="left" w:pos="1418"/>
        </w:tabs>
        <w:suppressAutoHyphens/>
        <w:spacing w:before="240" w:after="120"/>
        <w:ind w:left="1134" w:hanging="425"/>
        <w:rPr>
          <w:szCs w:val="30"/>
        </w:rPr>
      </w:pPr>
      <w:bookmarkStart w:id="13" w:name="_Hlk140433182"/>
      <w:r>
        <w:rPr>
          <w:sz w:val="28"/>
          <w:szCs w:val="28"/>
        </w:rPr>
        <w:t>2.1</w:t>
      </w:r>
      <w:r w:rsidR="00294CDA">
        <w:rPr>
          <w:sz w:val="28"/>
          <w:szCs w:val="28"/>
        </w:rPr>
        <w:t xml:space="preserve"> </w:t>
      </w:r>
      <w:r w:rsidRPr="008E7B17">
        <w:rPr>
          <w:sz w:val="28"/>
          <w:szCs w:val="28"/>
        </w:rPr>
        <w:t xml:space="preserve">Ключевые проекты трансграничного сотрудничества и их </w:t>
      </w:r>
      <w:r w:rsidR="00294CDA">
        <w:rPr>
          <w:sz w:val="28"/>
          <w:szCs w:val="28"/>
        </w:rPr>
        <w:t xml:space="preserve"> </w:t>
      </w:r>
      <w:r w:rsidR="00294CDA">
        <w:rPr>
          <w:sz w:val="28"/>
          <w:szCs w:val="28"/>
        </w:rPr>
        <w:br/>
        <w:t xml:space="preserve">   </w:t>
      </w:r>
      <w:r w:rsidRPr="008E7B17">
        <w:rPr>
          <w:sz w:val="28"/>
          <w:szCs w:val="28"/>
        </w:rPr>
        <w:t>влияние на экономику субъектов ДФО</w:t>
      </w:r>
    </w:p>
    <w:bookmarkEnd w:id="13"/>
    <w:p w14:paraId="670A833C" w14:textId="2093F9D7" w:rsidR="008E7B17" w:rsidRPr="00F070A4" w:rsidRDefault="008E7B17" w:rsidP="00294CDA">
      <w:pPr>
        <w:pStyle w:val="a7"/>
        <w:widowControl w:val="0"/>
        <w:tabs>
          <w:tab w:val="left" w:pos="567"/>
        </w:tabs>
        <w:spacing w:after="0" w:line="360" w:lineRule="auto"/>
        <w:ind w:left="0"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F070A4">
        <w:rPr>
          <w:rFonts w:ascii="Times New Roman" w:hAnsi="Times New Roman" w:cs="Times New Roman"/>
          <w:spacing w:val="-4"/>
          <w:sz w:val="28"/>
          <w:szCs w:val="28"/>
        </w:rPr>
        <w:t>В рамках исследования были проанализированы крупнейшие инвестиционные проекты, реализуемые на территории ДФО с участием иностранного капитала и в рамках трансграничного сотрудничества.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70A4">
        <w:rPr>
          <w:rFonts w:ascii="Times New Roman" w:hAnsi="Times New Roman" w:cs="Times New Roman"/>
          <w:spacing w:val="-4"/>
          <w:sz w:val="28"/>
          <w:szCs w:val="28"/>
        </w:rPr>
        <w:t>Газохимический кластер в Амурской области</w:t>
      </w:r>
      <w:r w:rsidR="003E5A94" w:rsidRPr="00F070A4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94C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70A4">
        <w:rPr>
          <w:rFonts w:ascii="Times New Roman" w:hAnsi="Times New Roman" w:cs="Times New Roman"/>
          <w:spacing w:val="-4"/>
          <w:sz w:val="28"/>
          <w:szCs w:val="28"/>
        </w:rPr>
        <w:t>Амурская область демонстрирует наиболее впечатляющую динамику экономического роста среди субъектов ДФО, что напрямую связано с реализацией двух крупнейших инвестиционных п</w:t>
      </w:r>
      <w:r w:rsidR="003E5A94"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роектов восточной части страны 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 Амурского газоперерабатывающего завода (ГПЗ) и Амурского газохимического комплекса (ГХК).</w:t>
      </w:r>
    </w:p>
    <w:p w14:paraId="579C304B" w14:textId="77777777" w:rsidR="00545C2F" w:rsidRDefault="008E7B17" w:rsidP="003E5A94">
      <w:pPr>
        <w:pStyle w:val="a7"/>
        <w:widowControl w:val="0"/>
        <w:tabs>
          <w:tab w:val="left" w:pos="567"/>
        </w:tabs>
        <w:spacing w:after="0" w:line="360" w:lineRule="auto"/>
        <w:ind w:left="0"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По состоянию на март 2026 года Амурский ГПЗ компании «Газпром» завершил строительство пяти технологических линий из шести запланированных, </w:t>
      </w:r>
      <w:r w:rsidR="00E76EC8" w:rsidRPr="00F070A4">
        <w:rPr>
          <w:rFonts w:ascii="Times New Roman" w:hAnsi="Times New Roman" w:cs="Times New Roman"/>
          <w:spacing w:val="-4"/>
          <w:sz w:val="28"/>
          <w:szCs w:val="28"/>
        </w:rPr>
        <w:t>идет пусконаладочная работа</w:t>
      </w:r>
      <w:r w:rsidRPr="00F070A4">
        <w:rPr>
          <w:rFonts w:ascii="Times New Roman" w:hAnsi="Times New Roman" w:cs="Times New Roman"/>
          <w:spacing w:val="-4"/>
          <w:sz w:val="28"/>
          <w:szCs w:val="28"/>
        </w:rPr>
        <w:t>. Готовность Амурского ГХК компании СИБУР (совместный проект с китайской Sinopec) достигла 90%, а первая продукция запланирована к выпуску в августе 2026 года [18]. Запуск ГХК в промышленную эксплуатацию намечен</w:t>
      </w:r>
      <w:r w:rsidR="00E76EC8"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 на третий квартал 2026 года</w:t>
      </w:r>
      <w:r w:rsidRPr="00F070A4">
        <w:rPr>
          <w:rFonts w:ascii="Times New Roman" w:hAnsi="Times New Roman" w:cs="Times New Roman"/>
          <w:spacing w:val="-4"/>
          <w:sz w:val="28"/>
          <w:szCs w:val="28"/>
        </w:rPr>
        <w:t>. На Амурском ГХК проводятся пусконаладочные работы под нагрузкой на основных технологических установках</w:t>
      </w:r>
      <w:r w:rsidR="003E5A94"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 пиролиза и полимеризации [19].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F853B3B" w14:textId="046FFF27" w:rsidR="008E7B17" w:rsidRPr="00F070A4" w:rsidRDefault="008E7B17" w:rsidP="003E5A94">
      <w:pPr>
        <w:pStyle w:val="a7"/>
        <w:widowControl w:val="0"/>
        <w:tabs>
          <w:tab w:val="left" w:pos="567"/>
        </w:tabs>
        <w:spacing w:after="0" w:line="360" w:lineRule="auto"/>
        <w:ind w:left="0"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F070A4">
        <w:rPr>
          <w:rFonts w:ascii="Times New Roman" w:hAnsi="Times New Roman" w:cs="Times New Roman"/>
          <w:spacing w:val="-4"/>
          <w:sz w:val="28"/>
          <w:szCs w:val="28"/>
        </w:rPr>
        <w:t>Ключевые параметры проектов представлены в таблице 2.</w:t>
      </w:r>
    </w:p>
    <w:p w14:paraId="4CD544D9" w14:textId="198C5514" w:rsidR="008E7B17" w:rsidRPr="00F070A4" w:rsidRDefault="003E5A94" w:rsidP="001122AB">
      <w:pPr>
        <w:pStyle w:val="a7"/>
        <w:widowControl w:val="0"/>
        <w:tabs>
          <w:tab w:val="left" w:pos="567"/>
        </w:tabs>
        <w:spacing w:after="120"/>
        <w:ind w:left="0"/>
        <w:rPr>
          <w:rFonts w:ascii="Times New Roman" w:hAnsi="Times New Roman" w:cs="Times New Roman"/>
          <w:spacing w:val="-4"/>
          <w:sz w:val="28"/>
          <w:szCs w:val="28"/>
        </w:rPr>
      </w:pPr>
      <w:r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Таблица 2 </w:t>
      </w:r>
      <w:r w:rsidR="001122A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E7B17"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 Основные параметры проектов газохимического кластера в </w:t>
      </w:r>
      <w:r w:rsidR="00ED6138"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</w:t>
      </w:r>
      <w:r w:rsidR="00ED6138" w:rsidRPr="00F070A4">
        <w:rPr>
          <w:rFonts w:ascii="Times New Roman" w:hAnsi="Times New Roman" w:cs="Times New Roman"/>
          <w:spacing w:val="-4"/>
          <w:sz w:val="28"/>
          <w:szCs w:val="28"/>
        </w:rPr>
        <w:br/>
        <w:t xml:space="preserve">                                 </w:t>
      </w:r>
      <w:r w:rsidR="008E7B17" w:rsidRPr="00F070A4">
        <w:rPr>
          <w:rFonts w:ascii="Times New Roman" w:hAnsi="Times New Roman" w:cs="Times New Roman"/>
          <w:spacing w:val="-4"/>
          <w:sz w:val="28"/>
          <w:szCs w:val="28"/>
        </w:rPr>
        <w:t>Амурской области</w:t>
      </w:r>
      <w:r w:rsidR="00000134" w:rsidRPr="00F070A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3537"/>
      </w:tblGrid>
      <w:tr w:rsidR="003E5A94" w:rsidRPr="003E5A94" w14:paraId="1E6E7607" w14:textId="77777777" w:rsidTr="001122AB">
        <w:tc>
          <w:tcPr>
            <w:tcW w:w="2547" w:type="dxa"/>
            <w:shd w:val="clear" w:color="auto" w:fill="FFFFFF"/>
            <w:vAlign w:val="center"/>
          </w:tcPr>
          <w:p w14:paraId="5A189320" w14:textId="75D2D728" w:rsidR="003E5A94" w:rsidRPr="003E5A94" w:rsidRDefault="003E5A94" w:rsidP="00677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Параметр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BD11022" w14:textId="3495038E" w:rsidR="003E5A94" w:rsidRPr="003E5A94" w:rsidRDefault="003E5A94" w:rsidP="00677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Амурский ГПЗ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1E64DC91" w14:textId="53B63953" w:rsidR="003E5A94" w:rsidRPr="003E5A94" w:rsidRDefault="003E5A94" w:rsidP="00677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Амурский ГХК</w:t>
            </w:r>
          </w:p>
        </w:tc>
      </w:tr>
      <w:tr w:rsidR="003E5A94" w:rsidRPr="003E5A94" w14:paraId="00CA8ECF" w14:textId="77777777" w:rsidTr="001122AB">
        <w:tc>
          <w:tcPr>
            <w:tcW w:w="2547" w:type="dxa"/>
            <w:shd w:val="clear" w:color="auto" w:fill="FFFFFF"/>
            <w:vAlign w:val="center"/>
          </w:tcPr>
          <w:p w14:paraId="0EB2ABBC" w14:textId="10C1FDB9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Инвестор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772FFD2" w14:textId="7D2F4A24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Газпром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11CD01CB" w14:textId="1A3C402A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СИБУР (СП с Sinopec)</w:t>
            </w:r>
          </w:p>
        </w:tc>
      </w:tr>
      <w:tr w:rsidR="003E5A94" w:rsidRPr="003E5A94" w14:paraId="26CCD7B3" w14:textId="77777777" w:rsidTr="001122AB">
        <w:tc>
          <w:tcPr>
            <w:tcW w:w="2547" w:type="dxa"/>
            <w:shd w:val="clear" w:color="auto" w:fill="FFFFFF"/>
            <w:vAlign w:val="center"/>
          </w:tcPr>
          <w:p w14:paraId="75D5484E" w14:textId="1476531E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Мощность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1243BF84" w14:textId="1A5F60CB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42 млрд м³/год газа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4C16EE9D" w14:textId="58111CBE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2,7 млн т/год полимеров</w:t>
            </w:r>
          </w:p>
        </w:tc>
      </w:tr>
      <w:tr w:rsidR="003E5A94" w:rsidRPr="003E5A94" w14:paraId="4CED1CB5" w14:textId="77777777" w:rsidTr="001122AB">
        <w:tc>
          <w:tcPr>
            <w:tcW w:w="2547" w:type="dxa"/>
            <w:shd w:val="clear" w:color="auto" w:fill="FFFFFF"/>
            <w:vAlign w:val="center"/>
          </w:tcPr>
          <w:p w14:paraId="1B7BBFA0" w14:textId="23888C6D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Продукция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5732F8B" w14:textId="487FFE8C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Метан (экспорт в КНР), этан, СУГ, гелий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5EF3E034" w14:textId="71552F9A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Полиэтилен, полипропилен</w:t>
            </w:r>
          </w:p>
        </w:tc>
      </w:tr>
      <w:tr w:rsidR="003E5A94" w:rsidRPr="003E5A94" w14:paraId="10A99E73" w14:textId="77777777" w:rsidTr="001122AB">
        <w:tc>
          <w:tcPr>
            <w:tcW w:w="2547" w:type="dxa"/>
            <w:shd w:val="clear" w:color="auto" w:fill="FFFFFF"/>
            <w:vAlign w:val="center"/>
          </w:tcPr>
          <w:p w14:paraId="3F732239" w14:textId="6C10129D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Статус на 2026 год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3EF4AFB6" w14:textId="3FA711FD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5 линий построены</w:t>
            </w:r>
          </w:p>
        </w:tc>
        <w:tc>
          <w:tcPr>
            <w:tcW w:w="3537" w:type="dxa"/>
            <w:shd w:val="clear" w:color="auto" w:fill="FFFFFF"/>
            <w:vAlign w:val="center"/>
          </w:tcPr>
          <w:p w14:paraId="4C05AC23" w14:textId="0769E19E" w:rsidR="003E5A94" w:rsidRPr="003E5A94" w:rsidRDefault="003E5A94" w:rsidP="00677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A94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Готовность 90%, запуск в III кв. 2026 г.</w:t>
            </w:r>
          </w:p>
        </w:tc>
      </w:tr>
    </w:tbl>
    <w:p w14:paraId="647F98F7" w14:textId="5C76DE97" w:rsidR="00677A45" w:rsidRPr="00677A45" w:rsidRDefault="00677A45" w:rsidP="001122AB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По оценкам губернатора Амурской области В. Орлова, по завершении строительства газохимический кластер станет вторым в мире по мощности [18]. Уровень 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lastRenderedPageBreak/>
        <w:t>газификации региона за пять лет вырос с 0% до 8%, а к 2030 год</w:t>
      </w:r>
      <w:r>
        <w:rPr>
          <w:rFonts w:ascii="Times New Roman" w:hAnsi="Times New Roman" w:cs="Times New Roman"/>
          <w:spacing w:val="-6"/>
          <w:sz w:val="28"/>
          <w:szCs w:val="28"/>
        </w:rPr>
        <w:t>у запланирован выход на 32%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6768A8B7" w14:textId="37942D02" w:rsidR="00677A45" w:rsidRPr="00677A45" w:rsidRDefault="00677A45" w:rsidP="00677A45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77A45">
        <w:rPr>
          <w:rFonts w:ascii="Times New Roman" w:hAnsi="Times New Roman" w:cs="Times New Roman"/>
          <w:spacing w:val="-6"/>
          <w:sz w:val="28"/>
          <w:szCs w:val="28"/>
        </w:rPr>
        <w:t>Транспортно-логистические проекты. Развитие транспортной инфраструктуры является важнейшим условием наращивания трансграничного товарооборота. В мае 2026 года состоялся официальный запуск нулевого этапа многофункционального железнодорожного терминального комплекса «Сухой порт Благовещенск». Проект реа</w:t>
      </w:r>
      <w:r>
        <w:rPr>
          <w:rFonts w:ascii="Times New Roman" w:hAnsi="Times New Roman" w:cs="Times New Roman"/>
          <w:spacing w:val="-6"/>
          <w:sz w:val="28"/>
          <w:szCs w:val="28"/>
        </w:rPr>
        <w:t>лизует резидент ТОР «Амурская» -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 ООО «Октет Сервис» (структура ГК «Регион») [20].</w:t>
      </w:r>
    </w:p>
    <w:p w14:paraId="454058B0" w14:textId="53B833FE" w:rsidR="00677A45" w:rsidRPr="00677A45" w:rsidRDefault="00677A45" w:rsidP="00677A45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77A45">
        <w:rPr>
          <w:rFonts w:ascii="Times New Roman" w:hAnsi="Times New Roman" w:cs="Times New Roman"/>
          <w:spacing w:val="-6"/>
          <w:sz w:val="28"/>
          <w:szCs w:val="28"/>
        </w:rPr>
        <w:t>Общая площадь терминала составляет 312 га, протя</w:t>
      </w:r>
      <w:r>
        <w:rPr>
          <w:rFonts w:ascii="Times New Roman" w:hAnsi="Times New Roman" w:cs="Times New Roman"/>
          <w:spacing w:val="-6"/>
          <w:sz w:val="28"/>
          <w:szCs w:val="28"/>
        </w:rPr>
        <w:t>женность железнодорожных путей -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 7,5 км</w:t>
      </w:r>
      <w:r>
        <w:rPr>
          <w:rFonts w:ascii="Times New Roman" w:hAnsi="Times New Roman" w:cs="Times New Roman"/>
          <w:spacing w:val="-6"/>
          <w:sz w:val="28"/>
          <w:szCs w:val="28"/>
        </w:rPr>
        <w:t>. Стартовая мощность комплекса -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 520 тыс. тонн грузов в год, к 2030 году планируется ее двукратное увеличение. Единовременное хранение составляет 750 TEU, предусмотрен прием до двух контейнерных поездов в сутки. Общ</w:t>
      </w:r>
      <w:r>
        <w:rPr>
          <w:rFonts w:ascii="Times New Roman" w:hAnsi="Times New Roman" w:cs="Times New Roman"/>
          <w:spacing w:val="-6"/>
          <w:sz w:val="28"/>
          <w:szCs w:val="28"/>
        </w:rPr>
        <w:t>ий заявленный объем инвестиций -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 3,8 млрд рублей, из которых уже вл</w:t>
      </w:r>
      <w:r>
        <w:rPr>
          <w:rFonts w:ascii="Times New Roman" w:hAnsi="Times New Roman" w:cs="Times New Roman"/>
          <w:spacing w:val="-6"/>
          <w:sz w:val="28"/>
          <w:szCs w:val="28"/>
        </w:rPr>
        <w:t>ожено свыше 1,3 млрд рублей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>. Терминал является частью проекта «Амурский коридор» и соединяет автомобильный мост Благовещенск–Хэйхэ с Транссибирской магистр</w:t>
      </w:r>
      <w:r>
        <w:rPr>
          <w:rFonts w:ascii="Times New Roman" w:hAnsi="Times New Roman" w:cs="Times New Roman"/>
          <w:spacing w:val="-6"/>
          <w:sz w:val="28"/>
          <w:szCs w:val="28"/>
        </w:rPr>
        <w:t>алью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52635C37" w14:textId="44B11034" w:rsidR="00677A45" w:rsidRPr="00677A45" w:rsidRDefault="00677A45" w:rsidP="00677A45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77A45">
        <w:rPr>
          <w:rFonts w:ascii="Times New Roman" w:hAnsi="Times New Roman" w:cs="Times New Roman"/>
          <w:spacing w:val="-6"/>
          <w:sz w:val="28"/>
          <w:szCs w:val="28"/>
        </w:rPr>
        <w:t>Запуск терминала создает принципиально новую логику движения грузов и усиливает экономическое вз</w:t>
      </w:r>
      <w:r>
        <w:rPr>
          <w:rFonts w:ascii="Times New Roman" w:hAnsi="Times New Roman" w:cs="Times New Roman"/>
          <w:spacing w:val="-6"/>
          <w:sz w:val="28"/>
          <w:szCs w:val="28"/>
        </w:rPr>
        <w:t>аимодействие России и Китая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. Губернатор Амурской области Василий Орлов подчеркнул, что сухой порт станет одним из ключевых транспортных хабов для амурского газохимического кластера [21]. Как отмечают эксперты, модернизация погранпереходов положительно скажется на работе всех участников внешнеэкономической деятельности, поскольку пропускная способность на дальневосточных пунктах пропуска остается </w:t>
      </w:r>
      <w:r>
        <w:rPr>
          <w:rFonts w:ascii="Times New Roman" w:hAnsi="Times New Roman" w:cs="Times New Roman"/>
          <w:spacing w:val="-6"/>
          <w:sz w:val="28"/>
          <w:szCs w:val="28"/>
        </w:rPr>
        <w:t>недостаточной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441A6AD9" w14:textId="65A18B36" w:rsidR="00677A45" w:rsidRPr="00677A45" w:rsidRDefault="00677A45" w:rsidP="00677A45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77A45">
        <w:rPr>
          <w:rFonts w:ascii="Times New Roman" w:hAnsi="Times New Roman" w:cs="Times New Roman"/>
          <w:spacing w:val="-6"/>
          <w:sz w:val="28"/>
          <w:szCs w:val="28"/>
        </w:rPr>
        <w:t>Развитие несырьевого экспорта. По итогам первого полугодия 2025 года несырьевой экспорт из ДФО в КНР вырос на 5% по сравнению с ан</w:t>
      </w:r>
      <w:r>
        <w:rPr>
          <w:rFonts w:ascii="Times New Roman" w:hAnsi="Times New Roman" w:cs="Times New Roman"/>
          <w:spacing w:val="-6"/>
          <w:sz w:val="28"/>
          <w:szCs w:val="28"/>
        </w:rPr>
        <w:t>алогичным периодом 2024 года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>. Основными точками роста стали продукц</w:t>
      </w:r>
      <w:r>
        <w:rPr>
          <w:rFonts w:ascii="Times New Roman" w:hAnsi="Times New Roman" w:cs="Times New Roman"/>
          <w:spacing w:val="-6"/>
          <w:sz w:val="28"/>
          <w:szCs w:val="28"/>
        </w:rPr>
        <w:t>ия агропромышленного комплекса -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 xml:space="preserve"> мороженая рыба, рыбное филе и ракообразные. Перспективными направлениями являются продукция пищевой промышленности (алкогольные и безалкогольные напитки, мороженое, кондитерские изделия), косметика и изделия народ</w:t>
      </w:r>
      <w:r>
        <w:rPr>
          <w:rFonts w:ascii="Times New Roman" w:hAnsi="Times New Roman" w:cs="Times New Roman"/>
          <w:spacing w:val="-6"/>
          <w:sz w:val="28"/>
          <w:szCs w:val="28"/>
        </w:rPr>
        <w:t>ных художественных промыслов</w:t>
      </w:r>
      <w:r w:rsidRPr="00677A4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501718C8" w14:textId="1C664898" w:rsidR="002E37FA" w:rsidRPr="008B5AC0" w:rsidRDefault="003E5A94" w:rsidP="001122AB">
      <w:pPr>
        <w:pStyle w:val="a7"/>
        <w:widowControl w:val="0"/>
        <w:tabs>
          <w:tab w:val="left" w:pos="567"/>
        </w:tabs>
        <w:spacing w:before="240" w:after="120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8B5AC0" w:rsidRPr="008B5AC0">
        <w:rPr>
          <w:sz w:val="28"/>
          <w:szCs w:val="28"/>
        </w:rPr>
        <w:t xml:space="preserve"> </w:t>
      </w:r>
      <w:r w:rsidRPr="003E5A94">
        <w:rPr>
          <w:sz w:val="28"/>
          <w:szCs w:val="28"/>
        </w:rPr>
        <w:t>Методы социально-экономического анализа в выбранной сфере</w:t>
      </w:r>
    </w:p>
    <w:p w14:paraId="7A4D9202" w14:textId="77777777" w:rsidR="00532A32" w:rsidRPr="00532A32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>Для оценки мер поддержки трансграничного сотрудничества и их влияния на экономику субъектов ДФО был применен комплекс методов, обеспечивающих как количественную, так и качественную оценку исследуемых процессов.</w:t>
      </w:r>
    </w:p>
    <w:p w14:paraId="23B3A68D" w14:textId="77777777" w:rsidR="00532A32" w:rsidRPr="00532A32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>Сравнительный анализ позволил выявить различия и сходства в экономических показателях субъектов ДФО, а также определить факторы, обусловливающие лидирующие позиции отдельных регионов. Приморский край демонстрирует наиболее высокие показатели по объему внешней торговли с Китаем, что связано с развитой транспортной инфраструктурой, наличием крупных портовых мощностей и активной инвестиционной политикой региональных властей. В то же время Амурская область показывает динамику экономического роста, обусловленную реализацией крупных газохимических проектов с участием иностранного капитала.</w:t>
      </w:r>
    </w:p>
    <w:p w14:paraId="65EF2D3E" w14:textId="77777777" w:rsidR="00C623EB" w:rsidRDefault="00532A32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Эмпирическая методика базировалась на использовании корреляционного анализа, позволившего установить взаимосвязь между объемами трансграничных торгово-экономических операций и развитием инфраструктуры. </w:t>
      </w:r>
    </w:p>
    <w:p w14:paraId="045BE6F7" w14:textId="6CF3F447" w:rsidR="00532A32" w:rsidRPr="00532A32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>Рост несырьевого экспорта из ДФО в КНР на 5% в первом полугодии 2025 года коррелирует с развитием логистической инфраструктуры региона, включая модернизацию погранпереходов и создание новых транспортных хабов. Данная зависимость подтверждает, что инвестиции в инфраструктуру являются одним из ключевых факторов наращивания экспортного потенциала.</w:t>
      </w:r>
    </w:p>
    <w:p w14:paraId="3A7AC87D" w14:textId="1D5BC166" w:rsidR="00532A32" w:rsidRPr="00532A32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Качественные методы включали экспертные оценки, позволяющие выявить не только количественные, но и структурные изменения в экспортной корзине региона. Руководитель представительства Российского экспортного центра в Хабаровске Михаил Сергиенко отметил, что точками роста экспорта продукции АПК из ДФО в КНР стали мороженая рыба, рыбное филе и ракообразные. </w:t>
      </w:r>
    </w:p>
    <w:p w14:paraId="6E212D65" w14:textId="0EFE9962" w:rsidR="00532A32" w:rsidRPr="00532A32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Методы затрат-выгоды и система ключевых показателей эффективности (KPI) позволили количественно оценить экономический эффект от реализации крупных инфраструктурных проектов. </w:t>
      </w:r>
      <w:r w:rsidR="00EA07C2" w:rsidRPr="00EA07C2">
        <w:rPr>
          <w:rFonts w:ascii="Times New Roman" w:hAnsi="Times New Roman" w:cs="Times New Roman"/>
          <w:sz w:val="28"/>
          <w:szCs w:val="28"/>
          <w:lang w:eastAsia="ru-RU"/>
        </w:rPr>
        <w:t xml:space="preserve">На примере строительства сухого порта Благовещенск с общим объемом инвестиций 3,8 млрд рублей были сопоставлены </w:t>
      </w:r>
      <w:r w:rsidR="00EA07C2" w:rsidRPr="00EA07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прогн</w:t>
      </w:r>
      <w:r w:rsidR="00EA07C2">
        <w:rPr>
          <w:rFonts w:ascii="Times New Roman" w:hAnsi="Times New Roman" w:cs="Times New Roman"/>
          <w:sz w:val="28"/>
          <w:szCs w:val="28"/>
          <w:lang w:eastAsia="ru-RU"/>
        </w:rPr>
        <w:t xml:space="preserve">озируемые экономические выгоды </w:t>
      </w:r>
      <w:r w:rsidR="001122A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EA07C2" w:rsidRPr="00EA07C2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грузопотока, сокращение логистических издерже</w:t>
      </w:r>
      <w:r w:rsidR="00EA07C2">
        <w:rPr>
          <w:rFonts w:ascii="Times New Roman" w:hAnsi="Times New Roman" w:cs="Times New Roman"/>
          <w:sz w:val="28"/>
          <w:szCs w:val="28"/>
          <w:lang w:eastAsia="ru-RU"/>
        </w:rPr>
        <w:t xml:space="preserve">к, создание новых рабочих мест </w:t>
      </w:r>
      <w:r w:rsidR="001122A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EA07C2" w:rsidRPr="00EA07C2">
        <w:rPr>
          <w:rFonts w:ascii="Times New Roman" w:hAnsi="Times New Roman" w:cs="Times New Roman"/>
          <w:sz w:val="28"/>
          <w:szCs w:val="28"/>
          <w:lang w:eastAsia="ru-RU"/>
        </w:rPr>
        <w:t xml:space="preserve"> с затратами на реализацию проекта.</w:t>
      </w:r>
      <w:r w:rsidR="00EA07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2A32">
        <w:rPr>
          <w:rFonts w:ascii="Times New Roman" w:hAnsi="Times New Roman" w:cs="Times New Roman"/>
          <w:sz w:val="28"/>
          <w:szCs w:val="28"/>
          <w:lang w:eastAsia="ru-RU"/>
        </w:rPr>
        <w:t>Анализ показывает, что создание новых логистических возможностей стимули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рует развитие смежных отраслей </w:t>
      </w:r>
      <w:r w:rsidR="001122A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 транспортных услуг, складской логистики, торговли и строительства [22].</w:t>
      </w:r>
    </w:p>
    <w:p w14:paraId="264964F3" w14:textId="65E776EE" w:rsidR="00532A32" w:rsidRPr="00532A32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Моделирование и прогнозирование с использованием регрессионного анализа и сценарного подхода позволили оценить будущие тенденции развития транспортно-логистической инфраструктуры региона. К 2030 году планируется двукратное увеличение пропускной способности «Сухого порта Благовещенск» и расширение контейнерной площади до 15 тыс. TEU, что создаст дополнительные возможности для наращивания товарооборота между Россией и Китаем. </w:t>
      </w:r>
    </w:p>
    <w:p w14:paraId="7203EDBC" w14:textId="3DF2A45C" w:rsidR="00532A32" w:rsidRPr="003E5A94" w:rsidRDefault="00532A32" w:rsidP="00532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2A32">
        <w:rPr>
          <w:rFonts w:ascii="Times New Roman" w:hAnsi="Times New Roman" w:cs="Times New Roman"/>
          <w:sz w:val="28"/>
          <w:szCs w:val="28"/>
          <w:lang w:eastAsia="ru-RU"/>
        </w:rPr>
        <w:t>Таким образом, примен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ение комплекса методов анализа </w:t>
      </w:r>
      <w:r w:rsidR="001122A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сравнительного до прогнозного </w:t>
      </w:r>
      <w:r w:rsidR="001122AB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532A32">
        <w:rPr>
          <w:rFonts w:ascii="Times New Roman" w:hAnsi="Times New Roman" w:cs="Times New Roman"/>
          <w:sz w:val="28"/>
          <w:szCs w:val="28"/>
          <w:lang w:eastAsia="ru-RU"/>
        </w:rPr>
        <w:t xml:space="preserve"> позволило получить многоаспектную оценку влияния трансграничного сотрудничества на экономику субъектов ДФО и обосновать практические рекомендации по совершенствованию управленческих механизмов в данной сфере.</w:t>
      </w:r>
    </w:p>
    <w:p w14:paraId="7907C11C" w14:textId="7BD69862" w:rsidR="00C74BE9" w:rsidRPr="00E36F5F" w:rsidRDefault="00C74BE9" w:rsidP="00BC4B53">
      <w:pPr>
        <w:pStyle w:val="a7"/>
        <w:widowControl w:val="0"/>
        <w:tabs>
          <w:tab w:val="left" w:pos="1134"/>
        </w:tabs>
        <w:spacing w:before="240" w:after="120"/>
        <w:ind w:left="1276" w:hanging="567"/>
        <w:rPr>
          <w:sz w:val="28"/>
          <w:szCs w:val="28"/>
        </w:rPr>
      </w:pPr>
      <w:r w:rsidRPr="00E36F5F">
        <w:rPr>
          <w:sz w:val="28"/>
          <w:szCs w:val="28"/>
        </w:rPr>
        <w:t>2.</w:t>
      </w:r>
      <w:r w:rsidR="00954861" w:rsidRPr="00E36F5F">
        <w:rPr>
          <w:sz w:val="28"/>
          <w:szCs w:val="28"/>
        </w:rPr>
        <w:t>3</w:t>
      </w:r>
      <w:r w:rsidR="00BC4B53">
        <w:rPr>
          <w:sz w:val="28"/>
          <w:szCs w:val="28"/>
        </w:rPr>
        <w:t xml:space="preserve"> </w:t>
      </w:r>
      <w:r w:rsidR="00BC4B53" w:rsidRPr="00BC4B53">
        <w:rPr>
          <w:spacing w:val="-6"/>
          <w:sz w:val="28"/>
          <w:szCs w:val="28"/>
        </w:rPr>
        <w:t>Региональные меры поддержки и инфраструктурные инициативы для развития трансграничных связей</w:t>
      </w:r>
    </w:p>
    <w:p w14:paraId="21F3A41D" w14:textId="77777777" w:rsidR="00C623EB" w:rsidRPr="00C623EB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EB">
        <w:rPr>
          <w:rFonts w:ascii="Times New Roman" w:hAnsi="Times New Roman" w:cs="Times New Roman"/>
          <w:sz w:val="28"/>
          <w:szCs w:val="28"/>
        </w:rPr>
        <w:t>В рамках исследования систематизированы действующие и планируемые меры поддержки трансграничного сотрудничества в ДФО. Их можно разделить на три основные группы: преференциальные режимы, инфраструктурные инициативы и инструменты стимулирования экспорта.</w:t>
      </w:r>
    </w:p>
    <w:p w14:paraId="4807FD8A" w14:textId="77777777" w:rsidR="00545C2F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EB">
        <w:rPr>
          <w:rFonts w:ascii="Times New Roman" w:hAnsi="Times New Roman" w:cs="Times New Roman"/>
          <w:sz w:val="28"/>
          <w:szCs w:val="28"/>
        </w:rPr>
        <w:t>Преференциальные режимы занимают центральное место в системе мер поддержки. Территории опережающего развития (ТОР) и Свободный порт Владивосток (СПВ), созданные в 2015 году, стали первым масштабным опытом применения специальных режимов на Дальнем Востоке и обеспечили приток инвестиций в регион. Однако, как отмечают исследователи, со временем была выявлена необходимость их совершенствования и адаптации к современным геопо</w:t>
      </w:r>
      <w:r w:rsidRPr="00C623EB">
        <w:rPr>
          <w:rFonts w:ascii="Times New Roman" w:hAnsi="Times New Roman" w:cs="Times New Roman"/>
          <w:sz w:val="28"/>
          <w:szCs w:val="28"/>
        </w:rPr>
        <w:lastRenderedPageBreak/>
        <w:t>литическим условиям. С 1 января 2026</w:t>
      </w:r>
      <w:r>
        <w:rPr>
          <w:rFonts w:ascii="Times New Roman" w:hAnsi="Times New Roman" w:cs="Times New Roman"/>
          <w:sz w:val="28"/>
          <w:szCs w:val="28"/>
        </w:rPr>
        <w:t xml:space="preserve"> года запущен новый инструмент </w:t>
      </w:r>
      <w:r w:rsidR="00545C2F">
        <w:rPr>
          <w:rFonts w:ascii="Times New Roman" w:hAnsi="Times New Roman" w:cs="Times New Roman"/>
          <w:sz w:val="28"/>
          <w:szCs w:val="28"/>
        </w:rPr>
        <w:t>–</w:t>
      </w:r>
      <w:r w:rsidRPr="00C623EB">
        <w:rPr>
          <w:rFonts w:ascii="Times New Roman" w:hAnsi="Times New Roman" w:cs="Times New Roman"/>
          <w:sz w:val="28"/>
          <w:szCs w:val="28"/>
        </w:rPr>
        <w:t xml:space="preserve"> международные территории опережающего развития (МТОР), ориентированные исключительно на проекты с иностранным участием. </w:t>
      </w:r>
    </w:p>
    <w:p w14:paraId="5E746D18" w14:textId="7D29CF70" w:rsidR="00C623EB" w:rsidRPr="00C623EB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EB">
        <w:rPr>
          <w:rFonts w:ascii="Times New Roman" w:hAnsi="Times New Roman" w:cs="Times New Roman"/>
          <w:sz w:val="28"/>
          <w:szCs w:val="28"/>
        </w:rPr>
        <w:t>Резидентам МТОР предоставляются расширенные льготы: нулевая ставка налога на прибыль на 10 лет, пониженные страховые взносы (7,6% вместо стандартных 30%) и гарантия стабильности условий ведения деятельности на 15 л</w:t>
      </w:r>
      <w:r w:rsidR="00F62BBC">
        <w:rPr>
          <w:rFonts w:ascii="Times New Roman" w:hAnsi="Times New Roman" w:cs="Times New Roman"/>
          <w:sz w:val="28"/>
          <w:szCs w:val="28"/>
        </w:rPr>
        <w:t>ет</w:t>
      </w:r>
      <w:r w:rsidRPr="00C623EB">
        <w:rPr>
          <w:rFonts w:ascii="Times New Roman" w:hAnsi="Times New Roman" w:cs="Times New Roman"/>
          <w:sz w:val="28"/>
          <w:szCs w:val="28"/>
        </w:rPr>
        <w:t>. Данный режим призван устранить недостатки ранее действовавших преференциальных механизмов и создать единые, понятные для иностранных инвесторов правила работы в регионе.</w:t>
      </w:r>
    </w:p>
    <w:p w14:paraId="066C4C40" w14:textId="77777777" w:rsidR="00545C2F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EB">
        <w:rPr>
          <w:rFonts w:ascii="Times New Roman" w:hAnsi="Times New Roman" w:cs="Times New Roman"/>
          <w:sz w:val="28"/>
          <w:szCs w:val="28"/>
        </w:rPr>
        <w:t>Инфраструктурные инициативы направлены на создание транспортно-логистической базы для наращивания товарооборота. Ключевым проектом в этом направлении стал многофункциональный железнодорожный терминальный комплекс «Сухой порт Благовещенск», зап</w:t>
      </w:r>
      <w:r w:rsidR="00F62BBC">
        <w:rPr>
          <w:rFonts w:ascii="Times New Roman" w:hAnsi="Times New Roman" w:cs="Times New Roman"/>
          <w:sz w:val="28"/>
          <w:szCs w:val="28"/>
        </w:rPr>
        <w:t>ущенный в мае 2026 года [22</w:t>
      </w:r>
      <w:r w:rsidR="00F62BBC" w:rsidRPr="00F62BBC">
        <w:rPr>
          <w:rFonts w:ascii="Times New Roman" w:hAnsi="Times New Roman" w:cs="Times New Roman"/>
          <w:sz w:val="28"/>
          <w:szCs w:val="28"/>
        </w:rPr>
        <w:t>]</w:t>
      </w:r>
      <w:r w:rsidRPr="00C623EB">
        <w:rPr>
          <w:rFonts w:ascii="Times New Roman" w:hAnsi="Times New Roman" w:cs="Times New Roman"/>
          <w:sz w:val="28"/>
          <w:szCs w:val="28"/>
        </w:rPr>
        <w:t xml:space="preserve">. Терминал является частью проекта «Амурский коридор» и объединяет автомобильный мост Благовещенск–Хэйхэ с Транссибирской магистралью, что создает принципиально новую логику движения грузов между Россией и Китаем. </w:t>
      </w:r>
    </w:p>
    <w:p w14:paraId="53D008C4" w14:textId="027CBD06" w:rsidR="00C623EB" w:rsidRPr="00C623EB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EB">
        <w:rPr>
          <w:rFonts w:ascii="Times New Roman" w:hAnsi="Times New Roman" w:cs="Times New Roman"/>
          <w:sz w:val="28"/>
          <w:szCs w:val="28"/>
        </w:rPr>
        <w:t>Наряду с этим ведется масштабная модернизация автомобильных и железнодорожных пунктов пропуска: обновление пунктов пропуска в Забайкальском крае и Приморском крае, а также строительство грузопассажирского пункта пропуска на острове Большой Ус</w:t>
      </w:r>
      <w:r w:rsidR="00F62BBC">
        <w:rPr>
          <w:rFonts w:ascii="Times New Roman" w:hAnsi="Times New Roman" w:cs="Times New Roman"/>
          <w:sz w:val="28"/>
          <w:szCs w:val="28"/>
        </w:rPr>
        <w:t>сурийский в Хабаровском крае</w:t>
      </w:r>
      <w:r w:rsidRPr="00C623EB">
        <w:rPr>
          <w:rFonts w:ascii="Times New Roman" w:hAnsi="Times New Roman" w:cs="Times New Roman"/>
          <w:sz w:val="28"/>
          <w:szCs w:val="28"/>
        </w:rPr>
        <w:t>. По оценкам экспертов, открытие новых и модернизация существующих погранпереходов положительно скажется на работе всех участников внешнеэкономической деятельности, так как пропускная способность на погранпереходах Дальнего Во</w:t>
      </w:r>
      <w:r w:rsidR="00F62BBC">
        <w:rPr>
          <w:rFonts w:ascii="Times New Roman" w:hAnsi="Times New Roman" w:cs="Times New Roman"/>
          <w:sz w:val="28"/>
          <w:szCs w:val="28"/>
        </w:rPr>
        <w:t>стока остается недостаточной</w:t>
      </w:r>
      <w:r w:rsidRPr="00C623EB">
        <w:rPr>
          <w:rFonts w:ascii="Times New Roman" w:hAnsi="Times New Roman" w:cs="Times New Roman"/>
          <w:sz w:val="28"/>
          <w:szCs w:val="28"/>
        </w:rPr>
        <w:t>.</w:t>
      </w:r>
    </w:p>
    <w:p w14:paraId="19251FAA" w14:textId="46DD6DCF" w:rsidR="00C623EB" w:rsidRPr="00C623EB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623EB">
        <w:rPr>
          <w:rFonts w:ascii="Times New Roman" w:hAnsi="Times New Roman" w:cs="Times New Roman"/>
          <w:sz w:val="28"/>
          <w:szCs w:val="28"/>
        </w:rPr>
        <w:t>тимулирование экспорта и международной кооперации реализуется через институциональную поддержку. Российский экспортный центр (РЭЦ) оказывает содействие развитию несырьевого экспорта, предоставляя экспортерам финансовые и нефина</w:t>
      </w:r>
      <w:r w:rsidR="00F62BBC">
        <w:rPr>
          <w:rFonts w:ascii="Times New Roman" w:hAnsi="Times New Roman" w:cs="Times New Roman"/>
          <w:sz w:val="28"/>
          <w:szCs w:val="28"/>
        </w:rPr>
        <w:t>нсовые инструменты поддержки</w:t>
      </w:r>
      <w:r w:rsidRPr="00C623EB">
        <w:rPr>
          <w:rFonts w:ascii="Times New Roman" w:hAnsi="Times New Roman" w:cs="Times New Roman"/>
          <w:sz w:val="28"/>
          <w:szCs w:val="28"/>
        </w:rPr>
        <w:t xml:space="preserve">. Важным направлением является развитие логистической инфраструктуры в приграничных городах Китая </w:t>
      </w:r>
      <w:r w:rsidR="001122AB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C623EB">
        <w:rPr>
          <w:rFonts w:ascii="Times New Roman" w:hAnsi="Times New Roman" w:cs="Times New Roman"/>
          <w:sz w:val="28"/>
          <w:szCs w:val="28"/>
        </w:rPr>
        <w:t xml:space="preserve"> строительство и модернизация мощностей в Суйфэньхэ, по оценкам РЭЦ, окажет благоприятное воздействие на перспективы экспорта ДФО в Китай за счет сокращения времени и издерже</w:t>
      </w:r>
      <w:r w:rsidR="00F62BBC">
        <w:rPr>
          <w:rFonts w:ascii="Times New Roman" w:hAnsi="Times New Roman" w:cs="Times New Roman"/>
          <w:sz w:val="28"/>
          <w:szCs w:val="28"/>
        </w:rPr>
        <w:t>к на транспортировку товаров</w:t>
      </w:r>
      <w:r w:rsidRPr="00C623EB">
        <w:rPr>
          <w:rFonts w:ascii="Times New Roman" w:hAnsi="Times New Roman" w:cs="Times New Roman"/>
          <w:sz w:val="28"/>
          <w:szCs w:val="28"/>
        </w:rPr>
        <w:t>. Как подчеркивают экспе</w:t>
      </w:r>
      <w:r w:rsidR="00F62BBC">
        <w:rPr>
          <w:rFonts w:ascii="Times New Roman" w:hAnsi="Times New Roman" w:cs="Times New Roman"/>
          <w:sz w:val="28"/>
          <w:szCs w:val="28"/>
        </w:rPr>
        <w:t xml:space="preserve">рты, Дальний Восток для России </w:t>
      </w:r>
      <w:r w:rsidR="001122AB">
        <w:rPr>
          <w:rFonts w:ascii="Times New Roman" w:hAnsi="Times New Roman" w:cs="Times New Roman"/>
          <w:sz w:val="28"/>
          <w:szCs w:val="28"/>
        </w:rPr>
        <w:t>–</w:t>
      </w:r>
      <w:r w:rsidRPr="00C623EB">
        <w:rPr>
          <w:rFonts w:ascii="Times New Roman" w:hAnsi="Times New Roman" w:cs="Times New Roman"/>
          <w:sz w:val="28"/>
          <w:szCs w:val="28"/>
        </w:rPr>
        <w:t xml:space="preserve"> это не только ключ к китайскому рынку, но и точка входа на рынки стран АТР, поэтому развитие приграничной инфраструктуры являетс</w:t>
      </w:r>
      <w:r w:rsidR="00F62BBC">
        <w:rPr>
          <w:rFonts w:ascii="Times New Roman" w:hAnsi="Times New Roman" w:cs="Times New Roman"/>
          <w:sz w:val="28"/>
          <w:szCs w:val="28"/>
        </w:rPr>
        <w:t>я стратегическим приоритетом</w:t>
      </w:r>
      <w:r w:rsidRPr="00C623EB">
        <w:rPr>
          <w:rFonts w:ascii="Times New Roman" w:hAnsi="Times New Roman" w:cs="Times New Roman"/>
          <w:sz w:val="28"/>
          <w:szCs w:val="28"/>
        </w:rPr>
        <w:t>.</w:t>
      </w:r>
    </w:p>
    <w:p w14:paraId="6A5CB773" w14:textId="64212078" w:rsidR="00C623EB" w:rsidRPr="00C623EB" w:rsidRDefault="00C623EB" w:rsidP="00C62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3EB">
        <w:rPr>
          <w:rFonts w:ascii="Times New Roman" w:hAnsi="Times New Roman" w:cs="Times New Roman"/>
          <w:sz w:val="28"/>
          <w:szCs w:val="28"/>
        </w:rPr>
        <w:t>Таким образом, системная реализация мер поддержки по трем на</w:t>
      </w:r>
      <w:r>
        <w:rPr>
          <w:rFonts w:ascii="Times New Roman" w:hAnsi="Times New Roman" w:cs="Times New Roman"/>
          <w:sz w:val="28"/>
          <w:szCs w:val="28"/>
        </w:rPr>
        <w:t xml:space="preserve">правлениям </w:t>
      </w:r>
      <w:r w:rsidR="001122AB">
        <w:rPr>
          <w:rFonts w:ascii="Times New Roman" w:hAnsi="Times New Roman" w:cs="Times New Roman"/>
          <w:sz w:val="28"/>
          <w:szCs w:val="28"/>
        </w:rPr>
        <w:t>–</w:t>
      </w:r>
      <w:r w:rsidRPr="00C623EB">
        <w:rPr>
          <w:rFonts w:ascii="Times New Roman" w:hAnsi="Times New Roman" w:cs="Times New Roman"/>
          <w:sz w:val="28"/>
          <w:szCs w:val="28"/>
        </w:rPr>
        <w:t xml:space="preserve"> создание преференциальных режимов, развитие инфраструк</w:t>
      </w:r>
      <w:r>
        <w:rPr>
          <w:rFonts w:ascii="Times New Roman" w:hAnsi="Times New Roman" w:cs="Times New Roman"/>
          <w:sz w:val="28"/>
          <w:szCs w:val="28"/>
        </w:rPr>
        <w:t xml:space="preserve">туры и стимулирование экспорта </w:t>
      </w:r>
      <w:r w:rsidR="001122AB">
        <w:rPr>
          <w:rFonts w:ascii="Times New Roman" w:hAnsi="Times New Roman" w:cs="Times New Roman"/>
          <w:sz w:val="28"/>
          <w:szCs w:val="28"/>
        </w:rPr>
        <w:t>–</w:t>
      </w:r>
      <w:r w:rsidRPr="00C623EB">
        <w:rPr>
          <w:rFonts w:ascii="Times New Roman" w:hAnsi="Times New Roman" w:cs="Times New Roman"/>
          <w:sz w:val="28"/>
          <w:szCs w:val="28"/>
        </w:rPr>
        <w:t xml:space="preserve"> формирует комплексную основу для устойчивого развития трансграничного сотрудничества в ДФО.</w:t>
      </w:r>
    </w:p>
    <w:p w14:paraId="56290CEB" w14:textId="50FDF24C" w:rsidR="00BC4B53" w:rsidRPr="00E36F5F" w:rsidRDefault="00BC4B53" w:rsidP="00BC4B53">
      <w:pPr>
        <w:pStyle w:val="a7"/>
        <w:widowControl w:val="0"/>
        <w:tabs>
          <w:tab w:val="left" w:pos="1134"/>
        </w:tabs>
        <w:spacing w:before="240" w:after="120"/>
        <w:ind w:left="1276" w:hanging="567"/>
        <w:rPr>
          <w:sz w:val="28"/>
          <w:szCs w:val="28"/>
        </w:rPr>
      </w:pPr>
      <w:r w:rsidRPr="00E36F5F">
        <w:rPr>
          <w:sz w:val="28"/>
          <w:szCs w:val="28"/>
        </w:rPr>
        <w:t>2.</w:t>
      </w:r>
      <w:r>
        <w:rPr>
          <w:sz w:val="28"/>
          <w:szCs w:val="28"/>
        </w:rPr>
        <w:t xml:space="preserve">4 </w:t>
      </w:r>
      <w:r w:rsidRPr="00BC4B53">
        <w:rPr>
          <w:spacing w:val="-6"/>
          <w:sz w:val="28"/>
          <w:szCs w:val="28"/>
        </w:rPr>
        <w:t>Методы оценки эффективности реализуемых проектов и инициатив</w:t>
      </w:r>
    </w:p>
    <w:p w14:paraId="38752E44" w14:textId="77777777" w:rsidR="00545C2F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>Для объективной оценки эффективности проектов и инициатив в сфере трансграничного сотрудничества применяется комплекс методологических подходов, позволяющих получить как количественные, так и качественные характеристики результатов реализации инвестиционных и инфраструктурных проектов.</w:t>
      </w:r>
      <w:r w:rsidR="00545C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63CA05B" w14:textId="77777777" w:rsidR="00545C2F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>Анализ затрат-выгоды (</w:t>
      </w:r>
      <w:proofErr w:type="spellStart"/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>Cost-Benefit</w:t>
      </w:r>
      <w:proofErr w:type="spellEnd"/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>Analysis</w:t>
      </w:r>
      <w:proofErr w:type="spellEnd"/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, CBA) представляет собой фундаментальный метод, позволяющий систематически сопоставить все прогнозируемые экономические и социальные выгоды с соответствующими издержками. Данный подход особенно важен при оценке крупных инфраструктурных проектов, где эффекты проявляются не только в виде прямых финансовых результатов, но и в виде косвенных социально-экономических последствий. </w:t>
      </w:r>
    </w:p>
    <w:p w14:paraId="073F6074" w14:textId="1AEC678F" w:rsidR="00F62BBC" w:rsidRPr="00F62BBC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Например, при оценке проекта «Сухой порт Благовещенск» сопоставляются объем инвестиций (3,8 млрд рублей) с прогнозируемыми эффектами </w:t>
      </w:r>
      <w:r w:rsidR="00545C2F">
        <w:rPr>
          <w:rFonts w:ascii="Times New Roman" w:hAnsi="Times New Roman"/>
          <w:color w:val="000000" w:themeColor="text1"/>
          <w:spacing w:val="-2"/>
          <w:sz w:val="28"/>
          <w:szCs w:val="28"/>
        </w:rPr>
        <w:t>–</w:t>
      </w:r>
      <w:r w:rsidRPr="00F62BBC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увеличением грузопотока, сокращением логистических издержек, созданием новых транспортных маршрутов и стимулированием развития смежных отраслей. Анализ показывает, что реализация проекта создает долгосрочные конкурентные преимущества для региона, выходящие за рамки прямых финансовых показателей.</w:t>
      </w:r>
    </w:p>
    <w:p w14:paraId="0F809BB3" w14:textId="77777777" w:rsidR="00545C2F" w:rsidRDefault="00F62BBC" w:rsidP="001122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lastRenderedPageBreak/>
        <w:t>Система ключевых</w:t>
      </w:r>
      <w:r w:rsidR="00545C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показателей эффективности (KPI) обеспечивает прозрачность и системный контроль за ходом реализации проектов, позволяя отслеживать прогресс по формализованным критериям. В рамках исследования предлагается использовать следующие показатели: </w:t>
      </w:r>
    </w:p>
    <w:p w14:paraId="1A74FFC7" w14:textId="77777777" w:rsidR="00545C2F" w:rsidRDefault="00F62BBC" w:rsidP="001122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динамика привлечения инвестиций в преференциальные режимы; </w:t>
      </w:r>
    </w:p>
    <w:p w14:paraId="3398FB49" w14:textId="77777777" w:rsidR="00545C2F" w:rsidRDefault="00F62BBC" w:rsidP="001122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>рост несырьевого экспорта (прирост 5% в первом полугодии 2025 года служит базовым индикатором эффекти</w:t>
      </w:r>
      <w:r>
        <w:rPr>
          <w:rFonts w:ascii="Times New Roman" w:hAnsi="Times New Roman"/>
          <w:color w:val="000000" w:themeColor="text1"/>
          <w:sz w:val="28"/>
          <w:szCs w:val="28"/>
        </w:rPr>
        <w:t>вности экспортной поддержки)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14:paraId="34DF07D1" w14:textId="77777777" w:rsidR="00545C2F" w:rsidRDefault="00F62BBC" w:rsidP="001122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развитие транспортной инфраструктуры (измеряемое через пропускную способность погранпереходов и объемы перевалки грузов); </w:t>
      </w:r>
    </w:p>
    <w:p w14:paraId="6D86075F" w14:textId="77777777" w:rsidR="00545C2F" w:rsidRDefault="00F62BBC" w:rsidP="001122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создание новых рабочих мест и логистических хабов, что отражает социальную составляющую реализуемых проектов. </w:t>
      </w:r>
    </w:p>
    <w:p w14:paraId="0725F351" w14:textId="6B3BBB1C" w:rsidR="00F62BBC" w:rsidRPr="00F62BBC" w:rsidRDefault="00F62BBC" w:rsidP="001122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>Применение системы KPI позволяет не только фиксировать текущие результаты, но и оперативно корректировать управленческие решения при отклонении от плановых показателей.</w:t>
      </w:r>
    </w:p>
    <w:p w14:paraId="752F31E1" w14:textId="5085AAEC" w:rsidR="00F62BBC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Качественные методы оценки, включающие экспертные оценки и SWOT-анализ, дополняют количественные показатели, позволяя выявить факторы, не поддающиеся прямой формализации. Использование метода </w:t>
      </w:r>
      <w:proofErr w:type="spellStart"/>
      <w:r w:rsidRPr="00F62BBC">
        <w:rPr>
          <w:rFonts w:ascii="Times New Roman" w:hAnsi="Times New Roman"/>
          <w:color w:val="000000" w:themeColor="text1"/>
          <w:sz w:val="28"/>
          <w:szCs w:val="28"/>
        </w:rPr>
        <w:t>Дельфи</w:t>
      </w:r>
      <w:proofErr w:type="spellEnd"/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 и экспертных панелей дает возможность учесть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мнения ключевых стейкхолдеров </w:t>
      </w:r>
      <w:r w:rsidR="00545C2F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 представителей бизнеса, органов власти и институтов развития. </w:t>
      </w:r>
    </w:p>
    <w:p w14:paraId="128C18C0" w14:textId="523092DC" w:rsidR="00F62BBC" w:rsidRPr="00F62BBC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>В частности, эксперты Российского экспортного центра отмечают,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что Дальний Восток для России </w:t>
      </w:r>
      <w:r w:rsidR="001122AB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 это не только ключ к китайскому рынку, но и точка входа на рынки стран АТР, поэтому модернизация приграничной инфраструктуры являетс</w:t>
      </w:r>
      <w:r>
        <w:rPr>
          <w:rFonts w:ascii="Times New Roman" w:hAnsi="Times New Roman"/>
          <w:color w:val="000000" w:themeColor="text1"/>
          <w:sz w:val="28"/>
          <w:szCs w:val="28"/>
        </w:rPr>
        <w:t>я стратегическим приоритетом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>. SWOT-анализ позволяет структурировать внутренние и внешние факторы, влияющие на реализацию проектов, выявить сильные стороны (наличие преференциальных режимов, развитая портовая инфраструктура) и угрозы (волатильность внешнего спроса, инфраструктурные ограничения, кадровый дефицит).</w:t>
      </w:r>
    </w:p>
    <w:p w14:paraId="7497F3C7" w14:textId="77777777" w:rsidR="00545C2F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Индексный метод применяется для оценки интеграционных процессов и сравнения динамики развития трансграничного сотрудничества в различных субъектах ДФО. Рост несырьевого экспорта, развитие новых логистических 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lastRenderedPageBreak/>
        <w:t>маршрутов и увеличение грузопотока через дальневосточные порты свидетельствуют о позитивных тенденциях в трансграничном сотрудничестве ДФО [3]. Индексный подход позволяет агрегировать разнородные показатели и представить их в виде интегральных оценок, что особенно ценно при мониторинге долгосрочных стратегий развития.</w:t>
      </w:r>
      <w:r w:rsidR="00545C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7682140" w14:textId="03B5E828" w:rsidR="00F62BBC" w:rsidRDefault="00F62BBC" w:rsidP="00F62BB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BBC">
        <w:rPr>
          <w:rFonts w:ascii="Times New Roman" w:hAnsi="Times New Roman"/>
          <w:color w:val="000000" w:themeColor="text1"/>
          <w:sz w:val="28"/>
          <w:szCs w:val="28"/>
        </w:rPr>
        <w:t>Таким образом, приме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нение комплекса методов оценки </w:t>
      </w:r>
      <w:r w:rsidR="001122AB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 от формализованных количествен</w:t>
      </w:r>
      <w:r w:rsidR="00294CDA">
        <w:rPr>
          <w:rFonts w:ascii="Times New Roman" w:hAnsi="Times New Roman"/>
          <w:color w:val="000000" w:themeColor="text1"/>
          <w:sz w:val="28"/>
          <w:szCs w:val="28"/>
        </w:rPr>
        <w:t>ных до качественных экспертных</w:t>
      </w:r>
      <w:r w:rsidRPr="00F62BBC">
        <w:rPr>
          <w:rFonts w:ascii="Times New Roman" w:hAnsi="Times New Roman"/>
          <w:color w:val="000000" w:themeColor="text1"/>
          <w:sz w:val="28"/>
          <w:szCs w:val="28"/>
        </w:rPr>
        <w:t xml:space="preserve"> позволяет получить многоаспектную картину эффективности реализуемых проектов, учитывать, как прямые экономические результаты, так и косвенные социальные эффекты, а также своевременно выявлять риски и корректировать управленческие решения.</w:t>
      </w:r>
      <w:r w:rsidR="00545C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169EF071" w14:textId="77777777" w:rsidR="00F62BBC" w:rsidRDefault="00F62BBC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14:paraId="2D6EFE48" w14:textId="195EE0FE" w:rsidR="0004047A" w:rsidRPr="00C634F0" w:rsidRDefault="0004047A" w:rsidP="001D4702">
      <w:pPr>
        <w:pStyle w:val="a7"/>
        <w:widowControl w:val="0"/>
        <w:tabs>
          <w:tab w:val="left" w:pos="1134"/>
        </w:tabs>
        <w:spacing w:after="0"/>
        <w:ind w:left="1134" w:hanging="425"/>
        <w:rPr>
          <w:szCs w:val="30"/>
        </w:rPr>
      </w:pPr>
      <w:r w:rsidRPr="00C634F0">
        <w:rPr>
          <w:szCs w:val="30"/>
        </w:rPr>
        <w:lastRenderedPageBreak/>
        <w:t xml:space="preserve">3 </w:t>
      </w:r>
      <w:r w:rsidR="00345C93" w:rsidRPr="00C634F0">
        <w:rPr>
          <w:szCs w:val="30"/>
        </w:rPr>
        <w:t xml:space="preserve">Предложения по совершенствованию системы управления и </w:t>
      </w:r>
      <w:r w:rsidR="00345C93" w:rsidRPr="00C634F0">
        <w:rPr>
          <w:szCs w:val="30"/>
        </w:rPr>
        <w:br/>
        <w:t>развития трансграничных связей</w:t>
      </w:r>
    </w:p>
    <w:p w14:paraId="55E0DBA4" w14:textId="0FDE39C1" w:rsidR="005F3BFC" w:rsidRPr="00C634F0" w:rsidRDefault="005F3BFC" w:rsidP="00C634F0">
      <w:pPr>
        <w:pStyle w:val="a7"/>
        <w:widowControl w:val="0"/>
        <w:tabs>
          <w:tab w:val="left" w:pos="1134"/>
        </w:tabs>
        <w:spacing w:before="240" w:after="120"/>
        <w:ind w:left="1134" w:hanging="425"/>
        <w:jc w:val="left"/>
        <w:rPr>
          <w:sz w:val="28"/>
          <w:szCs w:val="28"/>
        </w:rPr>
      </w:pPr>
      <w:r w:rsidRPr="00C634F0">
        <w:rPr>
          <w:sz w:val="28"/>
          <w:szCs w:val="28"/>
        </w:rPr>
        <w:t xml:space="preserve">3.1 </w:t>
      </w:r>
      <w:r w:rsidR="00345C93" w:rsidRPr="00C634F0">
        <w:rPr>
          <w:sz w:val="28"/>
          <w:szCs w:val="28"/>
        </w:rPr>
        <w:t xml:space="preserve">Варианты управленческих решений для повышения </w:t>
      </w:r>
      <w:r w:rsidR="00C634F0">
        <w:rPr>
          <w:sz w:val="28"/>
          <w:szCs w:val="28"/>
        </w:rPr>
        <w:t xml:space="preserve">              </w:t>
      </w:r>
      <w:r w:rsidR="00345C93" w:rsidRPr="00C634F0">
        <w:rPr>
          <w:sz w:val="28"/>
          <w:szCs w:val="28"/>
        </w:rPr>
        <w:t>эффективности</w:t>
      </w:r>
      <w:r w:rsidR="00C634F0">
        <w:rPr>
          <w:sz w:val="28"/>
          <w:szCs w:val="28"/>
        </w:rPr>
        <w:t xml:space="preserve"> </w:t>
      </w:r>
      <w:r w:rsidR="00345C93" w:rsidRPr="00C634F0">
        <w:rPr>
          <w:sz w:val="28"/>
          <w:szCs w:val="28"/>
        </w:rPr>
        <w:t>межрегиональных взаимодействий</w:t>
      </w:r>
    </w:p>
    <w:p w14:paraId="11536B4C" w14:textId="77777777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94AFD">
        <w:rPr>
          <w:rFonts w:ascii="Times New Roman" w:hAnsi="Times New Roman" w:cs="Times New Roman"/>
          <w:spacing w:val="-4"/>
          <w:sz w:val="28"/>
          <w:szCs w:val="28"/>
        </w:rPr>
        <w:t>На основе проведенного анализа современного состояния трансграничного сотрудничества в ДФО, изучения мер государственной поддержки и опыта работы в ООО «</w:t>
      </w:r>
      <w:proofErr w:type="spellStart"/>
      <w:r w:rsidRPr="00094AFD"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 w:rsidRPr="00094AFD">
        <w:rPr>
          <w:rFonts w:ascii="Times New Roman" w:hAnsi="Times New Roman" w:cs="Times New Roman"/>
          <w:spacing w:val="-4"/>
          <w:sz w:val="28"/>
          <w:szCs w:val="28"/>
        </w:rPr>
        <w:t>» предлагаются следующие управленческие решения, направленные на повышение эффективности межрегиональных взаимодействий.</w:t>
      </w:r>
    </w:p>
    <w:p w14:paraId="0C1197A9" w14:textId="77777777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94AFD">
        <w:rPr>
          <w:rFonts w:ascii="Times New Roman" w:hAnsi="Times New Roman" w:cs="Times New Roman"/>
          <w:spacing w:val="-4"/>
          <w:sz w:val="28"/>
          <w:szCs w:val="28"/>
        </w:rPr>
        <w:t>Первым вариантом управленческого решения является создание единой цифровой платформы для мониторинга и координации трансграничных проектов, которая объединит информацию о реализуемых и планируемых инвестиционных проектах, мерах государственной поддержки, нормативно-правовой базе и лучших практиках. Это позволит повысить прозрачность деятельности институтов развития, упростить доступ к информации для потенциальных инвесторов и сократить административные барьеры. Опыт информационной работы ООО «</w:t>
      </w:r>
      <w:proofErr w:type="spellStart"/>
      <w:r w:rsidRPr="00094AFD">
        <w:rPr>
          <w:rFonts w:ascii="Times New Roman" w:hAnsi="Times New Roman" w:cs="Times New Roman"/>
          <w:spacing w:val="-4"/>
          <w:sz w:val="28"/>
          <w:szCs w:val="28"/>
        </w:rPr>
        <w:t>ЭкспертГрупп</w:t>
      </w:r>
      <w:proofErr w:type="spellEnd"/>
      <w:r w:rsidRPr="00094AFD">
        <w:rPr>
          <w:rFonts w:ascii="Times New Roman" w:hAnsi="Times New Roman" w:cs="Times New Roman"/>
          <w:spacing w:val="-4"/>
          <w:sz w:val="28"/>
          <w:szCs w:val="28"/>
        </w:rPr>
        <w:t>» подтверждает высокий спрос на структурированную и достоверную информацию о региональных проектах.</w:t>
      </w:r>
    </w:p>
    <w:p w14:paraId="6E25995E" w14:textId="77777777" w:rsid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94AFD">
        <w:rPr>
          <w:rFonts w:ascii="Times New Roman" w:hAnsi="Times New Roman" w:cs="Times New Roman"/>
          <w:spacing w:val="-4"/>
          <w:sz w:val="28"/>
          <w:szCs w:val="28"/>
        </w:rPr>
        <w:t>Вторым направлением является совершенствование нормативно-правовой базы международных территорий опережающего развития. Запуск МТОР с 1 января 2026 года создал институциональную основу для привлечения иностранных инвестиций, однако механизм требует дальнейшей проработки в части конкретизации процедурных вопросов и критериев отбора проектов. Федеральный закон № 285-ФЗ закрепляет 15-летнюю гарантию стабильности условий ведения деятельности, что является важнейшим фактором для при</w:t>
      </w:r>
      <w:r>
        <w:rPr>
          <w:rFonts w:ascii="Times New Roman" w:hAnsi="Times New Roman" w:cs="Times New Roman"/>
          <w:spacing w:val="-4"/>
          <w:sz w:val="28"/>
          <w:szCs w:val="28"/>
        </w:rPr>
        <w:t>влечения долгосрочного капитала.</w:t>
      </w:r>
    </w:p>
    <w:p w14:paraId="3A35F051" w14:textId="5F201DD7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94AFD">
        <w:rPr>
          <w:rFonts w:ascii="Times New Roman" w:hAnsi="Times New Roman" w:cs="Times New Roman"/>
          <w:spacing w:val="-4"/>
          <w:sz w:val="28"/>
          <w:szCs w:val="28"/>
        </w:rPr>
        <w:t>Как отмечают Н.А. Маслюк и Н.В. Медведева, успешная реализация МТОР зависит от качества институциональной среды и оперативност</w:t>
      </w:r>
      <w:r>
        <w:rPr>
          <w:rFonts w:ascii="Times New Roman" w:hAnsi="Times New Roman" w:cs="Times New Roman"/>
          <w:spacing w:val="-4"/>
          <w:sz w:val="28"/>
          <w:szCs w:val="28"/>
        </w:rPr>
        <w:t>и принятия подзаконных актов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>. К.В. Онищенко подчеркивает необходимость дальнейшей правовой проработки механизма, включая унификацию требований к резидентам и упрощен</w:t>
      </w:r>
      <w:r>
        <w:rPr>
          <w:rFonts w:ascii="Times New Roman" w:hAnsi="Times New Roman" w:cs="Times New Roman"/>
          <w:spacing w:val="-4"/>
          <w:sz w:val="28"/>
          <w:szCs w:val="28"/>
        </w:rPr>
        <w:t>ие административных процедур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3E090979" w14:textId="37830180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94AFD">
        <w:rPr>
          <w:rFonts w:ascii="Times New Roman" w:hAnsi="Times New Roman" w:cs="Times New Roman"/>
          <w:spacing w:val="-4"/>
          <w:sz w:val="28"/>
          <w:szCs w:val="28"/>
        </w:rPr>
        <w:lastRenderedPageBreak/>
        <w:t>Третье решение связано с развитием логистической инфраструктуры и синхронизацией мер государственной поддержки с частными инвестиционными инициативами. Как отмечают эксперты Российского экспортного центра, модернизация транспортной инфраструктуры является ключевым условием д</w:t>
      </w:r>
      <w:r>
        <w:rPr>
          <w:rFonts w:ascii="Times New Roman" w:hAnsi="Times New Roman" w:cs="Times New Roman"/>
          <w:spacing w:val="-4"/>
          <w:sz w:val="28"/>
          <w:szCs w:val="28"/>
        </w:rPr>
        <w:t>ля наращивания товарооборота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>. Запуск «Сухого порта Благовещенск» в мае 2026 года стал важным шагом в этом направлении, однако для достижения системного эффекта необходима координация планов развития инфраструктуры с инвестиционными программами крупных компаний и создание механизмов государс</w:t>
      </w:r>
      <w:r>
        <w:rPr>
          <w:rFonts w:ascii="Times New Roman" w:hAnsi="Times New Roman" w:cs="Times New Roman"/>
          <w:spacing w:val="-4"/>
          <w:sz w:val="28"/>
          <w:szCs w:val="28"/>
        </w:rPr>
        <w:t>твенно-частного партнерства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35454FD4" w14:textId="7DA5AF1D" w:rsidR="00F62BBC" w:rsidRPr="001F4152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94AFD">
        <w:rPr>
          <w:rFonts w:ascii="Times New Roman" w:hAnsi="Times New Roman" w:cs="Times New Roman"/>
          <w:spacing w:val="-4"/>
          <w:sz w:val="28"/>
          <w:szCs w:val="28"/>
        </w:rPr>
        <w:t>Четвертым направлением является развитие несырьевого экспорта как стратегической задачи диверсификации экономики ДФО. Перспективными направлениями являются пр</w:t>
      </w:r>
      <w:r>
        <w:rPr>
          <w:rFonts w:ascii="Times New Roman" w:hAnsi="Times New Roman" w:cs="Times New Roman"/>
          <w:spacing w:val="-4"/>
          <w:sz w:val="28"/>
          <w:szCs w:val="28"/>
        </w:rPr>
        <w:t>одукция пищевой промышленности -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 xml:space="preserve"> алкогольные и безалкогольные напитки, мороженое, кондитерские изделия, косметика и изделия народ</w:t>
      </w:r>
      <w:r>
        <w:rPr>
          <w:rFonts w:ascii="Times New Roman" w:hAnsi="Times New Roman" w:cs="Times New Roman"/>
          <w:spacing w:val="-4"/>
          <w:sz w:val="28"/>
          <w:szCs w:val="28"/>
        </w:rPr>
        <w:t>ных художественных промыслов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 xml:space="preserve">. Целесообразна разработка специализированных программ поддержки этих категорий товаров, включая консультационное сопровождение экспортеров и содействие в участии в международных выставках. И.Н. Золотухин в своих исследованиях отмечает, что развитие трансграничных отношений со странами Южной и Юго-Восточной Азии открывает новые возможности </w:t>
      </w:r>
      <w:r>
        <w:rPr>
          <w:rFonts w:ascii="Times New Roman" w:hAnsi="Times New Roman" w:cs="Times New Roman"/>
          <w:spacing w:val="-4"/>
          <w:sz w:val="28"/>
          <w:szCs w:val="28"/>
        </w:rPr>
        <w:t>для диверсификации экспорта</w:t>
      </w:r>
      <w:r w:rsidRPr="00094AF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451D99E" w14:textId="3F47EEB7" w:rsidR="00F1775D" w:rsidRDefault="00BF4739" w:rsidP="002B0953">
      <w:pPr>
        <w:pStyle w:val="a7"/>
        <w:widowControl w:val="0"/>
        <w:tabs>
          <w:tab w:val="left" w:pos="1134"/>
        </w:tabs>
        <w:suppressAutoHyphens/>
        <w:spacing w:before="240" w:after="120"/>
        <w:ind w:left="1134" w:hanging="425"/>
        <w:jc w:val="left"/>
        <w:rPr>
          <w:sz w:val="28"/>
          <w:szCs w:val="28"/>
        </w:rPr>
      </w:pPr>
      <w:r w:rsidRPr="00E36F5F">
        <w:rPr>
          <w:sz w:val="28"/>
          <w:szCs w:val="28"/>
        </w:rPr>
        <w:t>3.</w:t>
      </w:r>
      <w:r w:rsidR="00283C26">
        <w:rPr>
          <w:sz w:val="28"/>
          <w:szCs w:val="28"/>
        </w:rPr>
        <w:t>2</w:t>
      </w:r>
      <w:r w:rsidR="00935B8A">
        <w:rPr>
          <w:sz w:val="28"/>
          <w:szCs w:val="28"/>
        </w:rPr>
        <w:t xml:space="preserve"> </w:t>
      </w:r>
      <w:r w:rsidR="001F4152" w:rsidRPr="001F4152">
        <w:rPr>
          <w:sz w:val="28"/>
          <w:szCs w:val="28"/>
        </w:rPr>
        <w:t>Стратегические приоритеты государственной поддержки</w:t>
      </w:r>
    </w:p>
    <w:p w14:paraId="54E327D0" w14:textId="77777777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FD">
        <w:rPr>
          <w:rFonts w:ascii="Times New Roman" w:hAnsi="Times New Roman" w:cs="Times New Roman"/>
          <w:sz w:val="28"/>
          <w:szCs w:val="28"/>
        </w:rPr>
        <w:t>Анализ актуальных нормативных документов и стратегических программ позволяет выделить несколько ключевых приоритетов государственной поддержки трансграничного сотрудничества в ДФО.</w:t>
      </w:r>
    </w:p>
    <w:p w14:paraId="133C4DCA" w14:textId="6CC7F015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FD">
        <w:rPr>
          <w:rFonts w:ascii="Times New Roman" w:hAnsi="Times New Roman" w:cs="Times New Roman"/>
          <w:sz w:val="28"/>
          <w:szCs w:val="28"/>
        </w:rPr>
        <w:t>Первым и наиболее значимым приоритетом является развитие транспортно-логистической инфраструктуры. Стратегическое значение имеет модернизация пунктов пропуска и создание новых логистических хабов. В настоящее время ведется обновление пунктов пропуска в Забайкальском крае и Приморском крае, а также строительство грузопассажирского пункта пропуска на ост</w:t>
      </w:r>
      <w:r w:rsidRPr="00094AFD">
        <w:rPr>
          <w:rFonts w:ascii="Times New Roman" w:hAnsi="Times New Roman" w:cs="Times New Roman"/>
          <w:sz w:val="28"/>
          <w:szCs w:val="28"/>
        </w:rPr>
        <w:lastRenderedPageBreak/>
        <w:t>рове Большой Ус</w:t>
      </w:r>
      <w:r>
        <w:rPr>
          <w:rFonts w:ascii="Times New Roman" w:hAnsi="Times New Roman" w:cs="Times New Roman"/>
          <w:sz w:val="28"/>
          <w:szCs w:val="28"/>
        </w:rPr>
        <w:t>сурийский в Хабаровском крае</w:t>
      </w:r>
      <w:r w:rsidRPr="00094AFD">
        <w:rPr>
          <w:rFonts w:ascii="Times New Roman" w:hAnsi="Times New Roman" w:cs="Times New Roman"/>
          <w:sz w:val="28"/>
          <w:szCs w:val="28"/>
        </w:rPr>
        <w:t>. Запуск в мае 2026 года многофункционального терминала «Сухой порт Благовещенск» создает принципиально новую логику движения грузов, соединяя автомобильный мост Благовещенск–Хэйхэ с Т</w:t>
      </w:r>
      <w:r>
        <w:rPr>
          <w:rFonts w:ascii="Times New Roman" w:hAnsi="Times New Roman" w:cs="Times New Roman"/>
          <w:sz w:val="28"/>
          <w:szCs w:val="28"/>
        </w:rPr>
        <w:t>ранссибирской магистралью.</w:t>
      </w:r>
    </w:p>
    <w:p w14:paraId="70912B23" w14:textId="43DC4AAB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FD">
        <w:rPr>
          <w:rFonts w:ascii="Times New Roman" w:hAnsi="Times New Roman" w:cs="Times New Roman"/>
          <w:sz w:val="28"/>
          <w:szCs w:val="28"/>
        </w:rPr>
        <w:t>Вторым приоритетом выступает стимулирование несырьевого экспорта. Режим МТОР ориентирован на производство продукции с высокой добавленной стоимостью, что предполагает развитие перерабатывающих произво</w:t>
      </w:r>
      <w:r>
        <w:rPr>
          <w:rFonts w:ascii="Times New Roman" w:hAnsi="Times New Roman" w:cs="Times New Roman"/>
          <w:sz w:val="28"/>
          <w:szCs w:val="28"/>
        </w:rPr>
        <w:t>дств в регионе</w:t>
      </w:r>
      <w:r w:rsidRPr="00094AFD">
        <w:rPr>
          <w:rFonts w:ascii="Times New Roman" w:hAnsi="Times New Roman" w:cs="Times New Roman"/>
          <w:sz w:val="28"/>
          <w:szCs w:val="28"/>
        </w:rPr>
        <w:t>. Как отметил глава представительства Российского экспортного центр</w:t>
      </w:r>
      <w:r>
        <w:rPr>
          <w:rFonts w:ascii="Times New Roman" w:hAnsi="Times New Roman" w:cs="Times New Roman"/>
          <w:sz w:val="28"/>
          <w:szCs w:val="28"/>
        </w:rPr>
        <w:t xml:space="preserve">а в Хабаровске, Дальний Восток </w:t>
      </w:r>
      <w:r w:rsidR="00A44302">
        <w:rPr>
          <w:rFonts w:ascii="Times New Roman" w:hAnsi="Times New Roman" w:cs="Times New Roman"/>
          <w:sz w:val="28"/>
          <w:szCs w:val="28"/>
        </w:rPr>
        <w:t>–</w:t>
      </w:r>
      <w:r w:rsidRPr="00094AFD">
        <w:rPr>
          <w:rFonts w:ascii="Times New Roman" w:hAnsi="Times New Roman" w:cs="Times New Roman"/>
          <w:sz w:val="28"/>
          <w:szCs w:val="28"/>
        </w:rPr>
        <w:t xml:space="preserve"> это не только ключ к китайскому рынку, но и точка входа на рынки стран АТР, поэтому наращивание несырьевого экспорта является стратегическ</w:t>
      </w:r>
      <w:r>
        <w:rPr>
          <w:rFonts w:ascii="Times New Roman" w:hAnsi="Times New Roman" w:cs="Times New Roman"/>
          <w:sz w:val="28"/>
          <w:szCs w:val="28"/>
        </w:rPr>
        <w:t>ой задачей.</w:t>
      </w:r>
    </w:p>
    <w:p w14:paraId="4923191A" w14:textId="2EA0DE58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FD">
        <w:rPr>
          <w:rFonts w:ascii="Times New Roman" w:hAnsi="Times New Roman" w:cs="Times New Roman"/>
          <w:sz w:val="28"/>
          <w:szCs w:val="28"/>
        </w:rPr>
        <w:t>Третий приоритет связан с упрощением и унификацией преференциальных режимов. Новый режим МТОР призван объединить преимущества существующих преференциальных режимов и установить единые, понятные для инвесторов правила. Важно продолжать работу по унификации условий для бизнеса и снижению административных барьеров. Г.А. Борщевский отмечает, что влияние преференциальных режимов на развитие Дальнего Востока может быть усилено за сч</w:t>
      </w:r>
      <w:r>
        <w:rPr>
          <w:rFonts w:ascii="Times New Roman" w:hAnsi="Times New Roman" w:cs="Times New Roman"/>
          <w:sz w:val="28"/>
          <w:szCs w:val="28"/>
        </w:rPr>
        <w:t>ет их системной координации</w:t>
      </w:r>
      <w:r w:rsidRPr="00094AFD">
        <w:rPr>
          <w:rFonts w:ascii="Times New Roman" w:hAnsi="Times New Roman" w:cs="Times New Roman"/>
          <w:sz w:val="28"/>
          <w:szCs w:val="28"/>
        </w:rPr>
        <w:t xml:space="preserve">. Е.В. </w:t>
      </w:r>
      <w:proofErr w:type="spellStart"/>
      <w:r w:rsidRPr="00094AFD">
        <w:rPr>
          <w:rFonts w:ascii="Times New Roman" w:hAnsi="Times New Roman" w:cs="Times New Roman"/>
          <w:sz w:val="28"/>
          <w:szCs w:val="28"/>
        </w:rPr>
        <w:t>Трофименкова</w:t>
      </w:r>
      <w:proofErr w:type="spellEnd"/>
      <w:r w:rsidRPr="00094AFD">
        <w:rPr>
          <w:rFonts w:ascii="Times New Roman" w:hAnsi="Times New Roman" w:cs="Times New Roman"/>
          <w:sz w:val="28"/>
          <w:szCs w:val="28"/>
        </w:rPr>
        <w:t xml:space="preserve"> подчеркивает, что оценка первых лет реализации ТОР показывает необходимость 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механизмов их применения.</w:t>
      </w:r>
    </w:p>
    <w:p w14:paraId="6286D329" w14:textId="7D883292" w:rsidR="00094AFD" w:rsidRP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FD">
        <w:rPr>
          <w:rFonts w:ascii="Times New Roman" w:hAnsi="Times New Roman" w:cs="Times New Roman"/>
          <w:sz w:val="28"/>
          <w:szCs w:val="28"/>
        </w:rPr>
        <w:t>Как подчеркивает А.Б</w:t>
      </w:r>
      <w:r>
        <w:rPr>
          <w:rFonts w:ascii="Times New Roman" w:hAnsi="Times New Roman" w:cs="Times New Roman"/>
          <w:sz w:val="28"/>
          <w:szCs w:val="28"/>
        </w:rPr>
        <w:t xml:space="preserve">. Волынчук, развитие Приамурья </w:t>
      </w:r>
      <w:r w:rsidR="00A44302">
        <w:rPr>
          <w:rFonts w:ascii="Times New Roman" w:hAnsi="Times New Roman" w:cs="Times New Roman"/>
          <w:sz w:val="28"/>
          <w:szCs w:val="28"/>
        </w:rPr>
        <w:t>–</w:t>
      </w:r>
      <w:r w:rsidRPr="00094AFD">
        <w:rPr>
          <w:rFonts w:ascii="Times New Roman" w:hAnsi="Times New Roman" w:cs="Times New Roman"/>
          <w:sz w:val="28"/>
          <w:szCs w:val="28"/>
        </w:rPr>
        <w:t xml:space="preserve"> это не только экономическая необходимость, но и вопрос сохранения геополитического присутс</w:t>
      </w:r>
      <w:r>
        <w:rPr>
          <w:rFonts w:ascii="Times New Roman" w:hAnsi="Times New Roman" w:cs="Times New Roman"/>
          <w:sz w:val="28"/>
          <w:szCs w:val="28"/>
        </w:rPr>
        <w:t>твия России в регионе</w:t>
      </w:r>
      <w:r w:rsidRPr="00094AFD">
        <w:rPr>
          <w:rFonts w:ascii="Times New Roman" w:hAnsi="Times New Roman" w:cs="Times New Roman"/>
          <w:sz w:val="28"/>
          <w:szCs w:val="28"/>
        </w:rPr>
        <w:t>. В этом контексте стратегические приоритеты государственной поддержки должны учитывать не только экономическую эффективность, но и геополитическую значимость каждого инвестиционного проекта.</w:t>
      </w:r>
    </w:p>
    <w:p w14:paraId="6791C30B" w14:textId="325B2C6B" w:rsidR="006D03D4" w:rsidRPr="00C634F0" w:rsidRDefault="001F4152" w:rsidP="001F4152">
      <w:pPr>
        <w:pStyle w:val="a7"/>
        <w:widowControl w:val="0"/>
        <w:tabs>
          <w:tab w:val="left" w:pos="1134"/>
        </w:tabs>
        <w:suppressAutoHyphens/>
        <w:spacing w:before="240" w:after="120"/>
        <w:ind w:left="1560" w:hanging="851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1F4152">
        <w:rPr>
          <w:sz w:val="28"/>
          <w:szCs w:val="28"/>
        </w:rPr>
        <w:t>Рекомендации по усовершенствованию управленческих механизмов и система контроля</w:t>
      </w:r>
    </w:p>
    <w:p w14:paraId="686FE2DC" w14:textId="299CB5B7" w:rsidR="00094AFD" w:rsidRDefault="00094AFD" w:rsidP="00094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AFD">
        <w:rPr>
          <w:rFonts w:ascii="Times New Roman" w:hAnsi="Times New Roman" w:cs="Times New Roman"/>
          <w:sz w:val="28"/>
          <w:szCs w:val="28"/>
        </w:rPr>
        <w:t>По итогам проведенного исследования предлагается комплекс рекомендаций, направленных на совершенствование управленческих механизмов в сфере трансграничного сотрудничества.</w:t>
      </w:r>
    </w:p>
    <w:p w14:paraId="6C4E706F" w14:textId="77777777" w:rsidR="000939DB" w:rsidRPr="000939DB" w:rsidRDefault="000939DB" w:rsidP="0009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DB">
        <w:rPr>
          <w:rFonts w:ascii="Times New Roman" w:hAnsi="Times New Roman" w:cs="Times New Roman"/>
          <w:sz w:val="28"/>
          <w:szCs w:val="28"/>
        </w:rPr>
        <w:lastRenderedPageBreak/>
        <w:t>Первая рекомендация касается внедрения проектного подхода в управлении трансграничными инициативами. Необходимо четкое определение ответственных исполнителей, этапов реализации, ресурсного обеспечения и ключевых показателей эффективности для каждой трансграничной инициативы. Особое внимание следует уделить проектам в рамках МТОР, где минимальный порог инвестиций составляет 500 млн рублей, что требует профессионального проектного управления и регулярного мониторинга [5].</w:t>
      </w:r>
    </w:p>
    <w:p w14:paraId="5CB85C7B" w14:textId="6C18AE5A" w:rsidR="000939DB" w:rsidRDefault="000939DB" w:rsidP="0009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DB">
        <w:rPr>
          <w:rFonts w:ascii="Times New Roman" w:hAnsi="Times New Roman" w:cs="Times New Roman"/>
          <w:sz w:val="28"/>
          <w:szCs w:val="28"/>
        </w:rPr>
        <w:t>Вторая рекомендация предполагает создание системы стратегического, текущего и оперативного контроля на основе единой системы показателей. Стратегический контроль предполагает ежегодную оценку вклада трансграничного сотрудничества в достижение целей, заложенных в Стратегии развития Дальнего Востока. Текущий контроль включает квартальный мониторинг выполнения ключевых показателей проектов и инициатив, включая динамику инвестиций и экспорта. Оперативный контроль предусматривает ежемесячный анализ выполнения планов-графиков реализации конкретных проектов.</w:t>
      </w:r>
    </w:p>
    <w:p w14:paraId="10969D3C" w14:textId="55296D53" w:rsidR="000939DB" w:rsidRDefault="000939DB" w:rsidP="0009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рекомендация </w:t>
      </w:r>
      <w:r w:rsidR="00A44302">
        <w:rPr>
          <w:rFonts w:ascii="Times New Roman" w:hAnsi="Times New Roman" w:cs="Times New Roman"/>
          <w:sz w:val="28"/>
          <w:szCs w:val="28"/>
        </w:rPr>
        <w:t>–</w:t>
      </w:r>
      <w:r w:rsidRPr="000939DB">
        <w:rPr>
          <w:rFonts w:ascii="Times New Roman" w:hAnsi="Times New Roman" w:cs="Times New Roman"/>
          <w:sz w:val="28"/>
          <w:szCs w:val="28"/>
        </w:rPr>
        <w:t xml:space="preserve"> формирование системы обратной связи с бизнесом через постоянно действующие экспертные советы с участием бизнес-ассоциаций, центров поддержки экспорта и вузов для опера</w:t>
      </w:r>
      <w:r>
        <w:rPr>
          <w:rFonts w:ascii="Times New Roman" w:hAnsi="Times New Roman" w:cs="Times New Roman"/>
          <w:sz w:val="28"/>
          <w:szCs w:val="28"/>
        </w:rPr>
        <w:t>тивного выявления барьеров.</w:t>
      </w:r>
    </w:p>
    <w:p w14:paraId="1F916584" w14:textId="2E7BF9A9" w:rsidR="000939DB" w:rsidRPr="000939DB" w:rsidRDefault="000939DB" w:rsidP="0009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рекомендация -</w:t>
      </w:r>
      <w:r w:rsidRPr="000939DB">
        <w:rPr>
          <w:rFonts w:ascii="Times New Roman" w:hAnsi="Times New Roman" w:cs="Times New Roman"/>
          <w:sz w:val="28"/>
          <w:szCs w:val="28"/>
        </w:rPr>
        <w:t xml:space="preserve"> развитие цифровых сервисов для трансграничных операций, включая электронную торговлю, цифровую логистику и электронный документооборот. Внедрение таких решений позволит ускорить прохождение трансграничных сделок, сократить время таможенного оформления и снизить административные барьеры для участников внешнеэкономической деятельности. </w:t>
      </w:r>
    </w:p>
    <w:p w14:paraId="09E59395" w14:textId="155D68EF" w:rsidR="000939DB" w:rsidRPr="000939DB" w:rsidRDefault="000939DB" w:rsidP="0009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Пятая рекомендация -</w:t>
      </w:r>
      <w:r w:rsidRPr="000939DB">
        <w:rPr>
          <w:rFonts w:ascii="Times New Roman" w:hAnsi="Times New Roman" w:cs="Times New Roman"/>
          <w:sz w:val="28"/>
          <w:szCs w:val="28"/>
        </w:rPr>
        <w:t xml:space="preserve"> усиление информационного сопровождения трансграничных проектов для повышения их узнаваемости и формирования позитивного инвестиционного климата, включая освещение в СМИ и на цифровых </w:t>
      </w:r>
      <w:r>
        <w:rPr>
          <w:rFonts w:ascii="Times New Roman" w:hAnsi="Times New Roman" w:cs="Times New Roman"/>
          <w:sz w:val="28"/>
          <w:szCs w:val="28"/>
        </w:rPr>
        <w:t>платформах</w:t>
      </w:r>
      <w:r w:rsidRPr="000939DB">
        <w:rPr>
          <w:rFonts w:ascii="Times New Roman" w:hAnsi="Times New Roman" w:cs="Times New Roman"/>
          <w:sz w:val="28"/>
          <w:szCs w:val="28"/>
        </w:rPr>
        <w:t>.</w:t>
      </w:r>
    </w:p>
    <w:p w14:paraId="6D530ED7" w14:textId="6148B821" w:rsidR="00516479" w:rsidRPr="00513FD1" w:rsidRDefault="00516479" w:rsidP="00513F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39E357F9" w14:textId="1FED4A96" w:rsidR="00D4293D" w:rsidRPr="003F4616" w:rsidRDefault="00D4293D" w:rsidP="00281CDA">
      <w:pPr>
        <w:pStyle w:val="a5"/>
        <w:widowControl w:val="0"/>
        <w:ind w:left="0"/>
      </w:pPr>
      <w:r w:rsidRPr="003F4616">
        <w:lastRenderedPageBreak/>
        <w:t>Заключение</w:t>
      </w:r>
    </w:p>
    <w:p w14:paraId="0082540E" w14:textId="77777777" w:rsidR="00116A40" w:rsidRPr="00116A40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Проведенное исследование процессов влияния трансграничного экономического сотрудничества на экономику субъектов Дальневосточного федерального округа позволяет сформулировать ряд обобщающих выводов.</w:t>
      </w:r>
    </w:p>
    <w:p w14:paraId="6B0E8266" w14:textId="30684F58" w:rsidR="00116A40" w:rsidRPr="00116A40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Трансграничное сотрудничество выступает ключевым фактором социально-экономического развития субъектов ДФО. Реализация крупных инфраструктурных и промышленных проектов, включая Амурский газоперерабатывающий завод (построено 5 технологических линий из 6) и Амурский газохимический комплекс (готовность 90%, запуск в III квартале 2026 года), обеспечивает устойчивый мультипликативный эффект для региональной экономики. Уровень газификации Амурской области за пять лет вырос с 0</w:t>
      </w:r>
      <w:r w:rsidR="00294CDA">
        <w:rPr>
          <w:rFonts w:ascii="Times New Roman" w:hAnsi="Times New Roman" w:cs="Times New Roman"/>
          <w:sz w:val="28"/>
          <w:szCs w:val="28"/>
        </w:rPr>
        <w:t>%</w:t>
      </w:r>
      <w:r w:rsidRPr="00116A40">
        <w:rPr>
          <w:rFonts w:ascii="Times New Roman" w:hAnsi="Times New Roman" w:cs="Times New Roman"/>
          <w:sz w:val="28"/>
          <w:szCs w:val="28"/>
        </w:rPr>
        <w:t xml:space="preserve"> до 8%, что наглядно демонстрирует результаты инвестицион</w:t>
      </w:r>
      <w:r>
        <w:rPr>
          <w:rFonts w:ascii="Times New Roman" w:hAnsi="Times New Roman" w:cs="Times New Roman"/>
          <w:sz w:val="28"/>
          <w:szCs w:val="28"/>
        </w:rPr>
        <w:t>ной активности в макрорегионе</w:t>
      </w:r>
      <w:r w:rsidRPr="00116A40">
        <w:rPr>
          <w:rFonts w:ascii="Times New Roman" w:hAnsi="Times New Roman" w:cs="Times New Roman"/>
          <w:sz w:val="28"/>
          <w:szCs w:val="28"/>
        </w:rPr>
        <w:t>.</w:t>
      </w:r>
    </w:p>
    <w:p w14:paraId="67457735" w14:textId="188C95D9" w:rsidR="00116A40" w:rsidRPr="00116A40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Создание с 1 января 2026 года н</w:t>
      </w:r>
      <w:r>
        <w:rPr>
          <w:rFonts w:ascii="Times New Roman" w:hAnsi="Times New Roman" w:cs="Times New Roman"/>
          <w:sz w:val="28"/>
          <w:szCs w:val="28"/>
        </w:rPr>
        <w:t>ового преференциального режима -</w:t>
      </w:r>
      <w:r w:rsidRPr="00116A40">
        <w:rPr>
          <w:rFonts w:ascii="Times New Roman" w:hAnsi="Times New Roman" w:cs="Times New Roman"/>
          <w:sz w:val="28"/>
          <w:szCs w:val="28"/>
        </w:rPr>
        <w:t xml:space="preserve"> международных территори</w:t>
      </w:r>
      <w:r>
        <w:rPr>
          <w:rFonts w:ascii="Times New Roman" w:hAnsi="Times New Roman" w:cs="Times New Roman"/>
          <w:sz w:val="28"/>
          <w:szCs w:val="28"/>
        </w:rPr>
        <w:t xml:space="preserve">й опережающего развития (МТОР) </w:t>
      </w:r>
      <w:r w:rsidR="00A44302">
        <w:rPr>
          <w:rFonts w:ascii="Times New Roman" w:hAnsi="Times New Roman" w:cs="Times New Roman"/>
          <w:sz w:val="28"/>
          <w:szCs w:val="28"/>
        </w:rPr>
        <w:t>–</w:t>
      </w:r>
      <w:r w:rsidRPr="00116A40">
        <w:rPr>
          <w:rFonts w:ascii="Times New Roman" w:hAnsi="Times New Roman" w:cs="Times New Roman"/>
          <w:sz w:val="28"/>
          <w:szCs w:val="28"/>
        </w:rPr>
        <w:t xml:space="preserve"> формирует институциональную основу для дальнейшего привлечения иностранных инвестиций. Нулевая ставка налога на прибыль на 10 лет, пониженные страховые взносы (7,6% вместо стандартных 30%), 15-летняя гарантия стабильности условий и режим свободной таможенной зоны создают беспрецедентные условия для д</w:t>
      </w:r>
      <w:r>
        <w:rPr>
          <w:rFonts w:ascii="Times New Roman" w:hAnsi="Times New Roman" w:cs="Times New Roman"/>
          <w:sz w:val="28"/>
          <w:szCs w:val="28"/>
        </w:rPr>
        <w:t>олгосрочных капиталовложений</w:t>
      </w:r>
      <w:r w:rsidRPr="00116A40">
        <w:rPr>
          <w:rFonts w:ascii="Times New Roman" w:hAnsi="Times New Roman" w:cs="Times New Roman"/>
          <w:sz w:val="28"/>
          <w:szCs w:val="28"/>
        </w:rPr>
        <w:t>.</w:t>
      </w:r>
    </w:p>
    <w:p w14:paraId="3075E943" w14:textId="57D06B85" w:rsidR="00116A40" w:rsidRPr="00116A40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Интеграция новых транспортно-логистических проектов в существующую инфраструктуру ДФО создает основу для принципиально нового качества приграничного взаимодействия. Контейнерный терминал «Сухой порт Благовещенск», запущенный в мае 2026 года, стал связующим звеном между ав</w:t>
      </w:r>
      <w:r>
        <w:rPr>
          <w:rFonts w:ascii="Times New Roman" w:hAnsi="Times New Roman" w:cs="Times New Roman"/>
          <w:sz w:val="28"/>
          <w:szCs w:val="28"/>
        </w:rPr>
        <w:t>томобильным мостом Благовещенск-</w:t>
      </w:r>
      <w:r w:rsidRPr="00116A40">
        <w:rPr>
          <w:rFonts w:ascii="Times New Roman" w:hAnsi="Times New Roman" w:cs="Times New Roman"/>
          <w:sz w:val="28"/>
          <w:szCs w:val="28"/>
        </w:rPr>
        <w:t>Хэйхэ и Транссибирской магистралью. Стартовая мощность комплекса составляет 520 тыс. тонн грузов в год с перспективой двукратного уве</w:t>
      </w:r>
      <w:r>
        <w:rPr>
          <w:rFonts w:ascii="Times New Roman" w:hAnsi="Times New Roman" w:cs="Times New Roman"/>
          <w:sz w:val="28"/>
          <w:szCs w:val="28"/>
        </w:rPr>
        <w:t>личения к 2030 году</w:t>
      </w:r>
      <w:r w:rsidRPr="00116A40">
        <w:rPr>
          <w:rFonts w:ascii="Times New Roman" w:hAnsi="Times New Roman" w:cs="Times New Roman"/>
          <w:sz w:val="28"/>
          <w:szCs w:val="28"/>
        </w:rPr>
        <w:t>.</w:t>
      </w:r>
    </w:p>
    <w:p w14:paraId="4582A1AA" w14:textId="73CE6034" w:rsidR="00116A40" w:rsidRPr="00116A40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Несырьевой экспорт демонстрирует устойчивый рост. По итогам первого полугодия 2025 года несырьевой экспорт из ДФО в КНР вырос на 5% по сравнению с аналогичным периодом 2024 года. Точками роста стали продукц</w:t>
      </w:r>
      <w:r>
        <w:rPr>
          <w:rFonts w:ascii="Times New Roman" w:hAnsi="Times New Roman" w:cs="Times New Roman"/>
          <w:sz w:val="28"/>
          <w:szCs w:val="28"/>
        </w:rPr>
        <w:t>ия агро</w:t>
      </w:r>
      <w:r>
        <w:rPr>
          <w:rFonts w:ascii="Times New Roman" w:hAnsi="Times New Roman" w:cs="Times New Roman"/>
          <w:sz w:val="28"/>
          <w:szCs w:val="28"/>
        </w:rPr>
        <w:lastRenderedPageBreak/>
        <w:t>промышленного комплекса -</w:t>
      </w:r>
      <w:r w:rsidRPr="00116A40">
        <w:rPr>
          <w:rFonts w:ascii="Times New Roman" w:hAnsi="Times New Roman" w:cs="Times New Roman"/>
          <w:sz w:val="28"/>
          <w:szCs w:val="28"/>
        </w:rPr>
        <w:t xml:space="preserve"> мороженая рыба, рыбное филе, ракообразные. Перспективными направлениями являются продукция пищевой промышленности, косметика и изделия народ</w:t>
      </w:r>
      <w:r>
        <w:rPr>
          <w:rFonts w:ascii="Times New Roman" w:hAnsi="Times New Roman" w:cs="Times New Roman"/>
          <w:sz w:val="28"/>
          <w:szCs w:val="28"/>
        </w:rPr>
        <w:t>ных художественных промыслов</w:t>
      </w:r>
      <w:r w:rsidRPr="00116A40">
        <w:rPr>
          <w:rFonts w:ascii="Times New Roman" w:hAnsi="Times New Roman" w:cs="Times New Roman"/>
          <w:sz w:val="28"/>
          <w:szCs w:val="28"/>
        </w:rPr>
        <w:t>.</w:t>
      </w:r>
    </w:p>
    <w:p w14:paraId="4A931D7B" w14:textId="7C41F107" w:rsidR="00116A40" w:rsidRPr="00116A40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Комплексное развитие системы управления трансграничным сотрудничеством требует одновременного развития логистической инфраструктуры, институциональной среды и экспор</w:t>
      </w:r>
      <w:r>
        <w:rPr>
          <w:rFonts w:ascii="Times New Roman" w:hAnsi="Times New Roman" w:cs="Times New Roman"/>
          <w:sz w:val="28"/>
          <w:szCs w:val="28"/>
        </w:rPr>
        <w:t>тной поддержки. Дальний Восток -</w:t>
      </w:r>
      <w:r w:rsidRPr="00116A40">
        <w:rPr>
          <w:rFonts w:ascii="Times New Roman" w:hAnsi="Times New Roman" w:cs="Times New Roman"/>
          <w:sz w:val="28"/>
          <w:szCs w:val="28"/>
        </w:rPr>
        <w:t xml:space="preserve"> это не только ключ к китайскому рынку, но и точка входа на рынки стран Азиатско-Тихоокеанского региона, поэтому модернизация приграничной инфраструктуры являетс</w:t>
      </w:r>
      <w:r>
        <w:rPr>
          <w:rFonts w:ascii="Times New Roman" w:hAnsi="Times New Roman" w:cs="Times New Roman"/>
          <w:sz w:val="28"/>
          <w:szCs w:val="28"/>
        </w:rPr>
        <w:t>я стратегическим приоритетом</w:t>
      </w:r>
      <w:r w:rsidRPr="00116A40">
        <w:rPr>
          <w:rFonts w:ascii="Times New Roman" w:hAnsi="Times New Roman" w:cs="Times New Roman"/>
          <w:sz w:val="28"/>
          <w:szCs w:val="28"/>
        </w:rPr>
        <w:t>.</w:t>
      </w:r>
    </w:p>
    <w:p w14:paraId="7F5EE247" w14:textId="11DFA90E" w:rsidR="00116A40" w:rsidRPr="001F4152" w:rsidRDefault="00116A40" w:rsidP="00116A40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40">
        <w:rPr>
          <w:rFonts w:ascii="Times New Roman" w:hAnsi="Times New Roman" w:cs="Times New Roman"/>
          <w:sz w:val="28"/>
          <w:szCs w:val="28"/>
        </w:rPr>
        <w:t>Прохождение практики в ООО «</w:t>
      </w:r>
      <w:proofErr w:type="spellStart"/>
      <w:r w:rsidRPr="00116A40">
        <w:rPr>
          <w:rFonts w:ascii="Times New Roman" w:hAnsi="Times New Roman" w:cs="Times New Roman"/>
          <w:sz w:val="28"/>
          <w:szCs w:val="28"/>
        </w:rPr>
        <w:t>Экс</w:t>
      </w:r>
      <w:r w:rsidR="00294CDA">
        <w:rPr>
          <w:rFonts w:ascii="Times New Roman" w:hAnsi="Times New Roman" w:cs="Times New Roman"/>
          <w:sz w:val="28"/>
          <w:szCs w:val="28"/>
        </w:rPr>
        <w:t>пертГрупп</w:t>
      </w:r>
      <w:proofErr w:type="spellEnd"/>
      <w:r w:rsidR="00294CDA">
        <w:rPr>
          <w:rFonts w:ascii="Times New Roman" w:hAnsi="Times New Roman" w:cs="Times New Roman"/>
          <w:sz w:val="28"/>
          <w:szCs w:val="28"/>
        </w:rPr>
        <w:t>» позволило</w:t>
      </w:r>
      <w:r w:rsidRPr="00116A40">
        <w:rPr>
          <w:rFonts w:ascii="Times New Roman" w:hAnsi="Times New Roman" w:cs="Times New Roman"/>
          <w:sz w:val="28"/>
          <w:szCs w:val="28"/>
        </w:rPr>
        <w:t xml:space="preserve"> применить методологию исследования трансграничных процессов: от сбора и анализа информации до подготовки структурированных аналитических материалов. Полученный опыт информационно-аналитической работы в сфере регионального управления и внешнеэкономической деятельности будет использован при дальнейшей работе над магистерской диссертацией и в профессиональной деятельности.</w:t>
      </w:r>
    </w:p>
    <w:p w14:paraId="5A8DFE0D" w14:textId="46852AF0" w:rsidR="00C634F0" w:rsidRPr="001E3512" w:rsidRDefault="00C634F0" w:rsidP="001E3512">
      <w:pPr>
        <w:pStyle w:val="a5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2DED5774" w14:textId="7D8E638C" w:rsidR="00BD63BD" w:rsidRDefault="00BD63BD" w:rsidP="00A4781C">
      <w:pPr>
        <w:pStyle w:val="a5"/>
        <w:widowControl w:val="0"/>
        <w:ind w:left="0"/>
      </w:pPr>
      <w:r>
        <w:lastRenderedPageBreak/>
        <w:t>Список использованных источников</w:t>
      </w:r>
    </w:p>
    <w:p w14:paraId="27F6A969" w14:textId="2CD01222" w:rsidR="009E3F52" w:rsidRPr="002E338A" w:rsidRDefault="009E3F52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 Волынчук А.Б. Россия в Приамурье – геополитические интересы или экономическая необходимость: монография. – Владивосток: Изд-во ВГУЭС, 2009. – 168 с.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01.06.2026).</w:t>
      </w:r>
    </w:p>
    <w:p w14:paraId="3FD88422" w14:textId="6376D804" w:rsidR="009E3F52" w:rsidRPr="002E338A" w:rsidRDefault="009E3F52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2 Подведены итоги Восточного экономического форума – 2025 // Официальный сайт Правительства Российской Федерации. – 2025. – 7 сентября. – URL: </w:t>
      </w:r>
      <w:hyperlink r:id="rId10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http://government.ru/news/56148/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(дата обращения: 01.06</w:t>
      </w:r>
      <w:r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0E947306" w14:textId="33077E28" w:rsidR="009E3F52" w:rsidRPr="002E338A" w:rsidRDefault="000E2505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3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Китай нацелился на российское продовольствие и напитки // РБК. – 2025. – 7 июля. – URL: </w:t>
      </w:r>
      <w:hyperlink r:id="rId11" w:history="1">
        <w:r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https://www.rbc.ru/business/07/07/2025/686b6b2d9a7947b58e3f17d1</w:t>
        </w:r>
      </w:hyperlink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05.06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4B84273D" w14:textId="2CE2AC92" w:rsidR="009E3F52" w:rsidRPr="002E338A" w:rsidRDefault="000E2505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4 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Региональная экономика: комментарии ГУ. –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Вып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 № 4 (апрель). – Текст: электронный // Банк России. – 2025.</w:t>
      </w:r>
      <w:r w:rsidR="009A50E8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– 25 апреля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– URL: </w:t>
      </w:r>
      <w:hyperlink r:id="rId12" w:history="1">
        <w:r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https://cbr.ru/analytics/dkp/reg_review/0425/</w:t>
        </w:r>
      </w:hyperlink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08.06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2ABEB180" w14:textId="6DDC2BFA" w:rsidR="009E3F52" w:rsidRPr="002E338A" w:rsidRDefault="000E2505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5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Федеральный закон от 31.07.2025 № 285-ФЗ «О внесении изменений в отдельные законодательные акты Российской Федерации» (в части создания международных территорий опережающего развития). – Текст: электронный // Официальный интернет-портал правовой информации. – URL: </w:t>
      </w:r>
      <w:hyperlink r:id="rId13" w:history="1">
        <w:r w:rsidR="001C4009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http://publication.pravo.gov.ru/Document/View/0001202507310016</w:t>
        </w:r>
      </w:hyperlink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09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.07.2026).</w:t>
      </w:r>
    </w:p>
    <w:p w14:paraId="1C8C90B7" w14:textId="2233358B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6 Постановление Правительства Российской Федерации от 20 ноября 2025 г. № 1838 «Об утверждении Правил ведения реестра резидентов международной территории опережающего развития» // Официальный интернет-портал правовой информации. – URL: </w:t>
      </w:r>
      <w:hyperlink r:id="rId14" w:history="1">
        <w:r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http://publication.pravo.gov.ru/document/0001202511210016</w:t>
        </w:r>
      </w:hyperlink>
      <w:r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ращения: 12.06.2026</w:t>
      </w:r>
      <w:r w:rsidRPr="002E338A">
        <w:rPr>
          <w:rFonts w:ascii="Times New Roman" w:hAnsi="Times New Roman" w:cs="Times New Roman"/>
          <w:spacing w:val="-8"/>
          <w:sz w:val="28"/>
          <w:szCs w:val="28"/>
        </w:rPr>
        <w:t>).</w:t>
      </w:r>
    </w:p>
    <w:p w14:paraId="0DD25E44" w14:textId="2F2D2A99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7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Волынчук А.Б. Россия в Северо-Восточной Азии: вектор геополитических интересов / А.Б. Волынчук // Россия и современный мир. –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2009. – № 4 (61). – С. 144–161 (дата обращения: 12.06.2026).</w:t>
      </w:r>
    </w:p>
    <w:p w14:paraId="24978F55" w14:textId="0F4CE826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8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Маслюк Н.А., Медведева Н.В. Международные территории опережающего развития как новый источник инвестиционных возможностей / Н.А. Маслюк, Н.В. 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lastRenderedPageBreak/>
        <w:t>Медведева // Управленческое консультирова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ние. – 2024. – № 5. – С. 97–108 (дата обращения: 13.06.2026).</w:t>
      </w:r>
    </w:p>
    <w:p w14:paraId="0D3C4CB2" w14:textId="495508E6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9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Онищенко К.В. Международная территория опережающего развития как новое направление в развитии территориальных преференциальных режимов / К.В. Онищенко // Финансовое право. – 2025. – № 12. – С.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33–37 (дата обращения: 13.06.2026).</w:t>
      </w:r>
    </w:p>
    <w:p w14:paraId="6E44750A" w14:textId="3788DE71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10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Золотухин И.Н. Перспективы развития трансграничных отношений российского Дальнего Востока со странами Южной и Юго-Восточной Азии / И.Н. Золотухин // Ойкумена.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Регионоведческие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исследова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ния. – 2020. – № 4. – С. 96–108 (дата обращения: 13.06.2026).</w:t>
      </w:r>
    </w:p>
    <w:p w14:paraId="7D217DDE" w14:textId="19DD9404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11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Распоряжение Правительства РФ от 07.10.2020 № 2577-р «Об утверждении Концепции приграничного сотрудничества в Российской Федерации». – Текст: электронный // Официальный интернет-портал правовой информации. – URL: </w:t>
      </w:r>
      <w:hyperlink r:id="rId15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http://publication.pravo.gov.ru/Document/View/0001202010070011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(дата обращения: 15.06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1523F075" w14:textId="4B7FA4FD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12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Федеральный закон от 26.07.2025 № 179-ФЗ «Об основах приграничного сотрудничества в Российской Федерации». – Текст: электронный // Официальный интернет-портал правовой информации. – URL: </w:t>
      </w:r>
      <w:hyperlink r:id="rId16" w:history="1">
        <w:r w:rsidR="001C4009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http://publication.pravo.gov.ru/Document/View/0001202507260001</w:t>
        </w:r>
      </w:hyperlink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15.06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278D3D5C" w14:textId="3B531CA6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13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Борщевский Г.А. Влияние преференциальных режимов на развитие макрорегиона Дальнего Востока / Г.А. Борщевский // Вопросы экономи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ки. – 2024. – № 2. – С. 103–124 (дата обращения: 15.06.2026).</w:t>
      </w:r>
    </w:p>
    <w:p w14:paraId="3D31EB8A" w14:textId="29D4ADC3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14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Леонов С.Н. Преференциальные режимы созданных локальных точек роста и их влияние на экономику Дальнего Востока / С.Н. Леонов // Экономические и социальные перемены: факты, тенденции, прогноз. – 2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020. – Т. 13. – № 3. – С. 28–45 (дата обращения: 16.06.2026).</w:t>
      </w:r>
    </w:p>
    <w:p w14:paraId="2D51222A" w14:textId="0F073CED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15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Владимирова Д.А.,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Давыборец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Е.Н.,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Радиков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И.В. «Поворот России на Восток»: новые вызовы и возможности в развитии Дальневосточного региона / Д.А. Владимирова, Е.Н.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Давыборец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, И.В.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Радиков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// Вестник Забайкальского государственного университета. – 2022. – Т. 28. – № 3. – С. 36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–47 (дата обращения: 17.06.2026).</w:t>
      </w:r>
    </w:p>
    <w:p w14:paraId="1DCA1C5D" w14:textId="02B37397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lastRenderedPageBreak/>
        <w:t>16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Шилец Е.С., Пилипенко В.В. Анализ воздействия территорий опережающего развития на экономику Дальнего Востока / Е.С. Шилец, В.В. Пилипенко // Вестник Северо-Кавказского федерального университета. –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2020. – № 4 (79). – С. 123–132 (дата обращения: 19.06.2026).</w:t>
      </w:r>
    </w:p>
    <w:p w14:paraId="6A73DF6B" w14:textId="1C25D8CF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17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Трофименкова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Е.В. Территории опережающего социально-экономического развития: оценка первых лет реализации / Е.В. </w:t>
      </w:r>
      <w:proofErr w:type="spellStart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Трофименкова</w:t>
      </w:r>
      <w:proofErr w:type="spellEnd"/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// Территория новых возможностей. Вестник ВГУ-ЭС. –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2021. – Т. 13. – № 1. – С. 7–18 (дата обращения: 22.06.2026).</w:t>
      </w:r>
    </w:p>
    <w:p w14:paraId="4275AA45" w14:textId="618FDE15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18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Газ и не только. В. Орлов доложил президенту о реализации энергетических и газовых проектов в Амурской области // Neftegaz.RU. – 2026. – 3 марта. – URL: </w:t>
      </w:r>
      <w:hyperlink r:id="rId17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https://neftegaz.ru/news/Gazohimija/917176-gaz-i-ne-tolko-v-orlov-dolozhil-prezidentu-o-realizatsii-energeticheskikh-i-gazovykh-proektov-v-amur/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щения: 24.06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448F97C0" w14:textId="1B4C92BB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19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Амурский ГПЗ начал подачу сырья на Амурский ГХК // Neftegaz.RU. – 2026. – 25 июня. – URL: </w:t>
      </w:r>
      <w:hyperlink r:id="rId18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https://nangs.org/news/downstream/chem/gaschemistry/amurskij-gpz-nachal-podachu-syrya-na-amurskij-gkhk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26.06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25AA94D3" w14:textId="3A46EBC5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20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Один из крупнейших на Дальнем Востоке логистических терминалов — «Сухой порт Благовещенск» – введен в работу на ТОР «Амурская» // Минвостокразвития России. – 2026. – 21 мая. – URL: </w:t>
      </w:r>
      <w:hyperlink r:id="rId19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https://eng.minvr.gov.ru/press-center/news/odin_iz_krupneyshikh_na_dalnem_vostoke_logisticheskikh_terminalov_sukhoy_port_blagoveshchensk_vveden/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(дата обращения: 29.06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7F8C1EFF" w14:textId="03FCAC4E" w:rsidR="009E3F5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21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Сухой порт в Приамурье запущен в работу для приема контейнерных поездов // Интерфакс Россия. – 2026. – 21 мая. – URL: </w:t>
      </w:r>
      <w:hyperlink r:id="rId20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https://www.interfax-russia.ru/index.php/far-east/news/suhoy-port-v-priamure-zapushchen-v-rabotu-dlya-priema-konteynernyh-poezdov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(дата обращения: 30.06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.2026).</w:t>
      </w:r>
    </w:p>
    <w:p w14:paraId="52E933C1" w14:textId="738DA1DA" w:rsidR="001E3512" w:rsidRPr="002E338A" w:rsidRDefault="003D3FB4" w:rsidP="003D3FB4">
      <w:pPr>
        <w:pStyle w:val="a5"/>
        <w:widowControl w:val="0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E338A">
        <w:rPr>
          <w:rFonts w:ascii="Times New Roman" w:hAnsi="Times New Roman" w:cs="Times New Roman"/>
          <w:spacing w:val="-8"/>
          <w:sz w:val="28"/>
          <w:szCs w:val="28"/>
        </w:rPr>
        <w:t>22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Контейнерный терминал «Сухой порт Благовещенск» достроят в 2026 году // Морские вести России. – 2026. – 2 апреля. – URL: </w:t>
      </w:r>
      <w:hyperlink r:id="rId21" w:history="1">
        <w:r w:rsidR="000E2505" w:rsidRPr="002E338A">
          <w:rPr>
            <w:rStyle w:val="ae"/>
            <w:rFonts w:ascii="Times New Roman" w:hAnsi="Times New Roman" w:cs="Times New Roman"/>
            <w:color w:val="auto"/>
            <w:spacing w:val="-8"/>
            <w:sz w:val="28"/>
            <w:szCs w:val="28"/>
            <w:u w:val="none"/>
          </w:rPr>
          <w:t>http://morvesti.ru/news/1678/120301/</w:t>
        </w:r>
      </w:hyperlink>
      <w:r w:rsidR="000E2505" w:rsidRPr="002E338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C4009" w:rsidRPr="002E338A">
        <w:rPr>
          <w:rFonts w:ascii="Times New Roman" w:hAnsi="Times New Roman" w:cs="Times New Roman"/>
          <w:spacing w:val="-8"/>
          <w:sz w:val="28"/>
          <w:szCs w:val="28"/>
        </w:rPr>
        <w:t>(дата обращения: 06</w:t>
      </w:r>
      <w:r w:rsidR="009E3F52" w:rsidRPr="002E338A">
        <w:rPr>
          <w:rFonts w:ascii="Times New Roman" w:hAnsi="Times New Roman" w:cs="Times New Roman"/>
          <w:spacing w:val="-8"/>
          <w:sz w:val="28"/>
          <w:szCs w:val="28"/>
        </w:rPr>
        <w:t>.07.2026).</w:t>
      </w:r>
    </w:p>
    <w:sectPr w:rsidR="001E3512" w:rsidRPr="002E338A" w:rsidSect="00784E66">
      <w:pgSz w:w="11906" w:h="16838" w:code="9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60EAE" w14:textId="77777777" w:rsidR="0007324E" w:rsidRDefault="0007324E" w:rsidP="00283C26">
      <w:pPr>
        <w:spacing w:after="0" w:line="240" w:lineRule="auto"/>
      </w:pPr>
      <w:r>
        <w:separator/>
      </w:r>
    </w:p>
  </w:endnote>
  <w:endnote w:type="continuationSeparator" w:id="0">
    <w:p w14:paraId="55B01995" w14:textId="77777777" w:rsidR="0007324E" w:rsidRDefault="0007324E" w:rsidP="0028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666A4" w14:textId="77777777" w:rsidR="0007324E" w:rsidRDefault="0007324E" w:rsidP="00283C26">
      <w:pPr>
        <w:spacing w:after="0" w:line="240" w:lineRule="auto"/>
      </w:pPr>
      <w:r>
        <w:separator/>
      </w:r>
    </w:p>
  </w:footnote>
  <w:footnote w:type="continuationSeparator" w:id="0">
    <w:p w14:paraId="09C4A56D" w14:textId="77777777" w:rsidR="0007324E" w:rsidRDefault="0007324E" w:rsidP="00283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535130"/>
      <w:docPartObj>
        <w:docPartGallery w:val="Page Numbers (Top of Page)"/>
        <w:docPartUnique/>
      </w:docPartObj>
    </w:sdtPr>
    <w:sdtEndPr/>
    <w:sdtContent>
      <w:p w14:paraId="439E141F" w14:textId="642C6DB9" w:rsidR="00C81513" w:rsidRPr="006971CB" w:rsidRDefault="00C81513">
        <w:pPr>
          <w:pStyle w:val="aa"/>
          <w:jc w:val="right"/>
        </w:pPr>
        <w:r w:rsidRPr="006971CB">
          <w:fldChar w:fldCharType="begin"/>
        </w:r>
        <w:r w:rsidRPr="006971CB">
          <w:instrText>PAGE   \* MERGEFORMAT</w:instrText>
        </w:r>
        <w:r w:rsidRPr="006971CB">
          <w:fldChar w:fldCharType="separate"/>
        </w:r>
        <w:r w:rsidR="00142978">
          <w:rPr>
            <w:noProof/>
          </w:rPr>
          <w:t>19</w:t>
        </w:r>
        <w:r w:rsidRPr="006971CB">
          <w:fldChar w:fldCharType="end"/>
        </w:r>
      </w:p>
    </w:sdtContent>
  </w:sdt>
  <w:p w14:paraId="7A0811CE" w14:textId="77777777" w:rsidR="00C81513" w:rsidRDefault="00C8151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512330"/>
      <w:docPartObj>
        <w:docPartGallery w:val="Page Numbers (Top of Page)"/>
        <w:docPartUnique/>
      </w:docPartObj>
    </w:sdtPr>
    <w:sdtEndPr/>
    <w:sdtContent>
      <w:p w14:paraId="6D4AB701" w14:textId="3B97D3EC" w:rsidR="00C81513" w:rsidRDefault="00C815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978">
          <w:rPr>
            <w:noProof/>
          </w:rPr>
          <w:t>3</w:t>
        </w:r>
        <w:r>
          <w:fldChar w:fldCharType="end"/>
        </w:r>
      </w:p>
    </w:sdtContent>
  </w:sdt>
  <w:p w14:paraId="766072BE" w14:textId="77777777" w:rsidR="00C81513" w:rsidRDefault="00C8151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21E5"/>
    <w:multiLevelType w:val="multilevel"/>
    <w:tmpl w:val="187CAC28"/>
    <w:lvl w:ilvl="0">
      <w:start w:val="1"/>
      <w:numFmt w:val="decimal"/>
      <w:lvlText w:val="%1"/>
      <w:lvlJc w:val="left"/>
      <w:pPr>
        <w:ind w:left="1307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7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3" w:hanging="1440"/>
      </w:pPr>
      <w:rPr>
        <w:rFonts w:hint="default"/>
      </w:rPr>
    </w:lvl>
  </w:abstractNum>
  <w:abstractNum w:abstractNumId="1" w15:restartNumberingAfterBreak="0">
    <w:nsid w:val="005D1F0D"/>
    <w:multiLevelType w:val="multilevel"/>
    <w:tmpl w:val="EB1A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B359B"/>
    <w:multiLevelType w:val="multilevel"/>
    <w:tmpl w:val="6A12A7E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6645466"/>
    <w:multiLevelType w:val="hybridMultilevel"/>
    <w:tmpl w:val="075E0AA8"/>
    <w:lvl w:ilvl="0" w:tplc="2A267CEE">
      <w:start w:val="1"/>
      <w:numFmt w:val="decimal"/>
      <w:lvlText w:val="%1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 w15:restartNumberingAfterBreak="0">
    <w:nsid w:val="07795288"/>
    <w:multiLevelType w:val="multilevel"/>
    <w:tmpl w:val="BF98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92657"/>
    <w:multiLevelType w:val="multilevel"/>
    <w:tmpl w:val="256AC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7C3548"/>
    <w:multiLevelType w:val="multilevel"/>
    <w:tmpl w:val="21D44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D5C34"/>
    <w:multiLevelType w:val="hybridMultilevel"/>
    <w:tmpl w:val="DF2063DA"/>
    <w:lvl w:ilvl="0" w:tplc="2A267CEE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67BE0"/>
    <w:multiLevelType w:val="multilevel"/>
    <w:tmpl w:val="6A12A7E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AD21F37"/>
    <w:multiLevelType w:val="multilevel"/>
    <w:tmpl w:val="7F1A65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A1F39"/>
    <w:multiLevelType w:val="hybridMultilevel"/>
    <w:tmpl w:val="7BC23344"/>
    <w:lvl w:ilvl="0" w:tplc="43C41868">
      <w:start w:val="1"/>
      <w:numFmt w:val="decimal"/>
      <w:lvlText w:val="%1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BDD2B11"/>
    <w:multiLevelType w:val="hybridMultilevel"/>
    <w:tmpl w:val="35124F70"/>
    <w:lvl w:ilvl="0" w:tplc="56CC41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A31263"/>
    <w:multiLevelType w:val="multilevel"/>
    <w:tmpl w:val="152C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B821A2"/>
    <w:multiLevelType w:val="hybridMultilevel"/>
    <w:tmpl w:val="DFB4A0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365C60"/>
    <w:multiLevelType w:val="multilevel"/>
    <w:tmpl w:val="D29EB30A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0B954A0"/>
    <w:multiLevelType w:val="hybridMultilevel"/>
    <w:tmpl w:val="6BDC6526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35665AEF"/>
    <w:multiLevelType w:val="multilevel"/>
    <w:tmpl w:val="68B8D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663F9C"/>
    <w:multiLevelType w:val="multilevel"/>
    <w:tmpl w:val="C33EC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D583E"/>
    <w:multiLevelType w:val="hybridMultilevel"/>
    <w:tmpl w:val="E0ACCD80"/>
    <w:lvl w:ilvl="0" w:tplc="C3BEC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AA10A4"/>
    <w:multiLevelType w:val="hybridMultilevel"/>
    <w:tmpl w:val="1A849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5210C"/>
    <w:multiLevelType w:val="multilevel"/>
    <w:tmpl w:val="5EA8D5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4B0D12"/>
    <w:multiLevelType w:val="multilevel"/>
    <w:tmpl w:val="37D09554"/>
    <w:lvl w:ilvl="0">
      <w:start w:val="1"/>
      <w:numFmt w:val="decimal"/>
      <w:lvlText w:val="%1"/>
      <w:lvlJc w:val="left"/>
      <w:pPr>
        <w:ind w:left="744" w:hanging="7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3" w:hanging="7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2" w:hanging="74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 w15:restartNumberingAfterBreak="0">
    <w:nsid w:val="45A33568"/>
    <w:multiLevelType w:val="multilevel"/>
    <w:tmpl w:val="15DA9E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315492"/>
    <w:multiLevelType w:val="hybridMultilevel"/>
    <w:tmpl w:val="3A9A90AC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A316D9"/>
    <w:multiLevelType w:val="multilevel"/>
    <w:tmpl w:val="DCE833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220714"/>
    <w:multiLevelType w:val="hybridMultilevel"/>
    <w:tmpl w:val="7504919A"/>
    <w:lvl w:ilvl="0" w:tplc="7944BAA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D1B3ECB"/>
    <w:multiLevelType w:val="hybridMultilevel"/>
    <w:tmpl w:val="014622F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F390393"/>
    <w:multiLevelType w:val="multilevel"/>
    <w:tmpl w:val="912A6C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321254"/>
    <w:multiLevelType w:val="multilevel"/>
    <w:tmpl w:val="9FFC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353D32"/>
    <w:multiLevelType w:val="multilevel"/>
    <w:tmpl w:val="00006F60"/>
    <w:lvl w:ilvl="0">
      <w:start w:val="1"/>
      <w:numFmt w:val="decimal"/>
      <w:lvlText w:val="%1"/>
      <w:lvlJc w:val="left"/>
      <w:pPr>
        <w:ind w:left="1294" w:hanging="585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520"/>
      </w:pPr>
      <w:rPr>
        <w:rFonts w:hint="default"/>
      </w:rPr>
    </w:lvl>
  </w:abstractNum>
  <w:abstractNum w:abstractNumId="30" w15:restartNumberingAfterBreak="0">
    <w:nsid w:val="5B4F3FB6"/>
    <w:multiLevelType w:val="multilevel"/>
    <w:tmpl w:val="C952FC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31" w15:restartNumberingAfterBreak="0">
    <w:nsid w:val="60EF0AA7"/>
    <w:multiLevelType w:val="multilevel"/>
    <w:tmpl w:val="95905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400F66"/>
    <w:multiLevelType w:val="hybridMultilevel"/>
    <w:tmpl w:val="109E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16AB4"/>
    <w:multiLevelType w:val="hybridMultilevel"/>
    <w:tmpl w:val="20AA8DFC"/>
    <w:lvl w:ilvl="0" w:tplc="7944BAA6">
      <w:start w:val="1"/>
      <w:numFmt w:val="decimal"/>
      <w:lvlText w:val="%1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B41CC"/>
    <w:multiLevelType w:val="hybridMultilevel"/>
    <w:tmpl w:val="A85C5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16972"/>
    <w:multiLevelType w:val="hybridMultilevel"/>
    <w:tmpl w:val="1BB07A02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88C743A"/>
    <w:multiLevelType w:val="multilevel"/>
    <w:tmpl w:val="CC60039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E8076C"/>
    <w:multiLevelType w:val="hybridMultilevel"/>
    <w:tmpl w:val="3CD8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4"/>
  </w:num>
  <w:num w:numId="3">
    <w:abstractNumId w:val="37"/>
  </w:num>
  <w:num w:numId="4">
    <w:abstractNumId w:val="32"/>
  </w:num>
  <w:num w:numId="5">
    <w:abstractNumId w:val="7"/>
  </w:num>
  <w:num w:numId="6">
    <w:abstractNumId w:val="3"/>
  </w:num>
  <w:num w:numId="7">
    <w:abstractNumId w:val="33"/>
  </w:num>
  <w:num w:numId="8">
    <w:abstractNumId w:val="19"/>
  </w:num>
  <w:num w:numId="9">
    <w:abstractNumId w:val="15"/>
  </w:num>
  <w:num w:numId="10">
    <w:abstractNumId w:val="29"/>
  </w:num>
  <w:num w:numId="11">
    <w:abstractNumId w:val="14"/>
  </w:num>
  <w:num w:numId="12">
    <w:abstractNumId w:val="13"/>
  </w:num>
  <w:num w:numId="13">
    <w:abstractNumId w:val="25"/>
  </w:num>
  <w:num w:numId="14">
    <w:abstractNumId w:val="26"/>
  </w:num>
  <w:num w:numId="15">
    <w:abstractNumId w:val="35"/>
  </w:num>
  <w:num w:numId="16">
    <w:abstractNumId w:val="23"/>
  </w:num>
  <w:num w:numId="17">
    <w:abstractNumId w:val="21"/>
  </w:num>
  <w:num w:numId="18">
    <w:abstractNumId w:val="28"/>
  </w:num>
  <w:num w:numId="19">
    <w:abstractNumId w:val="2"/>
  </w:num>
  <w:num w:numId="20">
    <w:abstractNumId w:val="1"/>
  </w:num>
  <w:num w:numId="21">
    <w:abstractNumId w:val="4"/>
  </w:num>
  <w:num w:numId="22">
    <w:abstractNumId w:val="12"/>
  </w:num>
  <w:num w:numId="23">
    <w:abstractNumId w:val="31"/>
  </w:num>
  <w:num w:numId="24">
    <w:abstractNumId w:val="22"/>
  </w:num>
  <w:num w:numId="25">
    <w:abstractNumId w:val="36"/>
  </w:num>
  <w:num w:numId="26">
    <w:abstractNumId w:val="27"/>
  </w:num>
  <w:num w:numId="27">
    <w:abstractNumId w:val="16"/>
  </w:num>
  <w:num w:numId="28">
    <w:abstractNumId w:val="6"/>
  </w:num>
  <w:num w:numId="29">
    <w:abstractNumId w:val="20"/>
  </w:num>
  <w:num w:numId="30">
    <w:abstractNumId w:val="24"/>
  </w:num>
  <w:num w:numId="31">
    <w:abstractNumId w:val="17"/>
  </w:num>
  <w:num w:numId="32">
    <w:abstractNumId w:val="9"/>
  </w:num>
  <w:num w:numId="33">
    <w:abstractNumId w:val="30"/>
  </w:num>
  <w:num w:numId="34">
    <w:abstractNumId w:val="5"/>
  </w:num>
  <w:num w:numId="35">
    <w:abstractNumId w:val="0"/>
  </w:num>
  <w:num w:numId="36">
    <w:abstractNumId w:val="8"/>
  </w:num>
  <w:num w:numId="37">
    <w:abstractNumId w:val="11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E0"/>
    <w:rsid w:val="00000134"/>
    <w:rsid w:val="00004CF3"/>
    <w:rsid w:val="00007983"/>
    <w:rsid w:val="0001632C"/>
    <w:rsid w:val="00026F36"/>
    <w:rsid w:val="0004047A"/>
    <w:rsid w:val="00044CD3"/>
    <w:rsid w:val="000517C9"/>
    <w:rsid w:val="00056AEE"/>
    <w:rsid w:val="000676F1"/>
    <w:rsid w:val="0007324E"/>
    <w:rsid w:val="00077DA2"/>
    <w:rsid w:val="000908F9"/>
    <w:rsid w:val="000939DB"/>
    <w:rsid w:val="00094AFD"/>
    <w:rsid w:val="00097558"/>
    <w:rsid w:val="000A7AB3"/>
    <w:rsid w:val="000B4C95"/>
    <w:rsid w:val="000C3CED"/>
    <w:rsid w:val="000C6F95"/>
    <w:rsid w:val="000D066F"/>
    <w:rsid w:val="000D18CC"/>
    <w:rsid w:val="000D63B9"/>
    <w:rsid w:val="000E2505"/>
    <w:rsid w:val="000E6FB4"/>
    <w:rsid w:val="001122AB"/>
    <w:rsid w:val="00116A40"/>
    <w:rsid w:val="0013220B"/>
    <w:rsid w:val="00142978"/>
    <w:rsid w:val="00144296"/>
    <w:rsid w:val="00145D6B"/>
    <w:rsid w:val="00151A09"/>
    <w:rsid w:val="00152BE5"/>
    <w:rsid w:val="00173FAB"/>
    <w:rsid w:val="00180593"/>
    <w:rsid w:val="001C4009"/>
    <w:rsid w:val="001D4702"/>
    <w:rsid w:val="001D7F13"/>
    <w:rsid w:val="001E1345"/>
    <w:rsid w:val="001E3512"/>
    <w:rsid w:val="001E7D40"/>
    <w:rsid w:val="001F4152"/>
    <w:rsid w:val="001F6708"/>
    <w:rsid w:val="00201B03"/>
    <w:rsid w:val="00215E4D"/>
    <w:rsid w:val="00230AC1"/>
    <w:rsid w:val="00231ACF"/>
    <w:rsid w:val="00232654"/>
    <w:rsid w:val="00234CD1"/>
    <w:rsid w:val="00235049"/>
    <w:rsid w:val="002465CD"/>
    <w:rsid w:val="00246CD1"/>
    <w:rsid w:val="00281CDA"/>
    <w:rsid w:val="00283C26"/>
    <w:rsid w:val="002858FD"/>
    <w:rsid w:val="00294CDA"/>
    <w:rsid w:val="002B0953"/>
    <w:rsid w:val="002B639A"/>
    <w:rsid w:val="002B6F77"/>
    <w:rsid w:val="002C48FA"/>
    <w:rsid w:val="002C6D7D"/>
    <w:rsid w:val="002C7EDA"/>
    <w:rsid w:val="002D71E9"/>
    <w:rsid w:val="002E338A"/>
    <w:rsid w:val="002E37FA"/>
    <w:rsid w:val="00301EEA"/>
    <w:rsid w:val="003334E2"/>
    <w:rsid w:val="0034242B"/>
    <w:rsid w:val="00345C93"/>
    <w:rsid w:val="00360B8C"/>
    <w:rsid w:val="0036372D"/>
    <w:rsid w:val="00370C9A"/>
    <w:rsid w:val="00373DC9"/>
    <w:rsid w:val="00374CE2"/>
    <w:rsid w:val="00376F01"/>
    <w:rsid w:val="003845C6"/>
    <w:rsid w:val="00386CB5"/>
    <w:rsid w:val="00396CE9"/>
    <w:rsid w:val="003A0683"/>
    <w:rsid w:val="003A4DED"/>
    <w:rsid w:val="003C566D"/>
    <w:rsid w:val="003D3FB4"/>
    <w:rsid w:val="003D70F6"/>
    <w:rsid w:val="003E5A94"/>
    <w:rsid w:val="004370FD"/>
    <w:rsid w:val="0044079B"/>
    <w:rsid w:val="00460714"/>
    <w:rsid w:val="0046261B"/>
    <w:rsid w:val="004756E7"/>
    <w:rsid w:val="004834B5"/>
    <w:rsid w:val="004939AA"/>
    <w:rsid w:val="004B29E8"/>
    <w:rsid w:val="004B64B5"/>
    <w:rsid w:val="004D1BD4"/>
    <w:rsid w:val="004E0267"/>
    <w:rsid w:val="00500D49"/>
    <w:rsid w:val="00513FD1"/>
    <w:rsid w:val="00514D00"/>
    <w:rsid w:val="005160A8"/>
    <w:rsid w:val="0051614E"/>
    <w:rsid w:val="00516479"/>
    <w:rsid w:val="00531B1F"/>
    <w:rsid w:val="0053264F"/>
    <w:rsid w:val="00532A32"/>
    <w:rsid w:val="005360F6"/>
    <w:rsid w:val="00545C2F"/>
    <w:rsid w:val="00551A8F"/>
    <w:rsid w:val="00551AD0"/>
    <w:rsid w:val="00555FE6"/>
    <w:rsid w:val="005569FB"/>
    <w:rsid w:val="00566936"/>
    <w:rsid w:val="00566C8A"/>
    <w:rsid w:val="00570EA7"/>
    <w:rsid w:val="00587189"/>
    <w:rsid w:val="00590479"/>
    <w:rsid w:val="005A02D8"/>
    <w:rsid w:val="005B3DC2"/>
    <w:rsid w:val="005B638C"/>
    <w:rsid w:val="005C2663"/>
    <w:rsid w:val="005D05A7"/>
    <w:rsid w:val="005D2A67"/>
    <w:rsid w:val="005E0B31"/>
    <w:rsid w:val="005F3BFC"/>
    <w:rsid w:val="00601B27"/>
    <w:rsid w:val="00610CC6"/>
    <w:rsid w:val="00614BE2"/>
    <w:rsid w:val="00623AA3"/>
    <w:rsid w:val="006261D7"/>
    <w:rsid w:val="006307C5"/>
    <w:rsid w:val="0063081D"/>
    <w:rsid w:val="006331B9"/>
    <w:rsid w:val="0063344B"/>
    <w:rsid w:val="0063607C"/>
    <w:rsid w:val="00655908"/>
    <w:rsid w:val="006730D0"/>
    <w:rsid w:val="00677A45"/>
    <w:rsid w:val="00680451"/>
    <w:rsid w:val="00681881"/>
    <w:rsid w:val="00685347"/>
    <w:rsid w:val="00692CFF"/>
    <w:rsid w:val="0069385B"/>
    <w:rsid w:val="006968EB"/>
    <w:rsid w:val="006971CB"/>
    <w:rsid w:val="00697359"/>
    <w:rsid w:val="006A2B40"/>
    <w:rsid w:val="006A2FA5"/>
    <w:rsid w:val="006A6CE9"/>
    <w:rsid w:val="006C0A61"/>
    <w:rsid w:val="006C551F"/>
    <w:rsid w:val="006D03D4"/>
    <w:rsid w:val="006D7B1F"/>
    <w:rsid w:val="006E6232"/>
    <w:rsid w:val="006E7CDD"/>
    <w:rsid w:val="0070709E"/>
    <w:rsid w:val="00710DA3"/>
    <w:rsid w:val="00711683"/>
    <w:rsid w:val="00740523"/>
    <w:rsid w:val="0074761A"/>
    <w:rsid w:val="00767332"/>
    <w:rsid w:val="007835E2"/>
    <w:rsid w:val="00784E66"/>
    <w:rsid w:val="007A4996"/>
    <w:rsid w:val="007D2958"/>
    <w:rsid w:val="007E26E8"/>
    <w:rsid w:val="007E5603"/>
    <w:rsid w:val="007E5A5A"/>
    <w:rsid w:val="00803289"/>
    <w:rsid w:val="00816B16"/>
    <w:rsid w:val="00824F82"/>
    <w:rsid w:val="00825B4F"/>
    <w:rsid w:val="0086441D"/>
    <w:rsid w:val="008736B0"/>
    <w:rsid w:val="00883EDF"/>
    <w:rsid w:val="00891297"/>
    <w:rsid w:val="00892F36"/>
    <w:rsid w:val="00897062"/>
    <w:rsid w:val="008B2861"/>
    <w:rsid w:val="008B5AC0"/>
    <w:rsid w:val="008D72AC"/>
    <w:rsid w:val="008E7B17"/>
    <w:rsid w:val="00910D92"/>
    <w:rsid w:val="0092678A"/>
    <w:rsid w:val="00927AB5"/>
    <w:rsid w:val="00935B8A"/>
    <w:rsid w:val="009455B2"/>
    <w:rsid w:val="00954861"/>
    <w:rsid w:val="009630D8"/>
    <w:rsid w:val="00964275"/>
    <w:rsid w:val="009717D4"/>
    <w:rsid w:val="0098136E"/>
    <w:rsid w:val="00993B57"/>
    <w:rsid w:val="009A50E8"/>
    <w:rsid w:val="009A71C3"/>
    <w:rsid w:val="009B4091"/>
    <w:rsid w:val="009C4491"/>
    <w:rsid w:val="009E3F52"/>
    <w:rsid w:val="00A379E8"/>
    <w:rsid w:val="00A41987"/>
    <w:rsid w:val="00A44302"/>
    <w:rsid w:val="00A46852"/>
    <w:rsid w:val="00A4781C"/>
    <w:rsid w:val="00A5178A"/>
    <w:rsid w:val="00A63172"/>
    <w:rsid w:val="00A658A3"/>
    <w:rsid w:val="00A65F1C"/>
    <w:rsid w:val="00A7351F"/>
    <w:rsid w:val="00AA4489"/>
    <w:rsid w:val="00AA4FD2"/>
    <w:rsid w:val="00AB2DD6"/>
    <w:rsid w:val="00AC6F89"/>
    <w:rsid w:val="00AE38F2"/>
    <w:rsid w:val="00AE5C4F"/>
    <w:rsid w:val="00AF08A9"/>
    <w:rsid w:val="00AF6A46"/>
    <w:rsid w:val="00B00CD4"/>
    <w:rsid w:val="00B01F4E"/>
    <w:rsid w:val="00B057B7"/>
    <w:rsid w:val="00B141C4"/>
    <w:rsid w:val="00B17544"/>
    <w:rsid w:val="00B20E06"/>
    <w:rsid w:val="00B3698A"/>
    <w:rsid w:val="00B54BD8"/>
    <w:rsid w:val="00B6387B"/>
    <w:rsid w:val="00B82D17"/>
    <w:rsid w:val="00B839DA"/>
    <w:rsid w:val="00BA752E"/>
    <w:rsid w:val="00BC4B53"/>
    <w:rsid w:val="00BD63BD"/>
    <w:rsid w:val="00BF4739"/>
    <w:rsid w:val="00BF490C"/>
    <w:rsid w:val="00C151E0"/>
    <w:rsid w:val="00C2100C"/>
    <w:rsid w:val="00C313D6"/>
    <w:rsid w:val="00C329B1"/>
    <w:rsid w:val="00C449D2"/>
    <w:rsid w:val="00C623EB"/>
    <w:rsid w:val="00C634F0"/>
    <w:rsid w:val="00C707E8"/>
    <w:rsid w:val="00C73567"/>
    <w:rsid w:val="00C74BE9"/>
    <w:rsid w:val="00C813CC"/>
    <w:rsid w:val="00C81513"/>
    <w:rsid w:val="00C87AD0"/>
    <w:rsid w:val="00CA0EAA"/>
    <w:rsid w:val="00CA1916"/>
    <w:rsid w:val="00CA23F6"/>
    <w:rsid w:val="00CC7EAC"/>
    <w:rsid w:val="00CD055D"/>
    <w:rsid w:val="00CF4933"/>
    <w:rsid w:val="00D14434"/>
    <w:rsid w:val="00D158BD"/>
    <w:rsid w:val="00D2697F"/>
    <w:rsid w:val="00D32209"/>
    <w:rsid w:val="00D4293D"/>
    <w:rsid w:val="00D473C3"/>
    <w:rsid w:val="00D67832"/>
    <w:rsid w:val="00D87F2A"/>
    <w:rsid w:val="00DA3D0D"/>
    <w:rsid w:val="00DB3853"/>
    <w:rsid w:val="00DC68DD"/>
    <w:rsid w:val="00DD7B45"/>
    <w:rsid w:val="00DE6D23"/>
    <w:rsid w:val="00E131A9"/>
    <w:rsid w:val="00E1351B"/>
    <w:rsid w:val="00E30375"/>
    <w:rsid w:val="00E36F5F"/>
    <w:rsid w:val="00E51F20"/>
    <w:rsid w:val="00E700B1"/>
    <w:rsid w:val="00E76EC8"/>
    <w:rsid w:val="00EA07C2"/>
    <w:rsid w:val="00EB3957"/>
    <w:rsid w:val="00ED553A"/>
    <w:rsid w:val="00ED575B"/>
    <w:rsid w:val="00ED6138"/>
    <w:rsid w:val="00F070A4"/>
    <w:rsid w:val="00F1775D"/>
    <w:rsid w:val="00F22125"/>
    <w:rsid w:val="00F62BBC"/>
    <w:rsid w:val="00F727D1"/>
    <w:rsid w:val="00F830FE"/>
    <w:rsid w:val="00F92320"/>
    <w:rsid w:val="00F938F4"/>
    <w:rsid w:val="00FA0B9E"/>
    <w:rsid w:val="00FA3571"/>
    <w:rsid w:val="00FA3C48"/>
    <w:rsid w:val="00FC17AB"/>
    <w:rsid w:val="00F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D00BF"/>
  <w15:chartTrackingRefBased/>
  <w15:docId w15:val="{71FC61CF-355F-42FF-B23C-48FD83AD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61"/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5E0B31"/>
    <w:pPr>
      <w:keepNext/>
      <w:spacing w:before="240" w:after="60" w:line="360" w:lineRule="auto"/>
      <w:outlineLvl w:val="0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A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Number,Нумерованый список,Bullet List,FooterText,numbered,lp1,Тема"/>
    <w:basedOn w:val="a"/>
    <w:link w:val="a4"/>
    <w:uiPriority w:val="34"/>
    <w:qFormat/>
    <w:rsid w:val="009C449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5">
    <w:name w:val="заголовок НК сто"/>
    <w:basedOn w:val="a"/>
    <w:link w:val="a6"/>
    <w:qFormat/>
    <w:rsid w:val="009C4491"/>
    <w:pPr>
      <w:spacing w:after="240" w:line="240" w:lineRule="auto"/>
      <w:ind w:left="708"/>
      <w:jc w:val="center"/>
    </w:pPr>
    <w:rPr>
      <w:rFonts w:ascii="Arial" w:hAnsi="Arial" w:cs="Arial"/>
      <w:sz w:val="30"/>
    </w:rPr>
  </w:style>
  <w:style w:type="character" w:customStyle="1" w:styleId="a6">
    <w:name w:val="заголовок НК сто Знак"/>
    <w:basedOn w:val="a0"/>
    <w:link w:val="a5"/>
    <w:rsid w:val="009C4491"/>
    <w:rPr>
      <w:rFonts w:ascii="Arial" w:hAnsi="Arial" w:cs="Arial"/>
      <w:kern w:val="0"/>
      <w:sz w:val="30"/>
      <w14:ligatures w14:val="none"/>
    </w:rPr>
  </w:style>
  <w:style w:type="paragraph" w:customStyle="1" w:styleId="a7">
    <w:name w:val="заголовок сто"/>
    <w:basedOn w:val="a"/>
    <w:next w:val="a"/>
    <w:link w:val="a8"/>
    <w:qFormat/>
    <w:rsid w:val="00386CB5"/>
    <w:pPr>
      <w:spacing w:after="240" w:line="240" w:lineRule="auto"/>
      <w:ind w:left="708"/>
      <w:jc w:val="both"/>
    </w:pPr>
    <w:rPr>
      <w:rFonts w:ascii="Arial" w:hAnsi="Arial" w:cs="Arial"/>
      <w:sz w:val="30"/>
    </w:rPr>
  </w:style>
  <w:style w:type="character" w:customStyle="1" w:styleId="a8">
    <w:name w:val="заголовок сто Знак"/>
    <w:basedOn w:val="a0"/>
    <w:link w:val="a7"/>
    <w:rsid w:val="00386CB5"/>
    <w:rPr>
      <w:rFonts w:ascii="Arial" w:hAnsi="Arial" w:cs="Arial"/>
      <w:kern w:val="0"/>
      <w:sz w:val="30"/>
      <w14:ligatures w14:val="none"/>
    </w:rPr>
  </w:style>
  <w:style w:type="table" w:styleId="a9">
    <w:name w:val="Table Grid"/>
    <w:basedOn w:val="a1"/>
    <w:uiPriority w:val="39"/>
    <w:rsid w:val="00A4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ПАРАГРАФ Знак,Bullet Number Знак,Нумерованый список Знак,Bullet List Знак,FooterText Знак,numbered Знак,lp1 Знак,Тема Знак"/>
    <w:link w:val="a3"/>
    <w:uiPriority w:val="34"/>
    <w:locked/>
    <w:rsid w:val="0004047A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a">
    <w:name w:val="header"/>
    <w:basedOn w:val="a"/>
    <w:link w:val="ab"/>
    <w:uiPriority w:val="99"/>
    <w:unhideWhenUsed/>
    <w:rsid w:val="00283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3C26"/>
    <w:rPr>
      <w:kern w:val="0"/>
      <w14:ligatures w14:val="none"/>
    </w:rPr>
  </w:style>
  <w:style w:type="paragraph" w:styleId="ac">
    <w:name w:val="footer"/>
    <w:basedOn w:val="a"/>
    <w:link w:val="ad"/>
    <w:uiPriority w:val="99"/>
    <w:unhideWhenUsed/>
    <w:rsid w:val="00283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3C26"/>
    <w:rPr>
      <w:kern w:val="0"/>
      <w14:ligatures w14:val="none"/>
    </w:rPr>
  </w:style>
  <w:style w:type="character" w:styleId="ae">
    <w:name w:val="Hyperlink"/>
    <w:basedOn w:val="a0"/>
    <w:uiPriority w:val="99"/>
    <w:unhideWhenUsed/>
    <w:rsid w:val="00D3220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3220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32209"/>
    <w:rPr>
      <w:color w:val="954F72" w:themeColor="followedHyperlink"/>
      <w:u w:val="single"/>
    </w:rPr>
  </w:style>
  <w:style w:type="paragraph" w:styleId="af0">
    <w:name w:val="Block Text"/>
    <w:basedOn w:val="a"/>
    <w:rsid w:val="007E26E8"/>
    <w:pPr>
      <w:spacing w:after="0" w:line="240" w:lineRule="auto"/>
      <w:ind w:left="851" w:right="821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E0B31"/>
    <w:rPr>
      <w:rFonts w:ascii="Arial" w:eastAsia="Times New Roman" w:hAnsi="Arial" w:cs="Arial"/>
      <w:bCs/>
      <w:kern w:val="32"/>
      <w:sz w:val="28"/>
      <w:szCs w:val="2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56AEE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307C5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65590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5590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55908"/>
    <w:rPr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5590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55908"/>
    <w:rPr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655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55908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msonormaldop">
    <w:name w:val="msonormaldop"/>
    <w:qFormat/>
    <w:rsid w:val="00AB2D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8">
    <w:name w:val="Strong"/>
    <w:basedOn w:val="a0"/>
    <w:uiPriority w:val="22"/>
    <w:qFormat/>
    <w:rsid w:val="00514D00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40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ublication.pravo.gov.ru/Document/View/0001202507310016" TargetMode="External"/><Relationship Id="rId18" Type="http://schemas.openxmlformats.org/officeDocument/2006/relationships/hyperlink" Target="https://nangs.org/news/downstream/chem/gaschemistry/amurskij-gpz-nachal-podachu-syrya-na-amurskij-gkhk" TargetMode="External"/><Relationship Id="rId3" Type="http://schemas.openxmlformats.org/officeDocument/2006/relationships/styles" Target="styles.xml"/><Relationship Id="rId21" Type="http://schemas.openxmlformats.org/officeDocument/2006/relationships/hyperlink" Target="http://morvesti.ru/news/1678/12030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br.ru/analytics/dkp/reg_review/0425/" TargetMode="External"/><Relationship Id="rId17" Type="http://schemas.openxmlformats.org/officeDocument/2006/relationships/hyperlink" Target="https://neftegaz.ru/news/Gazohimija/917176-gaz-i-ne-tolko-v-orlov-dolozhil-prezidentu-o-realizatsii-energeticheskikh-i-gazovykh-proektov-v-amu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507260001" TargetMode="External"/><Relationship Id="rId20" Type="http://schemas.openxmlformats.org/officeDocument/2006/relationships/hyperlink" Target="https://www.interfax-russia.ru/index.php/far-east/news/suhoy-port-v-priamure-zapushchen-v-rabotu-dlya-priema-konteynernyh-poezd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bc.ru/business/07/07/2025/686b6b2d9a7947b58e3f17d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01007001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government.ru/news/56148/" TargetMode="External"/><Relationship Id="rId19" Type="http://schemas.openxmlformats.org/officeDocument/2006/relationships/hyperlink" Target="https://eng.minvr.gov.ru/press-center/news/odin_iz_krupneyshikh_na_dalnem_vostoke_logisticheskikh_terminalov_sukhoy_port_blagoveshchensk_vveden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publication.pravo.gov.ru/document/000120251121001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3E96-AD8E-4BBD-A521-119F4D18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32</Pages>
  <Words>8498</Words>
  <Characters>48439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Федоров</dc:creator>
  <cp:keywords/>
  <dc:description/>
  <cp:lastModifiedBy>ЗР</cp:lastModifiedBy>
  <cp:revision>46</cp:revision>
  <cp:lastPrinted>2026-07-14T05:28:00Z</cp:lastPrinted>
  <dcterms:created xsi:type="dcterms:W3CDTF">2026-01-22T13:11:00Z</dcterms:created>
  <dcterms:modified xsi:type="dcterms:W3CDTF">2026-07-16T04:14:00Z</dcterms:modified>
</cp:coreProperties>
</file>