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984B6" w14:textId="77777777" w:rsidR="00ED3D54" w:rsidRPr="00F14047" w:rsidRDefault="00ED3D54" w:rsidP="00ED3D54">
      <w:pPr>
        <w:suppressAutoHyphens/>
        <w:spacing w:before="120" w:line="240" w:lineRule="auto"/>
        <w:ind w:firstLine="0"/>
        <w:jc w:val="center"/>
        <w:rPr>
          <w:szCs w:val="28"/>
          <w:lang w:eastAsia="ar-SA"/>
        </w:rPr>
      </w:pPr>
      <w:r w:rsidRPr="00F14047">
        <w:rPr>
          <w:szCs w:val="28"/>
          <w:lang w:eastAsia="ar-SA"/>
        </w:rPr>
        <w:t xml:space="preserve">МИНИСТЕРСТВО НАУКИ </w:t>
      </w:r>
      <w:r>
        <w:rPr>
          <w:szCs w:val="28"/>
          <w:lang w:eastAsia="ar-SA"/>
        </w:rPr>
        <w:t xml:space="preserve">И ВЫСШЕГО ОБРАЗОВАНИЯ        </w:t>
      </w:r>
      <w:r w:rsidRPr="00F14047">
        <w:rPr>
          <w:szCs w:val="28"/>
          <w:lang w:eastAsia="ar-SA"/>
        </w:rPr>
        <w:t>РОССИЙСКОЙ ФЕДЕРАЦИИ</w:t>
      </w:r>
    </w:p>
    <w:p w14:paraId="22950E1D" w14:textId="77777777" w:rsidR="00ED3D54" w:rsidRPr="00F14047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ВЛАДИВОСТОКСКИЙ ГОСУДАРСТВЕННЫЙ УНИВЕРСИТЕТ </w:t>
      </w:r>
    </w:p>
    <w:p w14:paraId="4B4B39C3" w14:textId="77777777" w:rsidR="00ED3D54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 xml:space="preserve">Институт международного бизнеса, </w:t>
      </w:r>
    </w:p>
    <w:p w14:paraId="1FF3D5C5" w14:textId="77777777" w:rsidR="00ED3D54" w:rsidRPr="005D15ED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>экономики и управления</w:t>
      </w:r>
    </w:p>
    <w:p w14:paraId="685C9791" w14:textId="77777777" w:rsidR="00ED3D54" w:rsidRPr="002F4770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КАФЕДРА </w:t>
      </w:r>
      <w:r>
        <w:rPr>
          <w:szCs w:val="28"/>
        </w:rPr>
        <w:t>ЭКОНОМИКИ И</w:t>
      </w:r>
      <w:r w:rsidRPr="007B09D6">
        <w:rPr>
          <w:szCs w:val="28"/>
        </w:rPr>
        <w:t xml:space="preserve"> </w:t>
      </w:r>
      <w:r>
        <w:rPr>
          <w:szCs w:val="28"/>
        </w:rPr>
        <w:t>УПРАВЛЕНИЯ</w:t>
      </w:r>
    </w:p>
    <w:p w14:paraId="432F8DF0" w14:textId="77777777" w:rsidR="00ED3D54" w:rsidRDefault="00ED3D54" w:rsidP="00ED3D54"/>
    <w:p w14:paraId="1264F81F" w14:textId="77777777" w:rsidR="00ED3D54" w:rsidRDefault="00ED3D54" w:rsidP="00ED3D54">
      <w:pPr>
        <w:ind w:left="6372"/>
      </w:pPr>
    </w:p>
    <w:p w14:paraId="0A0CBB81" w14:textId="77777777" w:rsidR="00ED3D54" w:rsidRDefault="00ED3D54" w:rsidP="0010260C">
      <w:pPr>
        <w:ind w:firstLine="0"/>
      </w:pPr>
    </w:p>
    <w:p w14:paraId="25820547" w14:textId="77777777" w:rsidR="00ED3D54" w:rsidRDefault="00ED3D54" w:rsidP="00ED3D54">
      <w:pPr>
        <w:jc w:val="right"/>
      </w:pPr>
    </w:p>
    <w:p w14:paraId="08113E3A" w14:textId="77777777" w:rsidR="00ED3D54" w:rsidRDefault="00ED3D54" w:rsidP="00ED3D54">
      <w:pPr>
        <w:jc w:val="center"/>
        <w:rPr>
          <w:sz w:val="48"/>
        </w:rPr>
      </w:pPr>
      <w:r w:rsidRPr="002F4770">
        <w:rPr>
          <w:sz w:val="48"/>
        </w:rPr>
        <w:t>ОТЧЕТ</w:t>
      </w:r>
    </w:p>
    <w:p w14:paraId="188CEAD9" w14:textId="68485478" w:rsidR="00ED3D54" w:rsidRDefault="00ED3D54" w:rsidP="00ED3D54">
      <w:pPr>
        <w:spacing w:after="240" w:line="24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по учебной практике по </w:t>
      </w:r>
      <w:r w:rsidR="009D1F0A">
        <w:rPr>
          <w:sz w:val="44"/>
          <w:szCs w:val="44"/>
        </w:rPr>
        <w:t>получению навыков исследовательской работы</w:t>
      </w:r>
    </w:p>
    <w:p w14:paraId="56C07138" w14:textId="5D6B02A6" w:rsidR="00ED3D54" w:rsidRDefault="00ED3D54" w:rsidP="00ED3D54">
      <w:pPr>
        <w:pStyle w:val="af"/>
        <w:spacing w:before="240"/>
        <w:ind w:left="0" w:right="-74"/>
        <w:jc w:val="center"/>
        <w:rPr>
          <w:sz w:val="44"/>
        </w:rPr>
      </w:pPr>
    </w:p>
    <w:p w14:paraId="6D5190FD" w14:textId="77777777" w:rsidR="009D1F0A" w:rsidRDefault="009D1F0A" w:rsidP="00ED3D54">
      <w:pPr>
        <w:pStyle w:val="af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ED3D54" w14:paraId="3EC029F4" w14:textId="77777777" w:rsidTr="00182112">
        <w:tc>
          <w:tcPr>
            <w:tcW w:w="4077" w:type="dxa"/>
          </w:tcPr>
          <w:p w14:paraId="2FC45C58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1B175E22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6A8300BC" w14:textId="77777777" w:rsidR="00ED3D54" w:rsidRPr="00F14047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BC66886" w14:textId="77777777" w:rsidTr="00182112">
        <w:tc>
          <w:tcPr>
            <w:tcW w:w="4077" w:type="dxa"/>
          </w:tcPr>
          <w:p w14:paraId="6D164091" w14:textId="10D6BC3D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BE48B3" w:rsidRPr="00BE48B3">
              <w:rPr>
                <w:sz w:val="28"/>
                <w:szCs w:val="28"/>
              </w:rPr>
              <w:t>БЭУ-2</w:t>
            </w:r>
            <w:r w:rsidR="00B51672">
              <w:rPr>
                <w:sz w:val="28"/>
                <w:szCs w:val="28"/>
              </w:rPr>
              <w:t>5</w:t>
            </w:r>
            <w:r w:rsidR="00BE48B3" w:rsidRPr="00BE48B3">
              <w:rPr>
                <w:sz w:val="28"/>
                <w:szCs w:val="28"/>
              </w:rPr>
              <w:t>-1</w:t>
            </w:r>
          </w:p>
        </w:tc>
        <w:tc>
          <w:tcPr>
            <w:tcW w:w="2386" w:type="dxa"/>
          </w:tcPr>
          <w:p w14:paraId="09B7ED18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00F7347" w14:textId="47D301A6" w:rsidR="00ED3D54" w:rsidRPr="00F14047" w:rsidRDefault="005E5EF1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В. А. Лавриненко</w:t>
            </w:r>
          </w:p>
        </w:tc>
      </w:tr>
      <w:tr w:rsidR="00ED3D54" w14:paraId="29B4BA53" w14:textId="77777777" w:rsidTr="00182112">
        <w:tc>
          <w:tcPr>
            <w:tcW w:w="4077" w:type="dxa"/>
          </w:tcPr>
          <w:p w14:paraId="25A4AEBA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39CFEB70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788807AB" w14:textId="2ED8C1AF" w:rsidR="00ED3D54" w:rsidRPr="00F14047" w:rsidRDefault="00533DC8" w:rsidP="009B530A">
            <w:pPr>
              <w:pStyle w:val="af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533DC8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5A886F02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545E2D5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16BD6BDE" w14:textId="434E7029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228" w:type="dxa"/>
          </w:tcPr>
          <w:p w14:paraId="7BDFDB51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55EDB10E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32FE49A8" w14:textId="0F291301" w:rsidR="00ED3D54" w:rsidRDefault="00BE48B3" w:rsidP="00182112">
            <w:pPr>
              <w:pStyle w:val="af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  <w:p w14:paraId="1AAE3F07" w14:textId="24E652AC" w:rsidR="009B530A" w:rsidRPr="007B09D6" w:rsidRDefault="009B530A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1E62FD3" w14:textId="77777777" w:rsidTr="00182112">
        <w:tc>
          <w:tcPr>
            <w:tcW w:w="4077" w:type="dxa"/>
          </w:tcPr>
          <w:p w14:paraId="4D27DB9D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</w:p>
          <w:p w14:paraId="0D20FB91" w14:textId="77777777" w:rsidR="00ED3D54" w:rsidRPr="004403A3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>Нормоконтролер</w:t>
            </w:r>
          </w:p>
          <w:p w14:paraId="455FA1DF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00D1CAB2" w14:textId="77777777" w:rsidR="00ED3D54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B59CA9C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EBE8224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3D935849" w14:textId="77777777" w:rsidR="00ED3D54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58AEC95D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446FD90A" w14:textId="1F7ACAD1" w:rsidR="00ED3D54" w:rsidRPr="00F14047" w:rsidRDefault="00BE48B3" w:rsidP="00182112">
            <w:pPr>
              <w:pStyle w:val="af"/>
              <w:ind w:left="0" w:right="963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</w:tc>
      </w:tr>
    </w:tbl>
    <w:p w14:paraId="46C5674D" w14:textId="77777777" w:rsidR="00ED3D54" w:rsidRDefault="00ED3D54" w:rsidP="00ED3D54">
      <w:pPr>
        <w:pStyle w:val="af"/>
        <w:ind w:left="0" w:right="963"/>
        <w:jc w:val="center"/>
        <w:rPr>
          <w:sz w:val="20"/>
        </w:rPr>
      </w:pPr>
    </w:p>
    <w:p w14:paraId="1E18D0E9" w14:textId="77777777" w:rsidR="00ED3D54" w:rsidRDefault="00ED3D54" w:rsidP="00ED3D54">
      <w:pPr>
        <w:pStyle w:val="af"/>
        <w:ind w:left="0" w:right="963"/>
        <w:jc w:val="center"/>
      </w:pPr>
    </w:p>
    <w:p w14:paraId="39134F9D" w14:textId="77777777" w:rsidR="00ED3D54" w:rsidRDefault="00ED3D54" w:rsidP="00ED3D54">
      <w:pPr>
        <w:pStyle w:val="af"/>
        <w:ind w:left="0" w:right="963"/>
        <w:jc w:val="center"/>
      </w:pPr>
    </w:p>
    <w:p w14:paraId="7C85FFF1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6B9A10A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2FA3FA1C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731BE47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47809175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732832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6CD111D7" w14:textId="77777777" w:rsidR="009D1F0A" w:rsidRDefault="009D1F0A" w:rsidP="00961156">
      <w:pPr>
        <w:pStyle w:val="af"/>
        <w:ind w:left="0" w:right="0"/>
        <w:rPr>
          <w:color w:val="000000" w:themeColor="text1"/>
          <w:sz w:val="28"/>
          <w:szCs w:val="28"/>
        </w:rPr>
      </w:pPr>
    </w:p>
    <w:p w14:paraId="218D7055" w14:textId="727930FC" w:rsidR="00917B66" w:rsidRDefault="00ED3D54" w:rsidP="008431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  <w:r w:rsidRPr="002F4770">
        <w:rPr>
          <w:color w:val="000000" w:themeColor="text1"/>
          <w:sz w:val="28"/>
          <w:szCs w:val="28"/>
        </w:rPr>
        <w:t>Владивосток 202</w:t>
      </w:r>
      <w:r w:rsidR="00D8713A">
        <w:rPr>
          <w:color w:val="000000" w:themeColor="text1"/>
          <w:sz w:val="28"/>
          <w:szCs w:val="28"/>
        </w:rPr>
        <w:t>6</w:t>
      </w:r>
    </w:p>
    <w:p w14:paraId="2470D7C7" w14:textId="77777777" w:rsidR="00917B66" w:rsidRDefault="00917B66">
      <w:pPr>
        <w:spacing w:after="160" w:line="259" w:lineRule="auto"/>
        <w:ind w:firstLine="0"/>
        <w:jc w:val="left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</w:p>
    <w:p w14:paraId="4F308123" w14:textId="77777777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МИНИСТЕРСТВО НАУКИ И ВЫСШЕГО ОБРАЗОВАНИЯ </w:t>
      </w:r>
    </w:p>
    <w:p w14:paraId="12D709B6" w14:textId="086A7B48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РОССИЙСКОЙ</w:t>
      </w:r>
      <w:r w:rsidRPr="009621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27B98">
        <w:rPr>
          <w:rFonts w:eastAsia="Times New Roman" w:cs="Times New Roman"/>
          <w:sz w:val="24"/>
          <w:szCs w:val="24"/>
          <w:lang w:eastAsia="ru-RU"/>
        </w:rPr>
        <w:t>ФЕДЕРАЦИИ</w:t>
      </w:r>
    </w:p>
    <w:p w14:paraId="78081B65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9C5778" w14:textId="77777777" w:rsidR="009D1F0A" w:rsidRPr="00627B98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2ED473F5" w14:textId="6A0FF244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00CE0F39" w14:textId="77777777" w:rsidR="00124C3D" w:rsidRPr="00627B98" w:rsidRDefault="00124C3D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7713DEB" w14:textId="7C2A9C20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09B46E17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E6137E3" w14:textId="77777777" w:rsidR="009D1F0A" w:rsidRPr="00627B98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32A9DF4D" w14:textId="69F02E1D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3E25EC7F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9E84CAA" w14:textId="77777777" w:rsidR="009D1F0A" w:rsidRPr="00EB3C78" w:rsidRDefault="009D1F0A" w:rsidP="009D1F0A">
      <w:pPr>
        <w:spacing w:line="240" w:lineRule="auto"/>
        <w:jc w:val="center"/>
        <w:rPr>
          <w:sz w:val="24"/>
          <w:szCs w:val="24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  <w:t xml:space="preserve"> </w:t>
      </w:r>
      <w:r w:rsidRPr="00EB3C78">
        <w:rPr>
          <w:sz w:val="24"/>
          <w:szCs w:val="24"/>
        </w:rPr>
        <w:t>на учебную практику по получению навыков исследовательской работы</w:t>
      </w:r>
    </w:p>
    <w:p w14:paraId="1FD1D85F" w14:textId="77777777" w:rsidR="009D1F0A" w:rsidRDefault="009D1F0A" w:rsidP="009D1F0A">
      <w:pPr>
        <w:spacing w:line="240" w:lineRule="auto"/>
        <w:rPr>
          <w:sz w:val="24"/>
          <w:szCs w:val="24"/>
        </w:rPr>
      </w:pPr>
    </w:p>
    <w:p w14:paraId="50667A58" w14:textId="4CB761E3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Студент: </w:t>
      </w:r>
      <w:r w:rsidR="007136C7">
        <w:rPr>
          <w:color w:val="000000" w:themeColor="text1"/>
          <w:sz w:val="24"/>
          <w:szCs w:val="24"/>
        </w:rPr>
        <w:t>Лавриненко Валерия Андреевна</w:t>
      </w:r>
    </w:p>
    <w:p w14:paraId="067066E7" w14:textId="6C1D7B76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Группа: </w:t>
      </w:r>
      <w:r w:rsidR="00BE48B3" w:rsidRPr="00BE48B3">
        <w:rPr>
          <w:color w:val="000000" w:themeColor="text1"/>
          <w:sz w:val="24"/>
          <w:szCs w:val="24"/>
        </w:rPr>
        <w:t>БЭУ-2</w:t>
      </w:r>
      <w:r w:rsidR="000E7C26">
        <w:rPr>
          <w:color w:val="000000" w:themeColor="text1"/>
          <w:sz w:val="24"/>
          <w:szCs w:val="24"/>
        </w:rPr>
        <w:t>5</w:t>
      </w:r>
      <w:r w:rsidR="00BE48B3" w:rsidRPr="00BE48B3">
        <w:rPr>
          <w:color w:val="000000" w:themeColor="text1"/>
          <w:sz w:val="24"/>
          <w:szCs w:val="24"/>
        </w:rPr>
        <w:t>-1</w:t>
      </w:r>
    </w:p>
    <w:p w14:paraId="212852BC" w14:textId="6A5686DA" w:rsidR="009D1F0A" w:rsidRPr="009D1F0A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D1F0A">
        <w:rPr>
          <w:color w:val="000000" w:themeColor="text1"/>
          <w:sz w:val="24"/>
          <w:szCs w:val="24"/>
        </w:rPr>
        <w:t xml:space="preserve">Срок сдачи: </w:t>
      </w:r>
      <w:r w:rsidR="0048425E">
        <w:rPr>
          <w:color w:val="000000" w:themeColor="text1"/>
          <w:sz w:val="24"/>
          <w:szCs w:val="24"/>
        </w:rPr>
        <w:t>09.02</w:t>
      </w:r>
      <w:r w:rsidR="00BE48B3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  <w:r w:rsidRPr="009D1F0A">
        <w:rPr>
          <w:color w:val="000000" w:themeColor="text1"/>
          <w:sz w:val="24"/>
          <w:szCs w:val="24"/>
        </w:rPr>
        <w:t xml:space="preserve"> – </w:t>
      </w:r>
      <w:r w:rsidR="0048425E">
        <w:rPr>
          <w:color w:val="000000" w:themeColor="text1"/>
          <w:sz w:val="24"/>
          <w:szCs w:val="24"/>
        </w:rPr>
        <w:t>27.06</w:t>
      </w:r>
      <w:r w:rsidRPr="009D1F0A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</w:p>
    <w:p w14:paraId="22FAAD39" w14:textId="77777777" w:rsidR="009D1F0A" w:rsidRPr="000D6BCA" w:rsidRDefault="009D1F0A" w:rsidP="009D1F0A">
      <w:pPr>
        <w:pStyle w:val="a5"/>
        <w:spacing w:line="240" w:lineRule="auto"/>
        <w:ind w:left="0"/>
        <w:rPr>
          <w:sz w:val="24"/>
          <w:szCs w:val="24"/>
        </w:rPr>
      </w:pPr>
    </w:p>
    <w:p w14:paraId="05D41CA8" w14:textId="77777777" w:rsidR="009D1F0A" w:rsidRPr="000D6BCA" w:rsidRDefault="009D1F0A" w:rsidP="009D1F0A">
      <w:pPr>
        <w:pStyle w:val="a5"/>
        <w:spacing w:line="240" w:lineRule="auto"/>
        <w:ind w:left="0" w:right="-2"/>
        <w:rPr>
          <w:sz w:val="24"/>
          <w:szCs w:val="24"/>
        </w:rPr>
      </w:pPr>
      <w:r w:rsidRPr="000D6BCA">
        <w:rPr>
          <w:sz w:val="24"/>
          <w:szCs w:val="24"/>
        </w:rPr>
        <w:t>Содержание отчета по учебной практике по получению навыков исследовательской</w:t>
      </w:r>
      <w:r>
        <w:rPr>
          <w:sz w:val="24"/>
          <w:szCs w:val="24"/>
        </w:rPr>
        <w:t xml:space="preserve"> р</w:t>
      </w:r>
      <w:r w:rsidRPr="000D6BCA">
        <w:rPr>
          <w:sz w:val="24"/>
          <w:szCs w:val="24"/>
        </w:rPr>
        <w:t xml:space="preserve">аботы:  </w:t>
      </w:r>
    </w:p>
    <w:p w14:paraId="355C0E4E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Введение: </w:t>
      </w:r>
      <w:r w:rsidRPr="000D6BCA">
        <w:rPr>
          <w:sz w:val="24"/>
          <w:szCs w:val="24"/>
        </w:rPr>
        <w:t>определить цель и задачи практики, основные методы, необходимые для их достижения</w:t>
      </w:r>
      <w:r>
        <w:rPr>
          <w:sz w:val="24"/>
          <w:szCs w:val="24"/>
        </w:rPr>
        <w:t xml:space="preserve"> (</w:t>
      </w:r>
      <w:r w:rsidRPr="00CB2E4F">
        <w:rPr>
          <w:sz w:val="24"/>
          <w:szCs w:val="24"/>
        </w:rPr>
        <w:t>Объем – 1 страница</w:t>
      </w:r>
      <w:r>
        <w:rPr>
          <w:sz w:val="24"/>
          <w:szCs w:val="24"/>
        </w:rPr>
        <w:t>)</w:t>
      </w:r>
    </w:p>
    <w:p w14:paraId="279DA5CC" w14:textId="741F524D" w:rsidR="009D1F0A" w:rsidRPr="009D1F0A" w:rsidRDefault="009D1F0A" w:rsidP="009D1F0A">
      <w:pPr>
        <w:pStyle w:val="a5"/>
        <w:tabs>
          <w:tab w:val="left" w:pos="1701"/>
        </w:tabs>
        <w:spacing w:line="240" w:lineRule="auto"/>
        <w:ind w:left="0"/>
        <w:rPr>
          <w:b/>
          <w:bCs/>
          <w:color w:val="000000" w:themeColor="text1"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1. Характеристика исследуемой проблемы</w:t>
      </w:r>
      <w:r>
        <w:rPr>
          <w:b/>
          <w:bCs/>
          <w:sz w:val="24"/>
          <w:szCs w:val="24"/>
        </w:rPr>
        <w:t xml:space="preserve"> по теме </w:t>
      </w:r>
      <w:r w:rsidRPr="009D1F0A">
        <w:rPr>
          <w:b/>
          <w:bCs/>
          <w:sz w:val="24"/>
          <w:szCs w:val="24"/>
        </w:rPr>
        <w:t>«</w:t>
      </w:r>
      <w:r w:rsidR="00626AA0">
        <w:rPr>
          <w:b/>
          <w:bCs/>
          <w:color w:val="000000" w:themeColor="text1"/>
          <w:sz w:val="24"/>
          <w:szCs w:val="24"/>
          <w:u w:val="single"/>
        </w:rPr>
        <w:t>Национальные цифровые валюты: сегодня и завтра</w:t>
      </w:r>
      <w:r w:rsidRPr="009D1F0A">
        <w:rPr>
          <w:b/>
          <w:bCs/>
          <w:color w:val="000000" w:themeColor="text1"/>
          <w:sz w:val="24"/>
          <w:szCs w:val="24"/>
          <w:u w:val="single"/>
        </w:rPr>
        <w:t>»</w:t>
      </w:r>
      <w:r w:rsidR="000E7C26">
        <w:rPr>
          <w:b/>
          <w:bCs/>
          <w:color w:val="000000" w:themeColor="text1"/>
          <w:sz w:val="24"/>
          <w:szCs w:val="24"/>
          <w:u w:val="single"/>
        </w:rPr>
        <w:t>.</w:t>
      </w:r>
    </w:p>
    <w:p w14:paraId="65EE4651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5B74C0">
        <w:rPr>
          <w:color w:val="000000" w:themeColor="text1"/>
          <w:sz w:val="24"/>
          <w:szCs w:val="24"/>
        </w:rPr>
        <w:t xml:space="preserve">Краткое содержание исследуемой проблемы и ее актуальность, степень разработанности </w:t>
      </w:r>
      <w:r>
        <w:rPr>
          <w:sz w:val="24"/>
          <w:szCs w:val="24"/>
        </w:rPr>
        <w:t>и</w:t>
      </w:r>
      <w:r w:rsidRPr="000D6BCA">
        <w:rPr>
          <w:sz w:val="24"/>
          <w:szCs w:val="24"/>
        </w:rPr>
        <w:t xml:space="preserve">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 </w:t>
      </w:r>
    </w:p>
    <w:p w14:paraId="010C8F02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2. Современное состояние исследуемой проблемы</w:t>
      </w:r>
    </w:p>
    <w:p w14:paraId="59D703AF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0D6BCA">
        <w:rPr>
          <w:sz w:val="24"/>
          <w:szCs w:val="24"/>
        </w:rPr>
        <w:t>Сущность исследуемой проблемы в авторском изложении с иллюстрацией</w:t>
      </w:r>
      <w:r>
        <w:rPr>
          <w:sz w:val="24"/>
          <w:szCs w:val="24"/>
        </w:rPr>
        <w:t>,</w:t>
      </w:r>
      <w:r w:rsidRPr="000D6BCA">
        <w:rPr>
          <w:sz w:val="24"/>
          <w:szCs w:val="24"/>
        </w:rPr>
        <w:t xml:space="preserve"> статистическим и аналитическим материалом, перспективы дальнейших исследований по данной теме (УК-1.1в).</w:t>
      </w:r>
      <w:r>
        <w:rPr>
          <w:sz w:val="24"/>
          <w:szCs w:val="24"/>
        </w:rPr>
        <w:t xml:space="preserve"> (Объем двух разделов – 10-12 страниц)</w:t>
      </w:r>
    </w:p>
    <w:p w14:paraId="28B5471D" w14:textId="77777777" w:rsidR="009D1F0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Заключение. </w:t>
      </w:r>
      <w:r w:rsidRPr="00CB2E4F">
        <w:rPr>
          <w:sz w:val="24"/>
          <w:szCs w:val="24"/>
        </w:rPr>
        <w:t>В заключении обобщается изложенный в отчете материал, делаются выводы.</w:t>
      </w:r>
    </w:p>
    <w:p w14:paraId="4D75F01D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CB2E4F">
        <w:rPr>
          <w:sz w:val="24"/>
          <w:szCs w:val="24"/>
        </w:rPr>
        <w:t>Объем – 1-2</w:t>
      </w:r>
      <w:r>
        <w:rPr>
          <w:sz w:val="24"/>
          <w:szCs w:val="24"/>
        </w:rPr>
        <w:t xml:space="preserve"> </w:t>
      </w:r>
      <w:r w:rsidRPr="00CB2E4F">
        <w:rPr>
          <w:sz w:val="24"/>
          <w:szCs w:val="24"/>
        </w:rPr>
        <w:t>страницы</w:t>
      </w:r>
      <w:r>
        <w:rPr>
          <w:sz w:val="24"/>
          <w:szCs w:val="24"/>
        </w:rPr>
        <w:t>)</w:t>
      </w:r>
    </w:p>
    <w:p w14:paraId="40895470" w14:textId="77777777" w:rsidR="009D1F0A" w:rsidRPr="00627B98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Список использованных источников </w:t>
      </w:r>
      <w:r w:rsidRPr="000D6BCA">
        <w:rPr>
          <w:sz w:val="24"/>
          <w:szCs w:val="24"/>
        </w:rPr>
        <w:t>(</w:t>
      </w:r>
      <w:r w:rsidRPr="00627B98">
        <w:rPr>
          <w:sz w:val="24"/>
          <w:szCs w:val="24"/>
        </w:rPr>
        <w:t>включаются источники не старше 5 лет от даты</w:t>
      </w:r>
    </w:p>
    <w:p w14:paraId="6F792699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627B98">
        <w:rPr>
          <w:sz w:val="24"/>
          <w:szCs w:val="24"/>
        </w:rPr>
        <w:t>использования</w:t>
      </w:r>
      <w:r w:rsidRPr="000D6BCA">
        <w:rPr>
          <w:sz w:val="24"/>
          <w:szCs w:val="24"/>
        </w:rPr>
        <w:t>).</w:t>
      </w:r>
    </w:p>
    <w:p w14:paraId="15CABA97" w14:textId="77777777" w:rsidR="009D1F0A" w:rsidRPr="000D6BC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D64E1D7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Руководители практики </w:t>
      </w:r>
    </w:p>
    <w:p w14:paraId="4238A44F" w14:textId="669CB4EE" w:rsid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>канд. экон. наук, доцент кафедры ЭУ</w:t>
      </w:r>
      <w:r w:rsidRPr="009D1F0A">
        <w:rPr>
          <w:bCs/>
          <w:sz w:val="24"/>
          <w:szCs w:val="24"/>
        </w:rPr>
        <w:tab/>
      </w:r>
      <w:r w:rsidRPr="009D1F0A">
        <w:rPr>
          <w:bCs/>
          <w:sz w:val="24"/>
          <w:szCs w:val="24"/>
        </w:rPr>
        <w:tab/>
        <w:t>_______________</w:t>
      </w:r>
      <w:r w:rsidRPr="009D1F0A">
        <w:rPr>
          <w:bCs/>
          <w:sz w:val="24"/>
          <w:szCs w:val="24"/>
        </w:rPr>
        <w:tab/>
      </w:r>
      <w:r w:rsidR="00BE48B3">
        <w:rPr>
          <w:bCs/>
          <w:sz w:val="24"/>
          <w:szCs w:val="24"/>
        </w:rPr>
        <w:t xml:space="preserve">   А.В. Корень</w:t>
      </w:r>
    </w:p>
    <w:p w14:paraId="7AC6D481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204552D" w14:textId="5E56E9FA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Задание получил: </w:t>
      </w:r>
      <w:r w:rsidRPr="009D1F0A">
        <w:rPr>
          <w:bCs/>
          <w:sz w:val="24"/>
          <w:szCs w:val="24"/>
        </w:rPr>
        <w:tab/>
        <w:t xml:space="preserve">                                                _______________        </w:t>
      </w:r>
      <w:r w:rsidR="008B5DBF">
        <w:rPr>
          <w:bCs/>
          <w:sz w:val="24"/>
          <w:szCs w:val="24"/>
        </w:rPr>
        <w:t>В. А. Лавриненко</w:t>
      </w:r>
      <w:r w:rsidR="00BE48B3">
        <w:rPr>
          <w:bCs/>
          <w:sz w:val="24"/>
          <w:szCs w:val="24"/>
        </w:rPr>
        <w:t xml:space="preserve"> </w:t>
      </w:r>
      <w:r w:rsidRPr="009D1F0A">
        <w:rPr>
          <w:bCs/>
          <w:sz w:val="24"/>
          <w:szCs w:val="24"/>
        </w:rPr>
        <w:t xml:space="preserve"> </w:t>
      </w:r>
    </w:p>
    <w:p w14:paraId="0B2FF9EF" w14:textId="0C57ED04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242C6136" w14:textId="7A5BED14" w:rsidR="009D1F0A" w:rsidRDefault="009D1F0A">
      <w:pPr>
        <w:spacing w:after="160" w:line="259" w:lineRule="auto"/>
        <w:ind w:firstLine="0"/>
        <w:jc w:val="left"/>
      </w:pPr>
      <w:r>
        <w:br w:type="page"/>
      </w:r>
    </w:p>
    <w:p w14:paraId="006AAE8C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heading=h.gjdgxs" w:colFirst="0" w:colLast="0"/>
      <w:bookmarkEnd w:id="0"/>
      <w:r w:rsidRPr="00013EC6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17B6DBA5" w14:textId="08EBC893" w:rsid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13EC6">
        <w:rPr>
          <w:rFonts w:eastAsia="Times New Roman" w:cs="Times New Roman"/>
          <w:b/>
          <w:sz w:val="24"/>
          <w:szCs w:val="24"/>
          <w:lang w:eastAsia="ru-RU"/>
        </w:rPr>
        <w:t xml:space="preserve">ПРОВЕДЕНИЯ УЧЕБНОЙ ПРАКТИКИ ПО ПОЛУЧНИЮ НАВЫКОВ ИССЛЕДОВАТЕЛЬСКОЙ РАБОТЫ </w:t>
      </w:r>
    </w:p>
    <w:p w14:paraId="587A607B" w14:textId="77777777" w:rsidR="00124C3D" w:rsidRPr="00013EC6" w:rsidRDefault="00124C3D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D1517EA" w14:textId="77777777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left="78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0D436296" w14:textId="49064454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Студент </w:t>
      </w:r>
      <w:r w:rsidR="00BE5EFC">
        <w:rPr>
          <w:rFonts w:eastAsia="Times New Roman" w:cs="Times New Roman"/>
          <w:sz w:val="24"/>
          <w:szCs w:val="24"/>
          <w:u w:val="single"/>
          <w:lang w:eastAsia="ru-RU"/>
        </w:rPr>
        <w:t>Лавриненко Валерия Андреевна</w:t>
      </w:r>
    </w:p>
    <w:p w14:paraId="6D29C5F1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769BAA41" w14:textId="3DDF829A" w:rsidR="00013EC6" w:rsidRPr="00BE48B3" w:rsidRDefault="00013EC6" w:rsidP="00BE48B3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Кафедра экономики и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управления </w:t>
      </w:r>
      <w:r w:rsidR="00BE48B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гр.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БЭУ-2</w:t>
      </w:r>
      <w:r w:rsidR="000E7C26"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-1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</w:t>
      </w:r>
      <w:r w:rsidRPr="00013EC6">
        <w:rPr>
          <w:rFonts w:ascii="Calibri" w:eastAsia="Calibri" w:hAnsi="Calibri" w:cs="Times New Roman"/>
          <w:sz w:val="22"/>
          <w:u w:val="single"/>
          <w:lang w:eastAsia="ru-RU"/>
        </w:rPr>
        <w:t xml:space="preserve"> </w:t>
      </w:r>
    </w:p>
    <w:p w14:paraId="4CDF7B9F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34964DEA" w14:textId="18E18256" w:rsidR="00013EC6" w:rsidRPr="00013EC6" w:rsidRDefault="00013EC6" w:rsidP="00BE48B3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bookmarkStart w:id="1" w:name="_heading=h.30j0zll" w:colFirst="0" w:colLast="0"/>
      <w:bookmarkEnd w:id="1"/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_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Корень Андрей Владимирович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_______________</w:t>
      </w:r>
    </w:p>
    <w:p w14:paraId="0537EAF8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4D3DE13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59F5F2D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B72FA1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013EC6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p w14:paraId="14F18DE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1DE1504" w14:textId="0BC2D23B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 w:rsidR="00BB419C">
        <w:rPr>
          <w:rFonts w:eastAsia="Times New Roman" w:cs="Times New Roman"/>
          <w:color w:val="000000"/>
          <w:sz w:val="24"/>
          <w:szCs w:val="24"/>
          <w:lang w:eastAsia="ru-RU"/>
        </w:rPr>
        <w:t>Лавриненко В. А</w:t>
      </w:r>
      <w:r w:rsidR="000E7C26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0FD8E71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(подпись обучающегося)</w:t>
      </w:r>
    </w:p>
    <w:p w14:paraId="0F2700E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013EC6" w:rsidRPr="00013EC6" w14:paraId="7D99566E" w14:textId="77777777" w:rsidTr="002068E5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A6EB0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54ECC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CC16E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539DB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Отметка руководителя о выполнении</w:t>
            </w:r>
          </w:p>
        </w:tc>
      </w:tr>
      <w:tr w:rsidR="00013EC6" w:rsidRPr="00013EC6" w14:paraId="7681090C" w14:textId="77777777" w:rsidTr="002068E5">
        <w:trPr>
          <w:trHeight w:val="684"/>
        </w:trPr>
        <w:tc>
          <w:tcPr>
            <w:tcW w:w="2689" w:type="dxa"/>
            <w:vAlign w:val="center"/>
          </w:tcPr>
          <w:p w14:paraId="7E95C2ED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5263FFCC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61591F22" w14:textId="498DCEF0" w:rsidR="00013EC6" w:rsidRPr="00013EC6" w:rsidRDefault="0048425E" w:rsidP="004842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.02.2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5" w:type="dxa"/>
            <w:vAlign w:val="center"/>
          </w:tcPr>
          <w:p w14:paraId="330C3604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0B954BBC" w14:textId="77777777" w:rsidTr="002068E5">
        <w:trPr>
          <w:trHeight w:val="540"/>
        </w:trPr>
        <w:tc>
          <w:tcPr>
            <w:tcW w:w="2689" w:type="dxa"/>
            <w:vAlign w:val="center"/>
          </w:tcPr>
          <w:p w14:paraId="4F450A25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26A2FFCA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563BB3C2" w14:textId="458EF90E" w:rsidR="00013EC6" w:rsidRPr="00013EC6" w:rsidRDefault="0099735B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.0</w:t>
            </w:r>
            <w:r w:rsidR="0005570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695" w:type="dxa"/>
            <w:vAlign w:val="center"/>
          </w:tcPr>
          <w:p w14:paraId="4B6C0F57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610228DA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7987179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4EA0700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7BF62EFA" w14:textId="0841A685" w:rsidR="00013EC6" w:rsidRPr="00013EC6" w:rsidRDefault="0099735B" w:rsidP="0048425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55702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.05.26-</w:t>
            </w:r>
            <w:r w:rsidR="00055702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.05.26</w:t>
            </w:r>
          </w:p>
        </w:tc>
        <w:tc>
          <w:tcPr>
            <w:tcW w:w="1695" w:type="dxa"/>
            <w:vAlign w:val="center"/>
          </w:tcPr>
          <w:p w14:paraId="2E7531BF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70DF1D5F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2AE62371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59EA5D46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0F091B40" w14:textId="2F64FC38" w:rsidR="00013EC6" w:rsidRPr="0048425E" w:rsidRDefault="00055702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</w:t>
            </w:r>
            <w:r w:rsidR="0048425E">
              <w:rPr>
                <w:rFonts w:eastAsia="Times New Roman" w:cs="Times New Roman"/>
                <w:sz w:val="20"/>
                <w:szCs w:val="20"/>
                <w:lang w:eastAsia="ru-RU"/>
              </w:rPr>
              <w:t>.06.26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.0</w:t>
            </w:r>
            <w:r w:rsidR="00B27AB5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.2</w:t>
            </w:r>
            <w:r w:rsidR="00B27AB5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5" w:type="dxa"/>
            <w:vAlign w:val="center"/>
          </w:tcPr>
          <w:p w14:paraId="6B673167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6C783" w14:textId="77777777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AFE1009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A8CA395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9D0CC1F" w14:textId="4FB9EB81" w:rsidR="00013EC6" w:rsidRPr="00013EC6" w:rsidRDefault="00013EC6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</w:p>
    <w:p w14:paraId="5A33B1CE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канд. экон. наук, </w:t>
      </w:r>
    </w:p>
    <w:p w14:paraId="0C38FF16" w14:textId="0D9C42AA" w:rsidR="00013EC6" w:rsidRPr="00013EC6" w:rsidRDefault="00013EC6" w:rsidP="00013EC6">
      <w:pPr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доцент кафедры ЭУ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>_______________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 xml:space="preserve">   </w:t>
      </w:r>
      <w:r w:rsidR="00BE48B3">
        <w:rPr>
          <w:rFonts w:eastAsia="Times New Roman" w:cs="Times New Roman"/>
          <w:sz w:val="24"/>
          <w:szCs w:val="24"/>
          <w:lang w:eastAsia="ru-RU"/>
        </w:rPr>
        <w:t>А.В. Корень</w:t>
      </w:r>
    </w:p>
    <w:p w14:paraId="33A305D0" w14:textId="135A3950" w:rsidR="00013EC6" w:rsidRDefault="00013EC6">
      <w:pPr>
        <w:spacing w:after="160" w:line="259" w:lineRule="auto"/>
        <w:ind w:firstLine="0"/>
        <w:jc w:val="left"/>
      </w:pPr>
    </w:p>
    <w:p w14:paraId="2B9BA00D" w14:textId="75C03A3F" w:rsidR="008C5578" w:rsidRDefault="00013EC6" w:rsidP="0010260C">
      <w:pPr>
        <w:spacing w:after="160" w:line="259" w:lineRule="auto"/>
        <w:ind w:firstLine="0"/>
        <w:jc w:val="left"/>
      </w:pPr>
      <w:r>
        <w:br w:type="page"/>
      </w:r>
    </w:p>
    <w:p w14:paraId="5A6DA9E1" w14:textId="7719402B" w:rsidR="00533DC8" w:rsidRDefault="00533DC8" w:rsidP="00843154">
      <w:pPr>
        <w:pStyle w:val="af9"/>
        <w:jc w:val="center"/>
        <w:rPr>
          <w:rFonts w:ascii="Arial" w:hAnsi="Arial"/>
          <w:color w:val="000000" w:themeColor="text1"/>
          <w:spacing w:val="0"/>
          <w:kern w:val="0"/>
          <w:sz w:val="30"/>
          <w:szCs w:val="32"/>
        </w:rPr>
      </w:pPr>
      <w:r w:rsidRPr="00843154">
        <w:rPr>
          <w:rFonts w:ascii="Arial" w:hAnsi="Arial"/>
          <w:color w:val="000000" w:themeColor="text1"/>
          <w:spacing w:val="0"/>
          <w:kern w:val="0"/>
          <w:sz w:val="30"/>
          <w:szCs w:val="32"/>
        </w:rPr>
        <w:lastRenderedPageBreak/>
        <w:t>Содержание</w:t>
      </w:r>
    </w:p>
    <w:p w14:paraId="1EBFAED4" w14:textId="77777777" w:rsidR="00843154" w:rsidRDefault="00843154" w:rsidP="00843154"/>
    <w:p w14:paraId="58F54F8D" w14:textId="71A589FC" w:rsidR="003530E6" w:rsidRPr="00843154" w:rsidRDefault="003530E6" w:rsidP="00040B61">
      <w:pPr>
        <w:tabs>
          <w:tab w:val="center" w:pos="5032"/>
          <w:tab w:val="left" w:pos="5460"/>
        </w:tabs>
      </w:pPr>
      <w:r>
        <w:t>Введение</w:t>
      </w:r>
      <w:r w:rsidR="00040B61">
        <w:tab/>
      </w:r>
      <w:r w:rsidR="00040B61">
        <w:tab/>
        <w:t xml:space="preserve">                                              </w:t>
      </w:r>
      <w:r w:rsidR="00DA1D9E">
        <w:t xml:space="preserve"> </w:t>
      </w:r>
      <w:r w:rsidR="00040B61">
        <w:t xml:space="preserve">      5               </w:t>
      </w:r>
    </w:p>
    <w:p w14:paraId="78E3E3C6" w14:textId="713DF9D0" w:rsidR="003530E6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1 </w:t>
      </w:r>
      <w:r w:rsidR="00B51672">
        <w:rPr>
          <w:szCs w:val="24"/>
        </w:rPr>
        <w:t xml:space="preserve">Анализ и характеристика исследуемой проблемы </w:t>
      </w:r>
      <w:r w:rsidR="00040B61">
        <w:rPr>
          <w:szCs w:val="24"/>
        </w:rPr>
        <w:t xml:space="preserve">                         </w:t>
      </w:r>
      <w:r w:rsidR="00DA1D9E">
        <w:rPr>
          <w:szCs w:val="24"/>
        </w:rPr>
        <w:t xml:space="preserve"> </w:t>
      </w:r>
      <w:r w:rsidR="00040B61">
        <w:rPr>
          <w:szCs w:val="24"/>
        </w:rPr>
        <w:t xml:space="preserve">      </w:t>
      </w:r>
      <w:r w:rsidR="00315F1B">
        <w:rPr>
          <w:szCs w:val="24"/>
        </w:rPr>
        <w:t>7</w:t>
      </w:r>
    </w:p>
    <w:p w14:paraId="2C68CBCE" w14:textId="7F12045A" w:rsidR="00B51672" w:rsidRDefault="00B51672" w:rsidP="00040B61">
      <w:pPr>
        <w:pStyle w:val="a5"/>
        <w:ind w:left="0"/>
        <w:rPr>
          <w:szCs w:val="24"/>
        </w:rPr>
      </w:pPr>
      <w:r>
        <w:rPr>
          <w:szCs w:val="24"/>
        </w:rPr>
        <w:t xml:space="preserve">2 </w:t>
      </w:r>
      <w:r w:rsidR="00DA1D9E">
        <w:rPr>
          <w:szCs w:val="24"/>
        </w:rPr>
        <w:t xml:space="preserve">Современное состояние исследуемой проблемы             </w:t>
      </w:r>
      <w:r w:rsidR="00DA1D9E">
        <w:rPr>
          <w:szCs w:val="24"/>
        </w:rPr>
        <w:tab/>
        <w:t xml:space="preserve"> </w:t>
      </w:r>
      <w:r>
        <w:rPr>
          <w:szCs w:val="24"/>
        </w:rPr>
        <w:t xml:space="preserve"> </w:t>
      </w:r>
      <w:r w:rsidR="00040B61">
        <w:rPr>
          <w:szCs w:val="24"/>
        </w:rPr>
        <w:t xml:space="preserve">         </w:t>
      </w:r>
      <w:r w:rsidR="00DA1D9E">
        <w:rPr>
          <w:szCs w:val="24"/>
        </w:rPr>
        <w:t xml:space="preserve"> </w:t>
      </w:r>
      <w:r w:rsidR="00040B61">
        <w:rPr>
          <w:szCs w:val="24"/>
        </w:rPr>
        <w:t xml:space="preserve">      </w:t>
      </w:r>
      <w:r w:rsidR="005A6F46">
        <w:rPr>
          <w:szCs w:val="24"/>
        </w:rPr>
        <w:t>11</w:t>
      </w:r>
    </w:p>
    <w:p w14:paraId="5587A222" w14:textId="4117E757" w:rsidR="003530E6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Заключение </w:t>
      </w:r>
      <w:r w:rsidR="00040B61">
        <w:rPr>
          <w:szCs w:val="24"/>
        </w:rPr>
        <w:t xml:space="preserve">                                                                                         </w:t>
      </w:r>
      <w:r w:rsidR="00DA1D9E">
        <w:rPr>
          <w:szCs w:val="24"/>
        </w:rPr>
        <w:t xml:space="preserve"> </w:t>
      </w:r>
      <w:r w:rsidR="00040B61">
        <w:rPr>
          <w:szCs w:val="24"/>
        </w:rPr>
        <w:t xml:space="preserve">        </w:t>
      </w:r>
      <w:r w:rsidR="00F13B11">
        <w:rPr>
          <w:szCs w:val="24"/>
        </w:rPr>
        <w:t>1</w:t>
      </w:r>
      <w:r w:rsidR="00F56FB5">
        <w:rPr>
          <w:szCs w:val="24"/>
        </w:rPr>
        <w:t>7</w:t>
      </w:r>
    </w:p>
    <w:p w14:paraId="5F126F86" w14:textId="629E3E94" w:rsidR="008C5578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Список использованных источников </w:t>
      </w:r>
      <w:r w:rsidR="00040B61">
        <w:rPr>
          <w:szCs w:val="24"/>
        </w:rPr>
        <w:t xml:space="preserve">                                                        </w:t>
      </w:r>
      <w:r w:rsidR="00C314A7">
        <w:rPr>
          <w:szCs w:val="24"/>
        </w:rPr>
        <w:t>1</w:t>
      </w:r>
      <w:r w:rsidR="00F56FB5">
        <w:rPr>
          <w:szCs w:val="24"/>
        </w:rPr>
        <w:t>9</w:t>
      </w:r>
    </w:p>
    <w:p w14:paraId="614D4437" w14:textId="77777777" w:rsidR="008C5578" w:rsidRPr="003530E6" w:rsidRDefault="008C5578" w:rsidP="00040B61">
      <w:pPr>
        <w:pStyle w:val="a5"/>
        <w:ind w:left="0"/>
        <w:rPr>
          <w:sz w:val="32"/>
        </w:rPr>
      </w:pPr>
    </w:p>
    <w:p w14:paraId="6C3ED855" w14:textId="77777777" w:rsidR="008C5578" w:rsidRDefault="008C5578" w:rsidP="00040B61">
      <w:pPr>
        <w:pStyle w:val="a5"/>
      </w:pPr>
    </w:p>
    <w:p w14:paraId="41FE135D" w14:textId="77777777" w:rsidR="008C5578" w:rsidRDefault="008C5578" w:rsidP="00040B61">
      <w:pPr>
        <w:pStyle w:val="a5"/>
      </w:pPr>
    </w:p>
    <w:p w14:paraId="1555A392" w14:textId="6D88DDE2" w:rsidR="00533DC8" w:rsidRDefault="00843154" w:rsidP="00040B61">
      <w:pPr>
        <w:ind w:firstLine="0"/>
        <w:jc w:val="left"/>
      </w:pPr>
      <w:r>
        <w:br w:type="page"/>
      </w:r>
    </w:p>
    <w:p w14:paraId="2203C278" w14:textId="77777777" w:rsidR="00ED3D54" w:rsidRPr="00ED3D54" w:rsidRDefault="00ED3D54" w:rsidP="00040B61">
      <w:pPr>
        <w:pStyle w:val="1"/>
        <w:spacing w:after="0" w:line="360" w:lineRule="auto"/>
        <w:jc w:val="center"/>
      </w:pPr>
      <w:bookmarkStart w:id="2" w:name="_Toc163851334"/>
      <w:r w:rsidRPr="00ED3D54">
        <w:lastRenderedPageBreak/>
        <w:t>Введение</w:t>
      </w:r>
      <w:bookmarkEnd w:id="2"/>
    </w:p>
    <w:p w14:paraId="2C3CD354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Стремительное развитие цифровых технологий, распространение безналичных расчетов и появление новых форм цифровых активов обусловили необходимость переосмысления роли государственных денежных систем в современной экономике. В этих условиях особое значение приобретает концепция национальных цифровых валют центральных банков (Central Bank Digital Currency, CBDC), которые рассматриваются в качестве нового этапа эволюции денежных отношений и платежной инфраструктуры.</w:t>
      </w:r>
    </w:p>
    <w:p w14:paraId="0A8B3171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Актуальность исследуемой темы определяется тем, что многие государства в настоящее время проводят исследования, пилотные проекты и практическое внедрение национальных цифровых валют. По данным Международного валютного фонда и Банка международных расчётов, большинство центральных банков мира изучают возможности создания собственных цифровых валют, уделяя особое внимание вопросам финансовой стабильности, защиты персональных данных, повышения эффективности платежей и развития трансграничных расчетов. </w:t>
      </w:r>
    </w:p>
    <w:p w14:paraId="4D1B9603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В современных условиях необходимо исследовать не только технологические особенности национальных цифровых валют, но и их влияние на денежно-кредитную политику, банковскую систему, государственное регулирование и международные финансовые отношения. Особое внимание следует уделить вопросам обеспечения информационной безопасности, конфиденциальности пользователей и минимизации потенциальных рисков финансовой дестабилизации.</w:t>
      </w:r>
    </w:p>
    <w:p w14:paraId="2EE57A9A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Целью учебной практики является формирование навыков исследовательской деятельности посредством комплексного анализа современного состояния и перспектив развития национальных цифровых валют, а также оценки их роли в трансформации мировой финансовой системы.</w:t>
      </w:r>
    </w:p>
    <w:p w14:paraId="05DDB0A1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lastRenderedPageBreak/>
        <w:t>Для достижения поставленной цели необходимо решить следующие задачи:</w:t>
      </w:r>
    </w:p>
    <w:p w14:paraId="2116A0AE" w14:textId="709DB0A0" w:rsidR="00074593" w:rsidRDefault="00DD3FCB" w:rsidP="00367F7E">
      <w:pPr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367F7E" w:rsidRPr="005E54B0">
        <w:rPr>
          <w:rFonts w:cs="Times New Roman"/>
          <w:szCs w:val="28"/>
        </w:rPr>
        <w:t xml:space="preserve"> исследовать теоретические основы формирования национальных цифровых валют;</w:t>
      </w:r>
    </w:p>
    <w:p w14:paraId="0C1E3B77" w14:textId="1B4C6B4D" w:rsidR="00074593" w:rsidRDefault="00DD3FCB" w:rsidP="00367F7E">
      <w:pPr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367F7E" w:rsidRPr="005E54B0">
        <w:rPr>
          <w:rFonts w:cs="Times New Roman"/>
          <w:szCs w:val="28"/>
        </w:rPr>
        <w:t xml:space="preserve"> проанализировать современное состояние разработок CBDC в различных государствах;</w:t>
      </w:r>
    </w:p>
    <w:p w14:paraId="7FFD94EC" w14:textId="3B273761" w:rsidR="00074593" w:rsidRDefault="00DD3FCB" w:rsidP="00367F7E">
      <w:pPr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367F7E" w:rsidRPr="005E54B0">
        <w:rPr>
          <w:rFonts w:cs="Times New Roman"/>
          <w:szCs w:val="28"/>
        </w:rPr>
        <w:t xml:space="preserve"> изучить нормативные и аналитические документы международных организаций;</w:t>
      </w:r>
    </w:p>
    <w:p w14:paraId="12928664" w14:textId="74A6A516" w:rsidR="00074593" w:rsidRDefault="00DD3FCB" w:rsidP="00367F7E">
      <w:pPr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367F7E" w:rsidRPr="005E54B0">
        <w:rPr>
          <w:rFonts w:cs="Times New Roman"/>
          <w:szCs w:val="28"/>
        </w:rPr>
        <w:t xml:space="preserve"> определить преимущества и риски внедрения цифровых валют центральных банков;</w:t>
      </w:r>
    </w:p>
    <w:p w14:paraId="4B7E15BF" w14:textId="15E1EE0D" w:rsidR="00074593" w:rsidRDefault="00DD3FCB" w:rsidP="00367F7E">
      <w:pPr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367F7E" w:rsidRPr="005E54B0">
        <w:rPr>
          <w:rFonts w:cs="Times New Roman"/>
          <w:szCs w:val="28"/>
        </w:rPr>
        <w:t xml:space="preserve"> выявить перспективные направления дальнейших исследований в области цифровизации денежного обращения.</w:t>
      </w:r>
    </w:p>
    <w:p w14:paraId="3AB76B28" w14:textId="77777777" w:rsidR="00074593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В процессе исследования следует применять общенаучные методы анализа, синтеза, сравнения, систематизации и обобщения научной литературы. При необходимости могут быть использованы методы статистического анализа, сравнительно-правового исследования и прогнозирования развития финансовых технологий.</w:t>
      </w:r>
    </w:p>
    <w:p w14:paraId="3A67D4B4" w14:textId="030039D6" w:rsidR="00367F7E" w:rsidRPr="005E54B0" w:rsidRDefault="00367F7E" w:rsidP="00367F7E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Практическая значимость исследования заключается в том, что полученные результаты могут быть использованы при изучении процессов цифровой трансформации национальных финансовых систем, разработке рекомендаций по совершенствованию государственной политики в сфере цифровых платежей и оценке перспектив внедрения цифровых валют центральных банков.</w:t>
      </w:r>
    </w:p>
    <w:p w14:paraId="11690556" w14:textId="634D66E6" w:rsidR="00B51672" w:rsidRPr="007A00FE" w:rsidRDefault="00B51672" w:rsidP="00040B61">
      <w:pPr>
        <w:rPr>
          <w:sz w:val="24"/>
          <w:szCs w:val="24"/>
        </w:rPr>
      </w:pPr>
    </w:p>
    <w:p w14:paraId="4611D456" w14:textId="45E6274E" w:rsidR="003A56E0" w:rsidRPr="007A00FE" w:rsidRDefault="003A56E0" w:rsidP="00040B61">
      <w:pPr>
        <w:rPr>
          <w:sz w:val="24"/>
          <w:szCs w:val="24"/>
        </w:rPr>
      </w:pPr>
      <w:r w:rsidRPr="007A00FE">
        <w:rPr>
          <w:sz w:val="24"/>
          <w:szCs w:val="24"/>
        </w:rPr>
        <w:br w:type="page"/>
      </w:r>
    </w:p>
    <w:p w14:paraId="6E5C1D7A" w14:textId="189A6823" w:rsidR="00CD59A4" w:rsidRPr="00CD59A4" w:rsidRDefault="00A67C2E" w:rsidP="003021CA">
      <w:pPr>
        <w:pStyle w:val="1"/>
        <w:spacing w:after="0" w:line="360" w:lineRule="auto"/>
        <w:jc w:val="left"/>
        <w:rPr>
          <w:rFonts w:cs="Arial"/>
          <w:szCs w:val="28"/>
        </w:rPr>
      </w:pPr>
      <w:bookmarkStart w:id="3" w:name="_Toc163851335"/>
      <w:r w:rsidRPr="00533DC8">
        <w:lastRenderedPageBreak/>
        <w:t xml:space="preserve">1 </w:t>
      </w:r>
      <w:bookmarkEnd w:id="3"/>
      <w:r w:rsidR="00B51672" w:rsidRPr="00B51672">
        <w:t>Анализ и характеристика исследуемой проблемы</w:t>
      </w:r>
    </w:p>
    <w:p w14:paraId="17B3530C" w14:textId="77777777" w:rsidR="00EF263F" w:rsidRDefault="00282D78" w:rsidP="003021CA">
      <w:pPr>
        <w:ind w:firstLine="708"/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В условиях цифровой трансформации мировой экономики происходит активное изменение механизмов денежного обращения и функционирования платёжных систем. Развитие финансовых технологий, широкое распространение безналичных расчётов и рост интереса к цифровым активам обусловили необходимость поиска новых форм государственных денег. В связи с этим центральные банки различных государств приступили к исследованию и разработке национальных цифровых валют (Central Bank Digital Currency, CBDC), представляющих собой цифровую форму официальной валюты, эмитируемую и гарантируемую центральным банком.</w:t>
      </w:r>
    </w:p>
    <w:p w14:paraId="4D580A34" w14:textId="77777777" w:rsidR="00EF263F" w:rsidRDefault="00282D78" w:rsidP="00EF263F">
      <w:pPr>
        <w:ind w:firstLine="708"/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Необходимо отметить, что национальная цифровая валюта принципиально отличается от криптовалют. Если криптовалюты, как правило, функционируют на основе децентрализованных механизмов и не имеют единого эмитента, то CBDC является обязательством центрального банка и должна обладать статусом законного платёжного средства в рамках национальной юрисдикции. Международные организации указывают, что внедрение цифровых валют центральных банков может способствовать повышению эффективности платёжной инфраструктуры, расширению финансовой доступности и укреплению устойчивости денежной системы. Вместе с тем требуется учитывать риски, связанные с кибербезопасностью, конфиденциальностью данных и влиянием на банковский сектор.</w:t>
      </w:r>
    </w:p>
    <w:p w14:paraId="2DA2320C" w14:textId="77777777" w:rsidR="00EF263F" w:rsidRDefault="00282D78" w:rsidP="00EF263F">
      <w:pPr>
        <w:ind w:firstLine="708"/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Актуальность исследования обусловлена тем, что большинство центральных банков мира уже проводят исследования, пилотные проекты либо разрабатывают практические модели внедрения CBDC. По данным Банка международных расчётов, интерес к цифровым валютам продолжает возрастать, а приоритетными направлениями становятся обеспечение безопасности расчётов, поддержание роли государственных денег в цифровой экономике и развитие трансграничных платежей. </w:t>
      </w:r>
      <w:r w:rsidRPr="005E54B0">
        <w:rPr>
          <w:rFonts w:cs="Times New Roman"/>
          <w:szCs w:val="28"/>
        </w:rPr>
        <w:br/>
        <w:t xml:space="preserve">Следует учитывать, что цифровизация экономики сопровождается </w:t>
      </w:r>
      <w:r w:rsidRPr="005E54B0">
        <w:rPr>
          <w:rFonts w:cs="Times New Roman"/>
          <w:szCs w:val="28"/>
        </w:rPr>
        <w:lastRenderedPageBreak/>
        <w:t>сокращением использования наличных денежных средств и усилением конкуренции со стороны частных платёжных платформ и стейблкоинов. В этих условиях государствам необходимо обеспечить сохранение денежного суверенитета и доверия общества к национальной валюте посредством разработки современных цифровых инструментов обращения.</w:t>
      </w:r>
    </w:p>
    <w:p w14:paraId="0AB35B8C" w14:textId="18C3E12D" w:rsidR="00282D78" w:rsidRPr="005E54B0" w:rsidRDefault="00282D78" w:rsidP="00EF263F">
      <w:pPr>
        <w:ind w:firstLine="708"/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Степень разработанности исследуемой проблемы</w:t>
      </w:r>
      <w:r w:rsidRPr="005E54B0">
        <w:rPr>
          <w:rFonts w:cs="Times New Roman"/>
          <w:szCs w:val="28"/>
        </w:rPr>
        <w:br/>
        <w:t xml:space="preserve">Проблематика национальных цифровых валют получила широкое распространение в зарубежной и отечественной научной литературе. Существенный вклад в развитие теоретических основ CBDC внесли исследователи Банка международных расчётов, в частности Рафаэль Ауэр, Джулио Корнелли и Джон Фрост, рассмотревшие причины появления цифровых валют центральных банков, возможные модели их построения и особенности применения в различных странах. Их исследования демонстрируют, что выбор архитектуры CBDC зависит от целей денежно-кредитной политики, уровня цифровизации экономики и особенностей национальной финансовой системы. </w:t>
      </w:r>
    </w:p>
    <w:p w14:paraId="3A4774FD" w14:textId="77777777" w:rsidR="00DB232F" w:rsidRDefault="00282D78" w:rsidP="00DB232F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Значительное внимание вопросам проектирования цифровых валют уделяет Международный валютный фонд. В современных аналитических материалах организации рассматриваются вопросы киберустойчивости, защиты персональных данных, стимулирования использования CBDC, интеграции с существующей платёжной инфраструктурой и развития международных расчётов. Отмечается, что при разработке цифровой валюты необходимо соблюдать баланс между прозрачностью финансовых операций и сохранением права граждан на конфиденциальность. </w:t>
      </w:r>
    </w:p>
    <w:p w14:paraId="3C3FB2F6" w14:textId="77777777" w:rsidR="00DB232F" w:rsidRDefault="00282D78" w:rsidP="00DB232F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В последние годы активно публикуются исследования, посвящённые технологическим аспектам функционирования CBDC, вопросам использования распределённых реестров, двухуровневых моделей эмиссии, офлайн-платежей и взаимодействия цифровых валют с коммерческими банками. Многие авторы приходят к выводу, что универсальной модели внедрения не существует, а архитектура национальной цифровой валюты </w:t>
      </w:r>
      <w:r w:rsidRPr="005E54B0">
        <w:rPr>
          <w:rFonts w:cs="Times New Roman"/>
          <w:szCs w:val="28"/>
        </w:rPr>
        <w:lastRenderedPageBreak/>
        <w:t xml:space="preserve">должна разрабатываться с учётом особенностей конкретной страны и действующего законодательства. </w:t>
      </w:r>
    </w:p>
    <w:p w14:paraId="55168E59" w14:textId="77777777" w:rsidR="00DB232F" w:rsidRDefault="00282D78" w:rsidP="00DB232F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В Российской Федерации вопросы цифровизации финансовой системы также получили отражение в научных публикациях и официальных документах, посвящённых развитию цифрового рубля, совершенствованию платёжной инфраструктуры и внедрению инновационных финансовых технологий. Исследования отечественных авторов свидетельствуют о том, что использование цифровой формы национальной валюты может способствовать повышению прозрачности расчётов, снижению транзакционных издержек и развитию государственных цифровых сервисов.</w:t>
      </w:r>
    </w:p>
    <w:p w14:paraId="41DF7062" w14:textId="77777777" w:rsidR="00C1438B" w:rsidRDefault="00282D78" w:rsidP="00DB232F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Исследуемая проблема получила широкое отражение в документах международных финансовых организаций и центральных банков. Банк международных расчётов регулярно публикует аналитические материалы по вопросам проектирования и внедрения CBDC, уделяя внимание правовым аспектам, совместимости платёжных систем и финансовой стабильности. Согласно современным исследованиям BIS, при разработке цифровых валют необходимо обеспечивать их надёжность, масштабируемость и устойчивость к киберугрозам. </w:t>
      </w:r>
    </w:p>
    <w:p w14:paraId="2C05FF99" w14:textId="427FF4CF" w:rsidR="00282D78" w:rsidRDefault="00282D78" w:rsidP="00DB232F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 xml:space="preserve">Международный валютный фонд рассматривает цифровые валюты центральных банков как один из инструментов модернизации финансовой системы и рекомендует государствам проводить комплексную оценку экономических, технологических и правовых последствий их внедрения. Особое внимание должно уделяться защите данных пользователей, предотвращению финансовых преступлений и сохранению эффективности денежно-кредитной политики. </w:t>
      </w:r>
    </w:p>
    <w:p w14:paraId="3D04C783" w14:textId="2194205C" w:rsidR="00C1438B" w:rsidRDefault="00D95800" w:rsidP="001C22A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 многих странах проекты национальных цифровых валют находятся на стадии </w:t>
      </w:r>
      <w:r w:rsidR="001100BD">
        <w:rPr>
          <w:rFonts w:cs="Times New Roman"/>
          <w:szCs w:val="28"/>
        </w:rPr>
        <w:t>экспериментальной эксплуатации или пилотных испытаний. Разработка нормативной базы осуществляется параллельно с технологическими исследованиями</w:t>
      </w:r>
      <w:r w:rsidR="00216C42">
        <w:rPr>
          <w:rFonts w:cs="Times New Roman"/>
          <w:szCs w:val="28"/>
        </w:rPr>
        <w:t xml:space="preserve">, поскольку требуется определить правовой статус цифровой валюты, порядок её обращения, ответственность </w:t>
      </w:r>
      <w:r w:rsidR="00216C42">
        <w:rPr>
          <w:rFonts w:cs="Times New Roman"/>
          <w:szCs w:val="28"/>
        </w:rPr>
        <w:lastRenderedPageBreak/>
        <w:t>участников расчётов и механизмы взаимодействия</w:t>
      </w:r>
      <w:r w:rsidR="001C22AE">
        <w:rPr>
          <w:rFonts w:cs="Times New Roman"/>
          <w:szCs w:val="28"/>
        </w:rPr>
        <w:t xml:space="preserve"> с существующей банковской системой.</w:t>
      </w:r>
    </w:p>
    <w:p w14:paraId="6EDFE9E4" w14:textId="6F94369F" w:rsidR="00D10051" w:rsidRDefault="00D10051" w:rsidP="001C22AE">
      <w:pPr>
        <w:rPr>
          <w:rFonts w:cs="Times New Roman"/>
          <w:szCs w:val="28"/>
        </w:rPr>
      </w:pPr>
      <w:r>
        <w:rPr>
          <w:rFonts w:cs="Times New Roman"/>
          <w:szCs w:val="28"/>
        </w:rPr>
        <w:t>Целью настоящего исследования является комплексный анализ современного состояния</w:t>
      </w:r>
      <w:r w:rsidR="007008F0">
        <w:rPr>
          <w:rFonts w:cs="Times New Roman"/>
          <w:szCs w:val="28"/>
        </w:rPr>
        <w:t xml:space="preserve"> и перспектив развития национальных цифровых валют, а также оценка их потенциального влияния на функционирование финансовых систем и денежного обращения.</w:t>
      </w:r>
    </w:p>
    <w:p w14:paraId="56876CF0" w14:textId="3BBEC3FD" w:rsidR="00030C2B" w:rsidRDefault="00030C2B" w:rsidP="001C22AE">
      <w:pPr>
        <w:rPr>
          <w:rFonts w:cs="Times New Roman"/>
          <w:szCs w:val="28"/>
        </w:rPr>
      </w:pPr>
      <w:r>
        <w:rPr>
          <w:rFonts w:cs="Times New Roman"/>
          <w:szCs w:val="28"/>
        </w:rPr>
        <w:t>Для достижения поставленной цели необходимо решить следующие задачи:</w:t>
      </w:r>
    </w:p>
    <w:p w14:paraId="42757BF9" w14:textId="0A430E05" w:rsidR="00030C2B" w:rsidRDefault="00030C2B" w:rsidP="00030C2B">
      <w:pPr>
        <w:pStyle w:val="a5"/>
        <w:numPr>
          <w:ilvl w:val="0"/>
          <w:numId w:val="29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Исследовать экономическую сущность и правовую природу национальных цифровых валют.</w:t>
      </w:r>
    </w:p>
    <w:p w14:paraId="729276B0" w14:textId="371093F4" w:rsidR="00030C2B" w:rsidRDefault="00315612" w:rsidP="00030C2B">
      <w:pPr>
        <w:pStyle w:val="a5"/>
        <w:numPr>
          <w:ilvl w:val="0"/>
          <w:numId w:val="29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Проанализировать современное состояние международных проектов по внедрению </w:t>
      </w:r>
      <w:r>
        <w:rPr>
          <w:rFonts w:cs="Times New Roman"/>
          <w:szCs w:val="28"/>
          <w:lang w:val="en-US"/>
        </w:rPr>
        <w:t>CBDC</w:t>
      </w:r>
      <w:r>
        <w:rPr>
          <w:rFonts w:cs="Times New Roman"/>
          <w:szCs w:val="28"/>
        </w:rPr>
        <w:t>.</w:t>
      </w:r>
    </w:p>
    <w:p w14:paraId="75176759" w14:textId="5D6EA488" w:rsidR="00315612" w:rsidRDefault="00315612" w:rsidP="00030C2B">
      <w:pPr>
        <w:pStyle w:val="a5"/>
        <w:numPr>
          <w:ilvl w:val="0"/>
          <w:numId w:val="29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Изучить основные научные </w:t>
      </w:r>
      <w:r w:rsidR="00487695">
        <w:rPr>
          <w:rFonts w:cs="Times New Roman"/>
          <w:szCs w:val="28"/>
        </w:rPr>
        <w:t>подходы к оценке преимуществ и рисков цифровых валют центральных банков.</w:t>
      </w:r>
    </w:p>
    <w:p w14:paraId="4BCC3656" w14:textId="732BC9BD" w:rsidR="00487695" w:rsidRDefault="00487695" w:rsidP="00030C2B">
      <w:pPr>
        <w:pStyle w:val="a5"/>
        <w:numPr>
          <w:ilvl w:val="0"/>
          <w:numId w:val="29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Рассмотреть нормативные аналитические документы международных организация и государственных органов.</w:t>
      </w:r>
    </w:p>
    <w:p w14:paraId="5441FE19" w14:textId="6233B635" w:rsidR="00487695" w:rsidRDefault="00487695" w:rsidP="00030C2B">
      <w:pPr>
        <w:pStyle w:val="a5"/>
        <w:numPr>
          <w:ilvl w:val="0"/>
          <w:numId w:val="29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Определить перспективы</w:t>
      </w:r>
      <w:r w:rsidR="00550688">
        <w:rPr>
          <w:rFonts w:cs="Times New Roman"/>
          <w:szCs w:val="28"/>
        </w:rPr>
        <w:t xml:space="preserve"> дальнейшего развития национальных цифровых валют и возможные направления совершенствования механизмов их использования.</w:t>
      </w:r>
    </w:p>
    <w:p w14:paraId="1EFDB611" w14:textId="77777777" w:rsidR="0047338D" w:rsidRDefault="00703828" w:rsidP="0047338D">
      <w:pPr>
        <w:rPr>
          <w:rFonts w:cs="Times New Roman"/>
          <w:szCs w:val="28"/>
        </w:rPr>
      </w:pPr>
      <w:r w:rsidRPr="005E54B0">
        <w:rPr>
          <w:rFonts w:cs="Times New Roman"/>
          <w:szCs w:val="28"/>
        </w:rPr>
        <w:t>Таким образом, анализ научной литературы и современных международных исследований позволяет сделать вывод о том, что национальные цифровые валюты становятся одним из ключевых направлений развития мировой финансовой системы. В ближайшие годы требуется дальнейшее совершенствование их правового регулирования, технологической инфраструктуры и механизмов защиты интересов пользователей, поскольку именно эти факторы будут определять успешность внедрения CBDC и их влияние на экономическое развитие государств.</w:t>
      </w:r>
    </w:p>
    <w:p w14:paraId="2361CCE9" w14:textId="77777777" w:rsidR="0047338D" w:rsidRDefault="0047338D" w:rsidP="0047338D">
      <w:pPr>
        <w:rPr>
          <w:rFonts w:cs="Times New Roman"/>
          <w:szCs w:val="28"/>
        </w:rPr>
      </w:pPr>
    </w:p>
    <w:p w14:paraId="3C4E07E6" w14:textId="77777777" w:rsidR="0047338D" w:rsidRDefault="0047338D" w:rsidP="0047338D">
      <w:pPr>
        <w:rPr>
          <w:rFonts w:cs="Times New Roman"/>
          <w:szCs w:val="28"/>
        </w:rPr>
      </w:pPr>
    </w:p>
    <w:p w14:paraId="2F845792" w14:textId="77777777" w:rsidR="0047338D" w:rsidRDefault="0047338D" w:rsidP="0047338D">
      <w:pPr>
        <w:rPr>
          <w:rFonts w:cs="Times New Roman"/>
          <w:szCs w:val="28"/>
        </w:rPr>
      </w:pPr>
    </w:p>
    <w:p w14:paraId="2082DA7D" w14:textId="1891E17E" w:rsidR="0047338D" w:rsidRDefault="00B51672" w:rsidP="0047338D">
      <w:pPr>
        <w:rPr>
          <w:rFonts w:ascii="Arial" w:hAnsi="Arial" w:cs="Arial"/>
          <w:sz w:val="30"/>
          <w:szCs w:val="30"/>
        </w:rPr>
      </w:pPr>
      <w:r w:rsidRPr="0047338D">
        <w:rPr>
          <w:rFonts w:ascii="Arial" w:hAnsi="Arial" w:cs="Arial"/>
          <w:sz w:val="30"/>
          <w:szCs w:val="30"/>
        </w:rPr>
        <w:lastRenderedPageBreak/>
        <w:t>2</w:t>
      </w:r>
      <w:r w:rsidR="007F1749" w:rsidRPr="0047338D">
        <w:rPr>
          <w:rFonts w:ascii="Arial" w:hAnsi="Arial" w:cs="Arial"/>
          <w:sz w:val="30"/>
          <w:szCs w:val="30"/>
        </w:rPr>
        <w:t xml:space="preserve"> </w:t>
      </w:r>
      <w:r w:rsidR="00821F89" w:rsidRPr="00821F89">
        <w:rPr>
          <w:rFonts w:ascii="Arial" w:hAnsi="Arial" w:cs="Arial"/>
          <w:sz w:val="30"/>
          <w:szCs w:val="30"/>
        </w:rPr>
        <w:t>Современное состояние исследуемой проблемы</w:t>
      </w:r>
    </w:p>
    <w:p w14:paraId="3F8A5BBA" w14:textId="77777777" w:rsidR="0047338D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 настоящее время разработка национальных цифровых валют центральных банков (CBDC) является одним из наиболее значимых направлений развития мировой финансовой системы. Рост популярности электронных платежей, развитие технологий распределённых реестров и усиление конкуренции со стороны частных цифровых активов обусловили необходимость модернизации денежного обращения. В этих условиях центральным банкам следует разрабатывать новые инструменты, способные обеспечить надёжность платёжной инфраструктуры и сохранить доверие к государственным деньгам.</w:t>
      </w:r>
    </w:p>
    <w:p w14:paraId="17D03AA2" w14:textId="77777777" w:rsidR="0047338D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По данным международных исследований, значительное число центральных банков уже реализует проекты по созданию или тестированию CBDC. При этом отдельные государства находятся на стадии научных исследований, другие проводят пилотные испытания, а некоторые уже ввели цифровые валюты в ограниченное или массовое обращение. Такая динамика свидетельствует о том, что цифровизация финансовой системы постепенно становится общемировой тенденцией.</w:t>
      </w:r>
    </w:p>
    <w:p w14:paraId="0E5FADD2" w14:textId="77777777" w:rsidR="0047338D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Следует отметить, что каждая страна выбирает собственную модель внедрения национальной цифровой валюты с учётом особенностей законодательства, структуры банковской системы и уровня развития информационных технологий. Как правило, используются двухуровневые модели, при которых центральный банк осуществляет эмиссию цифровой валюты, а коммерческие банки и иные финансовые организации обеспечивают взаимодействие с конечными пользователями.</w:t>
      </w:r>
    </w:p>
    <w:p w14:paraId="0824BF05" w14:textId="77777777" w:rsidR="00ED43EA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Наиболее известным примером практического внедрения национальной цифровой валюты является цифровой юань, разрабатываемый Народным банком Китая. В ходе пилотных проектов цифровая валюта применяется для осуществления розничных платежей, расчётов между гражданами и организациями, а также при использовании государственных сервисов.</w:t>
      </w:r>
    </w:p>
    <w:p w14:paraId="22E2424B" w14:textId="77777777" w:rsidR="00ED43EA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lastRenderedPageBreak/>
        <w:t>Подобный подход демонстрирует возможность интеграции цифровых денег в существующую финансовую инфраструктуру без полного отказа от традиционных форм расчётов.</w:t>
      </w:r>
    </w:p>
    <w:p w14:paraId="0B4ED77A" w14:textId="77777777" w:rsidR="00FC19E4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 государствах Европейского союза продолжается разработка концепции цифрового евро. Основное внимание уделяется вопросам обеспечения конфиденциальности пользователей, устойчивости платёжной системы и сохранения финансовой стабильности. Предполагается, что цифровой евро должен дополнять наличные денежные средства, а не заменять их полностью.</w:t>
      </w:r>
    </w:p>
    <w:p w14:paraId="5E002B18" w14:textId="77777777" w:rsidR="00FC19E4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 ряде других государств также реализуются проекты национальных цифровых валют. Особый интерес представляют инициативы, направленные на совершенствование трансграничных расчётов, поскольку существующие международные платёжные механизмы зачастую характеризуются высокой стоимостью операций и значительным временем исполнения переводов.</w:t>
      </w:r>
    </w:p>
    <w:p w14:paraId="0DFA22F4" w14:textId="77777777" w:rsidR="00FC19E4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Результаты современных исследований позволяют выделить ряд потенциальных преимуществ внедрения CBDC.</w:t>
      </w:r>
    </w:p>
    <w:p w14:paraId="66E67478" w14:textId="77777777" w:rsidR="00FC19E4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Во-первых, использование цифровой формы национальной валюты может способствовать сокращению издержек при осуществлении платежей. Автоматизация расчётов и применение современных информационных технологий позволяют повысить скорость обработки финансовых операций и уменьшить расходы на обслуживание денежного обращения.</w:t>
      </w:r>
    </w:p>
    <w:p w14:paraId="449FE93B" w14:textId="77777777" w:rsidR="00FC19E4" w:rsidRDefault="0047338D" w:rsidP="0047338D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Во-вторых, национальные цифровые валюты способны повысить уровень финансовой доступности. В случае создания удобной цифровой инфраструктуры граждане и организации получают возможность осуществлять платежи без необходимости использования наличных денежных средств, что особенно важно для удалённых регионов и территорий с недостаточно развитой банковской сетью.</w:t>
      </w:r>
    </w:p>
    <w:p w14:paraId="5BB63DC9" w14:textId="77777777" w:rsidR="00FC19E4" w:rsidRDefault="0047338D" w:rsidP="00FC19E4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 xml:space="preserve">В-третьих, применение CBDC может повысить прозрачность отдельных финансовых операций и эффективность государственного контроля за движением денежных средств при соблюдении требований законодательства </w:t>
      </w:r>
      <w:r w:rsidRPr="001302D0">
        <w:rPr>
          <w:rFonts w:cs="Times New Roman"/>
          <w:szCs w:val="28"/>
        </w:rPr>
        <w:lastRenderedPageBreak/>
        <w:t>о защите информации и персональных данных. При этом необходимо обеспечить баланс между возможностями мониторинга и соблюдением конституционных прав граждан на неприкосновенность частной жизни.</w:t>
      </w:r>
    </w:p>
    <w:p w14:paraId="33DD13E4" w14:textId="77777777" w:rsidR="00CB7445" w:rsidRDefault="0047338D" w:rsidP="00CB744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Кроме того, цифровые валюты центральных банков могут использоваться в качестве основы для внедрения программируемых платежей, автоматизированного исполнения отдельных финансовых обязательств и развития государственных цифровых сервисов.</w:t>
      </w:r>
    </w:p>
    <w:p w14:paraId="143F650A" w14:textId="77777777" w:rsidR="00CB7445" w:rsidRDefault="0047338D" w:rsidP="00CB744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Несмотря на существенные преимущества, внедрение национальных цифровых валют сопровождается рядом рисков, которые должны быть учтены при разработке соответствующей государственной политики.</w:t>
      </w:r>
    </w:p>
    <w:p w14:paraId="53F1EBBE" w14:textId="77777777" w:rsidR="00CB7445" w:rsidRDefault="0047338D" w:rsidP="00CB744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Одной из наиболее серьёзных проблем является обеспечение кибербезопасности. Поскольку функционирование CBDC осуществляется в цифровой среде, требуется создание эффективных механизмов защиты от несанкционированного доступа, компьютерных атак и технических сбоев. При необходимости должны использоваться современные криптографические методы защиты информации и системы резервного хранения данных.</w:t>
      </w:r>
    </w:p>
    <w:p w14:paraId="5E20D93F" w14:textId="77777777" w:rsidR="00CB7445" w:rsidRDefault="0047338D" w:rsidP="00CB744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Ещё одним значимым риском является потенциальное влияние цифровой валюты на деятельность коммерческих банков. В случае массового перевода средств населения в цифровые кошельки центрального банка возможно сокращение депозитной базы кредитных организаций, что способно оказать влияние на их ликвидность и возможности кредитования экономики.</w:t>
      </w:r>
    </w:p>
    <w:p w14:paraId="34174843" w14:textId="77777777" w:rsidR="00CB7445" w:rsidRDefault="0047338D" w:rsidP="00CB744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Следует учитывать и правовые аспекты функционирования CBDC. Государствам необходимо определить юридический статус цифровой валюты, права и обязанности участников расчётов, порядок разрешения споров, а также механизмы противодействия легализации преступных доходов и финансированию терроризма.</w:t>
      </w:r>
    </w:p>
    <w:p w14:paraId="2C29B155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Отдельного внимания заслуживает проблема защиты персональных данных пользователей. При проектировании цифровой валюты необходимо соблюдать требования информационной безопасности и не допускать необоснованного вмешательства в частную жизнь граждан.</w:t>
      </w:r>
    </w:p>
    <w:p w14:paraId="72DAFBE3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lastRenderedPageBreak/>
        <w:t>Современные тенденции свидетельствуют о дальнейшем расширении исследований и практического применения CBDC. По мере совершенствования цифровых технологий ожидается увеличение количества пилотных проектов и развитие международного сотрудничества в области трансграничных расчётов.</w:t>
      </w:r>
    </w:p>
    <w:p w14:paraId="14CE27F9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Можно предположить, что в ближайшие годы национальные цифровые валюты будут использоваться преимущественно как дополнительная форма государственных денег наряду с наличными и безналичными средствами. Полный отказ от традиционных денежных инструментов представляется маловероятным, поскольку различные категории пользователей сохраняют потребность в существующих способах осуществления платежей.</w:t>
      </w:r>
    </w:p>
    <w:p w14:paraId="2B3D75C6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Перспективным направлением развития является интеграция CBDC с технологиями смарт-контрактов, цифровой идентификации и автоматизированного исполнения финансовых обязательств. Подобные решения могут способствовать повышению эффективности государственных закупок, социальных выплат и межбанковских расчётов.</w:t>
      </w:r>
    </w:p>
    <w:p w14:paraId="7B6C9124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Кроме того, развитие национальных цифровых валют способно оказать положительное влияние на международную торговлю. В случае создания совместимых платёжных платформ может быть достигнуто сокращение времени проведения трансграничных переводов и снижение стоимости международных расчётов.</w:t>
      </w:r>
    </w:p>
    <w:p w14:paraId="67D00385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Проведённый анализ позволяет сделать вывод о том, что национальные цифровые валюты представляют собой закономерный этап эволюции денежной системы в условиях цифровой экономики. Их внедрение должно осуществляться постепенно, с проведением комплексной оценки экономических, правовых и технологических последствий.</w:t>
      </w:r>
    </w:p>
    <w:p w14:paraId="24AAF7DF" w14:textId="77777777" w:rsidR="00F03DD8" w:rsidRDefault="0047338D" w:rsidP="00F03DD8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 xml:space="preserve">Представляется целесообразным придерживаться поэтапного подхода, при котором пилотные проекты сопровождаются постоянным мониторингом эффективности и оценкой потенциальных рисков. Особое внимание следует уделять вопросам кибербезопасности, защите персональных данных, </w:t>
      </w:r>
      <w:r w:rsidRPr="001302D0">
        <w:rPr>
          <w:rFonts w:cs="Times New Roman"/>
          <w:szCs w:val="28"/>
        </w:rPr>
        <w:lastRenderedPageBreak/>
        <w:t>устойчивости финансовой системы и сохранению конкурентной среды в банковском секторе.</w:t>
      </w:r>
    </w:p>
    <w:p w14:paraId="22D38829" w14:textId="7376DB82" w:rsidR="00FE20DC" w:rsidRDefault="0047338D" w:rsidP="00ED6DF7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Таким образом, национальные цифровые валюты могут стать важным инструментом повышения эффективности платёжных систем и развития цифровой экономики. Вместе с тем успешность их внедрения будет зависеть от качества нормативно-правового регулирования, технологической готовности инфраструктуры и уровня доверия общества к новым формам государственных денег.</w:t>
      </w:r>
    </w:p>
    <w:p w14:paraId="0C9218F5" w14:textId="77777777" w:rsidR="0042359B" w:rsidRDefault="00C72E5A" w:rsidP="00ED6DF7">
      <w:pPr>
        <w:rPr>
          <w:rFonts w:cs="Times New Roman"/>
          <w:szCs w:val="28"/>
        </w:rPr>
      </w:pPr>
      <w:r w:rsidRPr="00C72E5A">
        <w:rPr>
          <w:rFonts w:cs="Times New Roman"/>
          <w:szCs w:val="28"/>
        </w:rPr>
        <w:t>Анализ современных тенденций позволяет сделать вывод о том, что дальнейшее развитие национальных цифровых валют будет тесно связано с совершенствованием цифровой инфраструктуры, международного сотрудничества и нормативно-правового регулирования. В ближайшие годы центральным банкам необходимо уделить особое внимание обеспечению совместимости различных платёжных платформ, поскольку развитие трансграничных расчётов является одним из наиболее перспективных направлений использования CBDC.</w:t>
      </w:r>
    </w:p>
    <w:p w14:paraId="32B31E82" w14:textId="77777777" w:rsidR="0042359B" w:rsidRDefault="00C72E5A" w:rsidP="00ED6DF7">
      <w:pPr>
        <w:rPr>
          <w:rFonts w:cs="Times New Roman"/>
          <w:szCs w:val="28"/>
        </w:rPr>
      </w:pPr>
      <w:r w:rsidRPr="00C72E5A">
        <w:rPr>
          <w:rFonts w:cs="Times New Roman"/>
          <w:szCs w:val="28"/>
        </w:rPr>
        <w:t>Следует отметить, что внедрение национальных цифровых валют может оказать существенное влияние на эффективность реализации денежно-кредитной политики. Использование современных цифровых инструментов потенциально позволяет ускорить передачу мер экономического стимулирования населению и бизнесу, а также повысить прозрачность отдельных финансовых операций. Однако подобные механизмы должны применяться с соблюдением принципов законности, защиты персональных данных и недопустимости чрезмерного вмешательства в частную экономическую деятельность.</w:t>
      </w:r>
    </w:p>
    <w:p w14:paraId="671F1699" w14:textId="77777777" w:rsidR="0042359B" w:rsidRDefault="00C72E5A" w:rsidP="00ED6DF7">
      <w:pPr>
        <w:rPr>
          <w:rFonts w:cs="Times New Roman"/>
          <w:szCs w:val="28"/>
        </w:rPr>
      </w:pPr>
      <w:r w:rsidRPr="00C72E5A">
        <w:rPr>
          <w:rFonts w:cs="Times New Roman"/>
          <w:szCs w:val="28"/>
        </w:rPr>
        <w:t xml:space="preserve">При разработке архитектуры национальных цифровых валют необходимо учитывать интересы всех участников финансового рынка. Центральный банк должен обеспечить надёжность и стабильность функционирования платформы, коммерческие банки — сохранить возможность предоставления конкурентоспособных финансовых услуг, а </w:t>
      </w:r>
      <w:r w:rsidRPr="00C72E5A">
        <w:rPr>
          <w:rFonts w:cs="Times New Roman"/>
          <w:szCs w:val="28"/>
        </w:rPr>
        <w:lastRenderedPageBreak/>
        <w:t>пользователи — получить удобный и безопасный инструмент для осуществления платежей. Только при соблюдении данного баланса можно рассчитывать на успешное внедрение цифровой формы национальной валюты.</w:t>
      </w:r>
    </w:p>
    <w:p w14:paraId="71AAA1B6" w14:textId="77777777" w:rsidR="0042359B" w:rsidRDefault="00C72E5A" w:rsidP="00ED6DF7">
      <w:pPr>
        <w:rPr>
          <w:rFonts w:cs="Times New Roman"/>
          <w:szCs w:val="28"/>
        </w:rPr>
      </w:pPr>
      <w:r w:rsidRPr="00C72E5A">
        <w:rPr>
          <w:rFonts w:cs="Times New Roman"/>
          <w:szCs w:val="28"/>
        </w:rPr>
        <w:t>Отдельного внимания заслуживает применение технологий искусственного интеллекта и анализа больших данных в системах управления цифровыми валютами. Такие технологии могут использоваться для выявления подозрительных финансовых операций, предотвращения мошенничества и повышения эффективности управления платёжными процессами. Вместе с тем их использование должно сопровождаться строгим соблюдением требований законодательства в области защиты информации и прав граждан.</w:t>
      </w:r>
    </w:p>
    <w:p w14:paraId="085D5722" w14:textId="77777777" w:rsidR="0042359B" w:rsidRDefault="00C72E5A" w:rsidP="0042359B">
      <w:pPr>
        <w:rPr>
          <w:rFonts w:cs="Times New Roman"/>
          <w:szCs w:val="28"/>
        </w:rPr>
      </w:pPr>
      <w:r w:rsidRPr="00C72E5A">
        <w:rPr>
          <w:rFonts w:cs="Times New Roman"/>
          <w:szCs w:val="28"/>
        </w:rPr>
        <w:t>Кроме того, перспективным направлением является интеграция национальных цифровых валют с государственными цифровыми платформами и электронными сервисами. В этом случае могут быть реализованы автоматизированные механизмы перечисления социальных выплат, уплаты налогов, исполнения государственных контрактов и предоставления иных публичных услуг. Подобные решения способны сократить административные издержки и повысить прозрачность бюджетных процессов.</w:t>
      </w:r>
    </w:p>
    <w:p w14:paraId="43DE3040" w14:textId="7FE46FD1" w:rsidR="00ED6DF7" w:rsidRPr="00ED6DF7" w:rsidRDefault="0042359B" w:rsidP="0042359B">
      <w:pPr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="00C72E5A" w:rsidRPr="00C72E5A">
        <w:rPr>
          <w:rFonts w:cs="Times New Roman"/>
          <w:szCs w:val="28"/>
        </w:rPr>
        <w:t>а основании проведённого исследования можно сделать вывод, что национальные цифровые валюты обладают значительным потенциалом для модернизации финансовой системы и развития цифровой экономики. Однако их широкомасштабное внедрение должно осуществляться поэтапно и сопровождаться постоянной оценкой экономических, правовых и технологических рисков. Необходимо проводить дальнейшие научные исследования в области кибербезопасности, защиты конфиденциальности, международной стандартизации и влияния CBDC на макроэкономические показатели. Только комплексный подход позволит обеспечить устойчивое развитие цифровых финансовых инструментов и их эффективное использование в интересах государства, бизнеса и общества.</w:t>
      </w:r>
    </w:p>
    <w:p w14:paraId="322F4162" w14:textId="5FEBFC4C" w:rsidR="007B4608" w:rsidRDefault="00495656" w:rsidP="00040B61">
      <w:pPr>
        <w:pStyle w:val="1"/>
        <w:spacing w:after="0" w:line="360" w:lineRule="auto"/>
        <w:jc w:val="center"/>
      </w:pPr>
      <w:bookmarkStart w:id="4" w:name="_Toc163851337"/>
      <w:r w:rsidRPr="0030396B">
        <w:lastRenderedPageBreak/>
        <w:t>Заключение</w:t>
      </w:r>
      <w:bookmarkEnd w:id="4"/>
    </w:p>
    <w:p w14:paraId="279027BD" w14:textId="77777777" w:rsidR="006D1D91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В ходе выполнения учебной практики и проведения исследования по теме «Национальные цифровые валюты: сегодня и завтра» были изучены теоретические основы функционирования цифровых валют центральных банков, проанализированы современные международные тенденции их развития, а также рассмотрены потенциальные преимущества и риски внедрения таких финансовых инструментов.</w:t>
      </w:r>
    </w:p>
    <w:p w14:paraId="0531F446" w14:textId="77777777" w:rsidR="006D1D91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Проведённый анализ показал, что развитие национальных цифровых валют является закономерным этапом цифровой трансформации мировой экономики. В условиях активного распространения безналичных расчётов, электронных платёжных сервисов и финансовых технологий центральным банкам необходимо разрабатывать современные механизмы денежного обращения, способные обеспечить устойчивость национальных платёжных систем и сохранить доверие к государственным деньгам.</w:t>
      </w:r>
    </w:p>
    <w:p w14:paraId="243E35FA" w14:textId="77777777" w:rsidR="006D1D91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Исследование позволило установить, что цифровые валюты центральных банков могут способствовать повышению эффективности расчётов, снижению транзакционных издержек, развитию финансовой доступности населения и совершенствованию трансграничных платежей. Вместе с тем при их внедрении требуется учитывать возможное влияние на банковский сектор, денежно-кредитную политику, защиту персональных данных и кибербезопасность. Особое внимание следует уделять вопросам правового регулирования и технологической устойчивости соответствующей инфраструктуры.</w:t>
      </w:r>
    </w:p>
    <w:p w14:paraId="629CB922" w14:textId="77777777" w:rsidR="006D1D91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 xml:space="preserve">Анализ международного опыта свидетельствует о том, что универсальной модели создания CBDC не существует. Как правило, государства адаптируют архитектуру цифровой валюты к особенностям собственной финансовой системы и действующего законодательства. При необходимости могут применяться различные организационные и </w:t>
      </w:r>
      <w:r w:rsidRPr="001302D0">
        <w:rPr>
          <w:rFonts w:cs="Times New Roman"/>
          <w:szCs w:val="28"/>
        </w:rPr>
        <w:lastRenderedPageBreak/>
        <w:t>технологические решения, включая двухуровневые модели взаимодействия центрального банка и коммерческих финансовых организаций.</w:t>
      </w:r>
    </w:p>
    <w:p w14:paraId="5276FC42" w14:textId="77777777" w:rsidR="006D1D91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Поставленная цель исследования была достигнута, а основные задачи выполнены. Изучены современные научные подходы к пониманию национальных цифровых валют, рассмотрены международные инициативы по их внедрению и определены перспективы дальнейшего развития данного направления. Полученные результаты позволяют сделать вывод о том, что успешная реализация проектов CBDC должна сопровождаться комплексной государственной политикой, включающей совершенствование нормативно-правовой базы, развитие цифровой инфраструктуры и обеспечение высокого уровня информационной безопасности.</w:t>
      </w:r>
    </w:p>
    <w:p w14:paraId="1885DD6E" w14:textId="4EA95D8E" w:rsidR="006D1D91" w:rsidRPr="001302D0" w:rsidRDefault="006D1D91" w:rsidP="006D1D91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>Практическая значимость проведённого исследования заключается в возможности использования его результатов при дальнейшем изучении процессов цифровизации финансовой системы, разработке рекомендаций по совершенствованию механизмов государственного регулирования цифровых платежей и анализе перспектив внедрения национальных цифровых валют в различных странах.</w:t>
      </w:r>
    </w:p>
    <w:p w14:paraId="78BA2762" w14:textId="77777777" w:rsidR="006D1D91" w:rsidRPr="006D1D91" w:rsidRDefault="006D1D91" w:rsidP="006D1D91"/>
    <w:p w14:paraId="4C5162A9" w14:textId="21C92A61" w:rsidR="0020505A" w:rsidRPr="003A56E0" w:rsidRDefault="0020505A" w:rsidP="00BE7C37">
      <w:pPr>
        <w:spacing w:after="160"/>
        <w:ind w:firstLine="0"/>
        <w:rPr>
          <w:sz w:val="24"/>
          <w:szCs w:val="24"/>
        </w:rPr>
      </w:pPr>
      <w:r w:rsidRPr="00BE7C37">
        <w:rPr>
          <w:szCs w:val="28"/>
        </w:rPr>
        <w:br w:type="page"/>
      </w:r>
    </w:p>
    <w:p w14:paraId="6942D937" w14:textId="1835AF8D" w:rsidR="0017333D" w:rsidRPr="00F50E6B" w:rsidRDefault="0017333D" w:rsidP="00533DC8">
      <w:pPr>
        <w:pStyle w:val="1"/>
        <w:jc w:val="center"/>
        <w:rPr>
          <w:lang w:val="en-US"/>
        </w:rPr>
      </w:pPr>
      <w:bookmarkStart w:id="5" w:name="_Toc163851338"/>
      <w:r>
        <w:lastRenderedPageBreak/>
        <w:t>Список</w:t>
      </w:r>
      <w:r w:rsidRPr="00F50E6B">
        <w:rPr>
          <w:lang w:val="en-US"/>
        </w:rPr>
        <w:t xml:space="preserve"> </w:t>
      </w:r>
      <w:r>
        <w:t>использованн</w:t>
      </w:r>
      <w:r w:rsidR="004403A3">
        <w:t>ых</w:t>
      </w:r>
      <w:r w:rsidR="004403A3" w:rsidRPr="00F50E6B">
        <w:rPr>
          <w:lang w:val="en-US"/>
        </w:rPr>
        <w:t xml:space="preserve"> </w:t>
      </w:r>
      <w:r w:rsidR="004403A3">
        <w:t>источников</w:t>
      </w:r>
      <w:bookmarkEnd w:id="5"/>
    </w:p>
    <w:p w14:paraId="337C3594" w14:textId="77777777" w:rsidR="00F50E6B" w:rsidRPr="001302D0" w:rsidRDefault="00F50E6B" w:rsidP="00F50E6B">
      <w:pPr>
        <w:rPr>
          <w:rFonts w:cs="Times New Roman"/>
          <w:szCs w:val="28"/>
          <w:lang w:val="en-US"/>
        </w:rPr>
      </w:pPr>
      <w:r w:rsidRPr="001302D0">
        <w:rPr>
          <w:rFonts w:cs="Times New Roman"/>
          <w:szCs w:val="28"/>
          <w:lang w:val="en-US"/>
        </w:rPr>
        <w:t xml:space="preserve">1. International Monetary Fund. </w:t>
      </w:r>
      <w:hyperlink r:id="rId8" w:history="1">
        <w:r w:rsidRPr="001302D0">
          <w:rPr>
            <w:rStyle w:val="aa"/>
            <w:rFonts w:cs="Times New Roman"/>
            <w:szCs w:val="28"/>
            <w:lang w:val="en-US"/>
          </w:rPr>
          <w:t>*Central</w:t>
        </w:r>
      </w:hyperlink>
      <w:r w:rsidRPr="001302D0">
        <w:rPr>
          <w:rFonts w:cs="Times New Roman"/>
          <w:szCs w:val="28"/>
          <w:lang w:val="en-US"/>
        </w:rPr>
        <w:t xml:space="preserve"> Bank Digital Currency: Progress and Further Considerations*. Washington, DC, 2024. URL: </w:t>
      </w:r>
      <w:hyperlink r:id="rId9" w:tgtFrame="_blank" w:history="1">
        <w:r w:rsidRPr="001302D0">
          <w:rPr>
            <w:rStyle w:val="aa"/>
            <w:rFonts w:cs="Times New Roman"/>
            <w:szCs w:val="28"/>
            <w:lang w:val="en-US"/>
          </w:rPr>
          <w:t>https://www.imf.org/en/Publications/Policy-Papers/Issues/2024/11/08/Central-Bank-Digital-Currency-Progress-And-Further-Considerations-557194</w:t>
        </w:r>
      </w:hyperlink>
      <w:r w:rsidRPr="001302D0">
        <w:rPr>
          <w:rFonts w:cs="Times New Roman"/>
          <w:szCs w:val="28"/>
          <w:lang w:val="en-US"/>
        </w:rPr>
        <w:t xml:space="preserve"> </w:t>
      </w:r>
    </w:p>
    <w:p w14:paraId="3F2050EC" w14:textId="1778C6E3" w:rsidR="00F50E6B" w:rsidRPr="001302D0" w:rsidRDefault="00F50E6B" w:rsidP="00F50E6B">
      <w:pPr>
        <w:rPr>
          <w:rFonts w:cs="Times New Roman"/>
          <w:szCs w:val="28"/>
          <w:lang w:val="en-US"/>
        </w:rPr>
      </w:pPr>
      <w:r w:rsidRPr="001302D0">
        <w:rPr>
          <w:rFonts w:cs="Times New Roman"/>
          <w:szCs w:val="28"/>
          <w:lang w:val="en-US"/>
        </w:rPr>
        <w:t xml:space="preserve">2. International Monetary Fund. </w:t>
      </w:r>
      <w:hyperlink r:id="rId10" w:history="1">
        <w:r w:rsidRPr="001302D0">
          <w:rPr>
            <w:rStyle w:val="aa"/>
            <w:rFonts w:cs="Times New Roman"/>
            <w:szCs w:val="28"/>
            <w:lang w:val="en-US"/>
          </w:rPr>
          <w:t>*Central</w:t>
        </w:r>
      </w:hyperlink>
      <w:r w:rsidRPr="001302D0">
        <w:rPr>
          <w:rFonts w:cs="Times New Roman"/>
          <w:szCs w:val="28"/>
          <w:lang w:val="en-US"/>
        </w:rPr>
        <w:t xml:space="preserve"> Bank Digital Currencies in the Middle East and Central Asia*. Washington, DC, 2024. URL: </w:t>
      </w:r>
      <w:hyperlink r:id="rId11" w:tgtFrame="_blank" w:history="1">
        <w:r w:rsidRPr="001302D0">
          <w:rPr>
            <w:rStyle w:val="aa"/>
            <w:rFonts w:cs="Times New Roman"/>
            <w:szCs w:val="28"/>
            <w:lang w:val="en-US"/>
          </w:rPr>
          <w:t>https://www.imf.org/en/publications/departmental-papers-policy-papers/issues/2024/04/26/central-bank-digital-currencies-in-the-middle-east-and-central-asia-543566</w:t>
        </w:r>
      </w:hyperlink>
      <w:r w:rsidRPr="001302D0">
        <w:rPr>
          <w:rFonts w:cs="Times New Roman"/>
          <w:szCs w:val="28"/>
          <w:lang w:val="en-US"/>
        </w:rPr>
        <w:t xml:space="preserve"> </w:t>
      </w:r>
    </w:p>
    <w:p w14:paraId="4B89E554" w14:textId="77777777" w:rsidR="00F50E6B" w:rsidRPr="00F50E6B" w:rsidRDefault="00F50E6B" w:rsidP="00F50E6B">
      <w:pPr>
        <w:rPr>
          <w:rFonts w:cs="Times New Roman"/>
          <w:szCs w:val="28"/>
          <w:lang w:val="en-US"/>
        </w:rPr>
      </w:pPr>
      <w:r w:rsidRPr="001302D0">
        <w:rPr>
          <w:rFonts w:cs="Times New Roman"/>
          <w:szCs w:val="28"/>
          <w:lang w:val="en-US"/>
        </w:rPr>
        <w:t xml:space="preserve">3. International Monetary Fund. </w:t>
      </w:r>
      <w:hyperlink r:id="rId12" w:history="1">
        <w:r w:rsidRPr="001302D0">
          <w:rPr>
            <w:rStyle w:val="aa"/>
            <w:rFonts w:cs="Times New Roman"/>
            <w:szCs w:val="28"/>
            <w:lang w:val="en-US"/>
          </w:rPr>
          <w:t>*Central</w:t>
        </w:r>
      </w:hyperlink>
      <w:r w:rsidRPr="001302D0">
        <w:rPr>
          <w:rFonts w:cs="Times New Roman"/>
          <w:szCs w:val="28"/>
          <w:lang w:val="en-US"/>
        </w:rPr>
        <w:t xml:space="preserve"> Bank Digital Currencies and Financial Stability: Balance Sheet Analysis and Policy Choices*. IMF Working Paper, 2024. URL: </w:t>
      </w:r>
      <w:hyperlink r:id="rId13" w:tgtFrame="_blank" w:history="1">
        <w:r w:rsidRPr="001302D0">
          <w:rPr>
            <w:rStyle w:val="aa"/>
            <w:rFonts w:cs="Times New Roman"/>
            <w:szCs w:val="28"/>
            <w:lang w:val="en-US"/>
          </w:rPr>
          <w:t>https://www.imf.org/en/Publications/WP/Issues/2024/10/11/Central-Bank-Digital-Currencies-and-Financial-Stability-Balance-Sheet-Analysis-and-Policy-556246</w:t>
        </w:r>
      </w:hyperlink>
      <w:r w:rsidRPr="001302D0">
        <w:rPr>
          <w:rFonts w:cs="Times New Roman"/>
          <w:szCs w:val="28"/>
          <w:lang w:val="en-US"/>
        </w:rPr>
        <w:t xml:space="preserve"> </w:t>
      </w:r>
    </w:p>
    <w:p w14:paraId="34711892" w14:textId="77777777" w:rsidR="00F50E6B" w:rsidRPr="00F50E6B" w:rsidRDefault="00F50E6B" w:rsidP="00F50E6B">
      <w:pPr>
        <w:rPr>
          <w:rFonts w:cs="Times New Roman"/>
          <w:szCs w:val="28"/>
          <w:lang w:val="en-US"/>
        </w:rPr>
      </w:pPr>
      <w:r w:rsidRPr="001302D0">
        <w:rPr>
          <w:rFonts w:cs="Times New Roman"/>
          <w:szCs w:val="28"/>
          <w:lang w:val="en-US"/>
        </w:rPr>
        <w:t xml:space="preserve">4. Goodell G., Al-Nakib H. D., Aste T. </w:t>
      </w:r>
      <w:hyperlink r:id="rId14" w:history="1">
        <w:r w:rsidRPr="001302D0">
          <w:rPr>
            <w:rStyle w:val="aa"/>
            <w:rFonts w:cs="Times New Roman"/>
            <w:szCs w:val="28"/>
            <w:lang w:val="en-US"/>
          </w:rPr>
          <w:t>*Retail</w:t>
        </w:r>
      </w:hyperlink>
      <w:r w:rsidRPr="001302D0">
        <w:rPr>
          <w:rFonts w:cs="Times New Roman"/>
          <w:szCs w:val="28"/>
          <w:lang w:val="en-US"/>
        </w:rPr>
        <w:t xml:space="preserve"> Central Bank Digital Currency: Motivations, Opportunities, and Mistakes*. 2024. URL: </w:t>
      </w:r>
      <w:hyperlink r:id="rId15" w:tgtFrame="_blank" w:history="1">
        <w:r w:rsidRPr="001302D0">
          <w:rPr>
            <w:rStyle w:val="aa"/>
            <w:rFonts w:cs="Times New Roman"/>
            <w:szCs w:val="28"/>
            <w:lang w:val="en-US"/>
          </w:rPr>
          <w:t>https://arxiv.org/abs/2403.07070</w:t>
        </w:r>
      </w:hyperlink>
      <w:r w:rsidRPr="001302D0">
        <w:rPr>
          <w:rFonts w:cs="Times New Roman"/>
          <w:szCs w:val="28"/>
          <w:lang w:val="en-US"/>
        </w:rPr>
        <w:t xml:space="preserve"> </w:t>
      </w:r>
    </w:p>
    <w:p w14:paraId="1CB6793D" w14:textId="071C4EBB" w:rsidR="00DC4E75" w:rsidRPr="00F50E6B" w:rsidRDefault="00DC4E75" w:rsidP="00DC4E75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 xml:space="preserve">5. </w:t>
      </w:r>
      <w:r w:rsidRPr="001302D0">
        <w:rPr>
          <w:rFonts w:cs="Times New Roman"/>
          <w:szCs w:val="28"/>
        </w:rPr>
        <w:t xml:space="preserve">Банк России. *Основные направления развития финансовых технологий на период 2025–2027 годов*. </w:t>
      </w:r>
      <w:r w:rsidRPr="00F50E6B">
        <w:rPr>
          <w:rFonts w:cs="Times New Roman"/>
          <w:szCs w:val="28"/>
          <w:lang w:val="en-US"/>
        </w:rPr>
        <w:t xml:space="preserve">URL: </w:t>
      </w:r>
      <w:hyperlink r:id="rId16" w:tgtFrame="_blank" w:history="1">
        <w:r w:rsidRPr="00F50E6B">
          <w:rPr>
            <w:rStyle w:val="aa"/>
            <w:rFonts w:cs="Times New Roman"/>
            <w:szCs w:val="28"/>
            <w:lang w:val="en-US"/>
          </w:rPr>
          <w:t>https://www.cbr.ru/fintech/</w:t>
        </w:r>
      </w:hyperlink>
      <w:r w:rsidRPr="00F50E6B">
        <w:rPr>
          <w:rFonts w:cs="Times New Roman"/>
          <w:szCs w:val="28"/>
          <w:lang w:val="en-US"/>
        </w:rPr>
        <w:t xml:space="preserve"> </w:t>
      </w:r>
    </w:p>
    <w:p w14:paraId="1F55CB24" w14:textId="08887114" w:rsidR="00DC4E75" w:rsidRPr="001302D0" w:rsidRDefault="00DC4E75" w:rsidP="00DC4E75">
      <w:pPr>
        <w:rPr>
          <w:rFonts w:cs="Times New Roman"/>
          <w:szCs w:val="28"/>
        </w:rPr>
      </w:pPr>
      <w:r w:rsidRPr="00DD3FCB">
        <w:rPr>
          <w:rFonts w:cs="Times New Roman"/>
          <w:szCs w:val="28"/>
          <w:lang w:val="en-US"/>
        </w:rPr>
        <w:t>6</w:t>
      </w:r>
      <w:r w:rsidRPr="00F50E6B">
        <w:rPr>
          <w:rFonts w:cs="Times New Roman"/>
          <w:szCs w:val="28"/>
          <w:lang w:val="en-US"/>
        </w:rPr>
        <w:t xml:space="preserve">. </w:t>
      </w:r>
      <w:r w:rsidRPr="001302D0">
        <w:rPr>
          <w:rFonts w:cs="Times New Roman"/>
          <w:szCs w:val="28"/>
        </w:rPr>
        <w:t>Банк</w:t>
      </w:r>
      <w:r w:rsidRPr="00F50E6B">
        <w:rPr>
          <w:rFonts w:cs="Times New Roman"/>
          <w:szCs w:val="28"/>
          <w:lang w:val="en-US"/>
        </w:rPr>
        <w:t xml:space="preserve"> </w:t>
      </w:r>
      <w:r w:rsidRPr="001302D0">
        <w:rPr>
          <w:rFonts w:cs="Times New Roman"/>
          <w:szCs w:val="28"/>
        </w:rPr>
        <w:t>международных</w:t>
      </w:r>
      <w:r w:rsidRPr="00F50E6B">
        <w:rPr>
          <w:rFonts w:cs="Times New Roman"/>
          <w:szCs w:val="28"/>
          <w:lang w:val="en-US"/>
        </w:rPr>
        <w:t xml:space="preserve"> </w:t>
      </w:r>
      <w:r w:rsidRPr="001302D0">
        <w:rPr>
          <w:rFonts w:cs="Times New Roman"/>
          <w:szCs w:val="28"/>
        </w:rPr>
        <w:t>расчётов</w:t>
      </w:r>
      <w:r w:rsidRPr="00F50E6B">
        <w:rPr>
          <w:rFonts w:cs="Times New Roman"/>
          <w:szCs w:val="28"/>
          <w:lang w:val="en-US"/>
        </w:rPr>
        <w:t xml:space="preserve"> (Bank for International Settlements). </w:t>
      </w:r>
      <w:r w:rsidRPr="001302D0">
        <w:rPr>
          <w:rFonts w:cs="Times New Roman"/>
          <w:szCs w:val="28"/>
        </w:rPr>
        <w:t xml:space="preserve">Публикации по цифровым валютам центральных банков (CBDC). URL: </w:t>
      </w:r>
      <w:hyperlink r:id="rId17" w:tgtFrame="_blank" w:history="1">
        <w:r w:rsidRPr="001302D0">
          <w:rPr>
            <w:rStyle w:val="aa"/>
            <w:rFonts w:cs="Times New Roman"/>
            <w:szCs w:val="28"/>
          </w:rPr>
          <w:t>https://www.bis.org/topics/cbdc.htm</w:t>
        </w:r>
      </w:hyperlink>
      <w:r w:rsidRPr="001302D0">
        <w:rPr>
          <w:rFonts w:cs="Times New Roman"/>
          <w:szCs w:val="28"/>
        </w:rPr>
        <w:t xml:space="preserve"> </w:t>
      </w:r>
    </w:p>
    <w:p w14:paraId="3EF4E770" w14:textId="46C988B4" w:rsidR="00F50E6B" w:rsidRPr="001302D0" w:rsidRDefault="00F50E6B" w:rsidP="00F50E6B">
      <w:pPr>
        <w:rPr>
          <w:rFonts w:cs="Times New Roman"/>
          <w:szCs w:val="28"/>
        </w:rPr>
      </w:pPr>
      <w:r w:rsidRPr="001302D0">
        <w:rPr>
          <w:rFonts w:cs="Times New Roman"/>
          <w:szCs w:val="28"/>
          <w:lang w:val="en-US"/>
        </w:rPr>
        <w:t xml:space="preserve">7. Louvieris P., Ioannou G., White G. </w:t>
      </w:r>
      <w:hyperlink r:id="rId18" w:history="1">
        <w:r w:rsidRPr="001302D0">
          <w:rPr>
            <w:rStyle w:val="aa"/>
            <w:rFonts w:cs="Times New Roman"/>
            <w:szCs w:val="28"/>
            <w:lang w:val="en-US"/>
          </w:rPr>
          <w:t>*Making</w:t>
        </w:r>
      </w:hyperlink>
      <w:r w:rsidRPr="001302D0">
        <w:rPr>
          <w:rFonts w:cs="Times New Roman"/>
          <w:szCs w:val="28"/>
          <w:lang w:val="en-US"/>
        </w:rPr>
        <w:t xml:space="preserve"> Tax Smart: Feasibility of Distributed Ledger Technology for Building Tax Compliance Functionality to Central Bank Digital Currency*. </w:t>
      </w:r>
      <w:r w:rsidRPr="00F50E6B">
        <w:rPr>
          <w:rFonts w:cs="Times New Roman"/>
          <w:szCs w:val="28"/>
        </w:rPr>
        <w:t xml:space="preserve">2024. </w:t>
      </w:r>
      <w:r w:rsidRPr="001302D0">
        <w:rPr>
          <w:rFonts w:cs="Times New Roman"/>
          <w:szCs w:val="28"/>
        </w:rPr>
        <w:t xml:space="preserve">URL: </w:t>
      </w:r>
      <w:hyperlink r:id="rId19" w:tgtFrame="_blank" w:history="1">
        <w:r w:rsidRPr="001302D0">
          <w:rPr>
            <w:rStyle w:val="aa"/>
            <w:rFonts w:cs="Times New Roman"/>
            <w:szCs w:val="28"/>
          </w:rPr>
          <w:t>https://arxiv.org/abs/2406.17512</w:t>
        </w:r>
      </w:hyperlink>
      <w:r w:rsidRPr="001302D0">
        <w:rPr>
          <w:rFonts w:cs="Times New Roman"/>
          <w:szCs w:val="28"/>
        </w:rPr>
        <w:t xml:space="preserve"> </w:t>
      </w:r>
    </w:p>
    <w:p w14:paraId="6FE781DF" w14:textId="16497FBF" w:rsidR="003A347A" w:rsidRPr="00B51672" w:rsidRDefault="00F50E6B" w:rsidP="00DC4E75">
      <w:pPr>
        <w:rPr>
          <w:rFonts w:cs="Times New Roman"/>
          <w:szCs w:val="28"/>
        </w:rPr>
      </w:pPr>
      <w:r w:rsidRPr="001302D0">
        <w:rPr>
          <w:rFonts w:cs="Times New Roman"/>
          <w:szCs w:val="28"/>
        </w:rPr>
        <w:t xml:space="preserve">8. Банк России. *Цифровой рубль*. Официальный информационный раздел. URL: </w:t>
      </w:r>
      <w:hyperlink r:id="rId20" w:tgtFrame="_blank" w:history="1">
        <w:r w:rsidRPr="001302D0">
          <w:rPr>
            <w:rStyle w:val="aa"/>
            <w:rFonts w:cs="Times New Roman"/>
            <w:szCs w:val="28"/>
          </w:rPr>
          <w:t>https://www.cbr.ru/fintech/dr/</w:t>
        </w:r>
      </w:hyperlink>
      <w:r w:rsidRPr="001302D0">
        <w:rPr>
          <w:rFonts w:cs="Times New Roman"/>
          <w:szCs w:val="28"/>
        </w:rPr>
        <w:t xml:space="preserve"> </w:t>
      </w:r>
    </w:p>
    <w:p w14:paraId="4808D4A8" w14:textId="77777777" w:rsidR="008A49B2" w:rsidRDefault="007F789F" w:rsidP="008A49B2">
      <w:pPr>
        <w:pStyle w:val="a7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E6B7D74" wp14:editId="4CB87CAB">
                <wp:extent cx="304800" cy="304800"/>
                <wp:effectExtent l="0" t="0" r="0" b="0"/>
                <wp:docPr id="1" name="AutoShape 3" descr="C:\Users\Serega\Desktop\%D0%B4%D0%B8%D0%BF%D0%BB%D0%BE%D0%BC %D1%81%D0%BE%D1%84%D1%8C%D1%8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8F2E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qw7KrtAgAAI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8A49B2">
        <w:rPr>
          <w:noProof/>
        </w:rPr>
        <w:drawing>
          <wp:inline distT="0" distB="0" distL="0" distR="0" wp14:anchorId="5C188166" wp14:editId="6838CC56">
            <wp:extent cx="5438775" cy="7859384"/>
            <wp:effectExtent l="0" t="0" r="0" b="889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13" cy="78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D2E7" w14:textId="15D3094D" w:rsidR="006B7604" w:rsidRPr="00917B66" w:rsidRDefault="006B7604">
      <w:pPr>
        <w:spacing w:after="160" w:line="259" w:lineRule="auto"/>
        <w:ind w:firstLine="0"/>
        <w:jc w:val="left"/>
        <w:rPr>
          <w:szCs w:val="28"/>
        </w:rPr>
      </w:pPr>
    </w:p>
    <w:sectPr w:rsidR="006B7604" w:rsidRPr="00917B66" w:rsidSect="00917B66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4183" w14:textId="77777777" w:rsidR="00111BBF" w:rsidRDefault="00111BBF" w:rsidP="00ED3D54">
      <w:pPr>
        <w:spacing w:line="240" w:lineRule="auto"/>
      </w:pPr>
      <w:r>
        <w:separator/>
      </w:r>
    </w:p>
  </w:endnote>
  <w:endnote w:type="continuationSeparator" w:id="0">
    <w:p w14:paraId="2794A66A" w14:textId="77777777" w:rsidR="00111BBF" w:rsidRDefault="00111BBF" w:rsidP="00ED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E8E06" w14:textId="77777777" w:rsidR="00111BBF" w:rsidRDefault="00111BBF" w:rsidP="00ED3D54">
      <w:pPr>
        <w:spacing w:line="240" w:lineRule="auto"/>
      </w:pPr>
      <w:r>
        <w:separator/>
      </w:r>
    </w:p>
  </w:footnote>
  <w:footnote w:type="continuationSeparator" w:id="0">
    <w:p w14:paraId="1FD00567" w14:textId="77777777" w:rsidR="00111BBF" w:rsidRDefault="00111BBF" w:rsidP="00ED3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0992005"/>
      <w:docPartObj>
        <w:docPartGallery w:val="Page Numbers (Top of Page)"/>
        <w:docPartUnique/>
      </w:docPartObj>
    </w:sdtPr>
    <w:sdtContent>
      <w:p w14:paraId="30D9EB7C" w14:textId="4462F3F0" w:rsidR="002068E5" w:rsidRDefault="002068E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89F">
          <w:rPr>
            <w:noProof/>
          </w:rPr>
          <w:t>29</w:t>
        </w:r>
        <w:r>
          <w:fldChar w:fldCharType="end"/>
        </w:r>
      </w:p>
    </w:sdtContent>
  </w:sdt>
  <w:p w14:paraId="332BB024" w14:textId="77777777" w:rsidR="002068E5" w:rsidRDefault="002068E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E668E640"/>
    <w:lvl w:ilvl="0">
      <w:start w:val="1"/>
      <w:numFmt w:val="decimal"/>
      <w:lvlText w:val="%1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D5B9A"/>
    <w:multiLevelType w:val="hybridMultilevel"/>
    <w:tmpl w:val="D5BE6D4A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28358F"/>
    <w:multiLevelType w:val="hybridMultilevel"/>
    <w:tmpl w:val="E6F00D7C"/>
    <w:lvl w:ilvl="0" w:tplc="BB92730C">
      <w:start w:val="1"/>
      <w:numFmt w:val="decimal"/>
      <w:lvlText w:val="%1."/>
      <w:lvlJc w:val="left"/>
      <w:pPr>
        <w:ind w:left="563" w:hanging="240"/>
        <w:jc w:val="right"/>
      </w:pPr>
      <w:rPr>
        <w:rFonts w:ascii="Times New Roman" w:eastAsia="Times New Roman" w:hAnsi="Times New Roman" w:cs="Times New Roman" w:hint="default"/>
        <w:spacing w:val="-3"/>
        <w:w w:val="93"/>
        <w:sz w:val="20"/>
        <w:szCs w:val="20"/>
        <w:lang w:val="ru-RU" w:eastAsia="en-US" w:bidi="ar-SA"/>
      </w:rPr>
    </w:lvl>
    <w:lvl w:ilvl="1" w:tplc="FF528E68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963C1E50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2E98092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4" w:tplc="2EF86EF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92D09D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6" w:tplc="947E50CC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7" w:tplc="0900BFB6">
      <w:numFmt w:val="bullet"/>
      <w:lvlText w:val="•"/>
      <w:lvlJc w:val="left"/>
      <w:pPr>
        <w:ind w:left="6804" w:hanging="240"/>
      </w:pPr>
      <w:rPr>
        <w:rFonts w:hint="default"/>
        <w:lang w:val="ru-RU" w:eastAsia="en-US" w:bidi="ar-SA"/>
      </w:rPr>
    </w:lvl>
    <w:lvl w:ilvl="8" w:tplc="2A4C0A5C">
      <w:numFmt w:val="bullet"/>
      <w:lvlText w:val="•"/>
      <w:lvlJc w:val="left"/>
      <w:pPr>
        <w:ind w:left="769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D768AF"/>
    <w:multiLevelType w:val="hybridMultilevel"/>
    <w:tmpl w:val="E856A7CE"/>
    <w:lvl w:ilvl="0" w:tplc="7D3282C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A06AC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C0397"/>
    <w:multiLevelType w:val="hybridMultilevel"/>
    <w:tmpl w:val="8884AC8C"/>
    <w:lvl w:ilvl="0" w:tplc="C45472AA">
      <w:start w:val="2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E101A"/>
    <w:multiLevelType w:val="hybridMultilevel"/>
    <w:tmpl w:val="EE7EE900"/>
    <w:lvl w:ilvl="0" w:tplc="3FEE16D8">
      <w:start w:val="1"/>
      <w:numFmt w:val="decimal"/>
      <w:lvlText w:val="%1."/>
      <w:lvlJc w:val="left"/>
      <w:pPr>
        <w:ind w:left="781" w:hanging="139"/>
      </w:pPr>
      <w:rPr>
        <w:rFonts w:ascii="Times New Roman" w:eastAsia="Times New Roman" w:hAnsi="Times New Roman" w:cs="Times New Roman" w:hint="default"/>
        <w:spacing w:val="-3"/>
        <w:w w:val="93"/>
        <w:sz w:val="18"/>
        <w:szCs w:val="18"/>
        <w:lang w:val="ru-RU" w:eastAsia="en-US" w:bidi="ar-SA"/>
      </w:rPr>
    </w:lvl>
    <w:lvl w:ilvl="1" w:tplc="A922EC9E">
      <w:numFmt w:val="bullet"/>
      <w:lvlText w:val="•"/>
      <w:lvlJc w:val="left"/>
      <w:pPr>
        <w:ind w:left="1650" w:hanging="139"/>
      </w:pPr>
      <w:rPr>
        <w:rFonts w:hint="default"/>
        <w:lang w:val="ru-RU" w:eastAsia="en-US" w:bidi="ar-SA"/>
      </w:rPr>
    </w:lvl>
    <w:lvl w:ilvl="2" w:tplc="EE5007B0">
      <w:numFmt w:val="bullet"/>
      <w:lvlText w:val="•"/>
      <w:lvlJc w:val="left"/>
      <w:pPr>
        <w:ind w:left="2520" w:hanging="139"/>
      </w:pPr>
      <w:rPr>
        <w:rFonts w:hint="default"/>
        <w:lang w:val="ru-RU" w:eastAsia="en-US" w:bidi="ar-SA"/>
      </w:rPr>
    </w:lvl>
    <w:lvl w:ilvl="3" w:tplc="5C36DD5C">
      <w:numFmt w:val="bullet"/>
      <w:lvlText w:val="•"/>
      <w:lvlJc w:val="left"/>
      <w:pPr>
        <w:ind w:left="3390" w:hanging="139"/>
      </w:pPr>
      <w:rPr>
        <w:rFonts w:hint="default"/>
        <w:lang w:val="ru-RU" w:eastAsia="en-US" w:bidi="ar-SA"/>
      </w:rPr>
    </w:lvl>
    <w:lvl w:ilvl="4" w:tplc="C4FEC308">
      <w:numFmt w:val="bullet"/>
      <w:lvlText w:val="•"/>
      <w:lvlJc w:val="left"/>
      <w:pPr>
        <w:ind w:left="4260" w:hanging="139"/>
      </w:pPr>
      <w:rPr>
        <w:rFonts w:hint="default"/>
        <w:lang w:val="ru-RU" w:eastAsia="en-US" w:bidi="ar-SA"/>
      </w:rPr>
    </w:lvl>
    <w:lvl w:ilvl="5" w:tplc="C03691D8">
      <w:numFmt w:val="bullet"/>
      <w:lvlText w:val="•"/>
      <w:lvlJc w:val="left"/>
      <w:pPr>
        <w:ind w:left="5130" w:hanging="139"/>
      </w:pPr>
      <w:rPr>
        <w:rFonts w:hint="default"/>
        <w:lang w:val="ru-RU" w:eastAsia="en-US" w:bidi="ar-SA"/>
      </w:rPr>
    </w:lvl>
    <w:lvl w:ilvl="6" w:tplc="AF74A69C">
      <w:numFmt w:val="bullet"/>
      <w:lvlText w:val="•"/>
      <w:lvlJc w:val="left"/>
      <w:pPr>
        <w:ind w:left="6000" w:hanging="139"/>
      </w:pPr>
      <w:rPr>
        <w:rFonts w:hint="default"/>
        <w:lang w:val="ru-RU" w:eastAsia="en-US" w:bidi="ar-SA"/>
      </w:rPr>
    </w:lvl>
    <w:lvl w:ilvl="7" w:tplc="251A9DB4">
      <w:numFmt w:val="bullet"/>
      <w:lvlText w:val="•"/>
      <w:lvlJc w:val="left"/>
      <w:pPr>
        <w:ind w:left="6870" w:hanging="139"/>
      </w:pPr>
      <w:rPr>
        <w:rFonts w:hint="default"/>
        <w:lang w:val="ru-RU" w:eastAsia="en-US" w:bidi="ar-SA"/>
      </w:rPr>
    </w:lvl>
    <w:lvl w:ilvl="8" w:tplc="98E05862">
      <w:numFmt w:val="bullet"/>
      <w:lvlText w:val="•"/>
      <w:lvlJc w:val="left"/>
      <w:pPr>
        <w:ind w:left="7740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205D49B8"/>
    <w:multiLevelType w:val="hybridMultilevel"/>
    <w:tmpl w:val="C044856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690D97"/>
    <w:multiLevelType w:val="hybridMultilevel"/>
    <w:tmpl w:val="3280A92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584A11"/>
    <w:multiLevelType w:val="hybridMultilevel"/>
    <w:tmpl w:val="4364A1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5C7FD0"/>
    <w:multiLevelType w:val="hybridMultilevel"/>
    <w:tmpl w:val="54188B2C"/>
    <w:lvl w:ilvl="0" w:tplc="63F07296">
      <w:start w:val="1"/>
      <w:numFmt w:val="decimal"/>
      <w:lvlText w:val="%1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DB538D"/>
    <w:multiLevelType w:val="hybridMultilevel"/>
    <w:tmpl w:val="40C095E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B31158"/>
    <w:multiLevelType w:val="hybridMultilevel"/>
    <w:tmpl w:val="E372103C"/>
    <w:lvl w:ilvl="0" w:tplc="B4548466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42FC70B6"/>
    <w:multiLevelType w:val="hybridMultilevel"/>
    <w:tmpl w:val="8B5A8C6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4E45E0"/>
    <w:multiLevelType w:val="hybridMultilevel"/>
    <w:tmpl w:val="E62CCF26"/>
    <w:lvl w:ilvl="0" w:tplc="E1948BB4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E49D5"/>
    <w:multiLevelType w:val="hybridMultilevel"/>
    <w:tmpl w:val="34B2F458"/>
    <w:lvl w:ilvl="0" w:tplc="B7F6F1FE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130A6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24FDC"/>
    <w:multiLevelType w:val="hybridMultilevel"/>
    <w:tmpl w:val="04B4D260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1696EEC"/>
    <w:multiLevelType w:val="hybridMultilevel"/>
    <w:tmpl w:val="43186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955F18"/>
    <w:multiLevelType w:val="hybridMultilevel"/>
    <w:tmpl w:val="EB825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7A06483"/>
    <w:multiLevelType w:val="multilevel"/>
    <w:tmpl w:val="94645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8B72048"/>
    <w:multiLevelType w:val="hybridMultilevel"/>
    <w:tmpl w:val="1EECA0E4"/>
    <w:lvl w:ilvl="0" w:tplc="DCA09DB8">
      <w:start w:val="2"/>
      <w:numFmt w:val="decimal"/>
      <w:lvlText w:val="%1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4A194B"/>
    <w:multiLevelType w:val="hybridMultilevel"/>
    <w:tmpl w:val="14DCC4F4"/>
    <w:lvl w:ilvl="0" w:tplc="5C7EB1CA">
      <w:numFmt w:val="bullet"/>
      <w:lvlText w:val="-"/>
      <w:lvlJc w:val="left"/>
      <w:pPr>
        <w:ind w:left="109" w:hanging="109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491AC0C4">
      <w:numFmt w:val="bullet"/>
      <w:lvlText w:val="•"/>
      <w:lvlJc w:val="left"/>
      <w:pPr>
        <w:ind w:left="1038" w:hanging="109"/>
      </w:pPr>
      <w:rPr>
        <w:rFonts w:hint="default"/>
        <w:lang w:val="ru-RU" w:eastAsia="en-US" w:bidi="ar-SA"/>
      </w:rPr>
    </w:lvl>
    <w:lvl w:ilvl="2" w:tplc="BB1CC5F8">
      <w:numFmt w:val="bullet"/>
      <w:lvlText w:val="•"/>
      <w:lvlJc w:val="left"/>
      <w:pPr>
        <w:ind w:left="1976" w:hanging="109"/>
      </w:pPr>
      <w:rPr>
        <w:rFonts w:hint="default"/>
        <w:lang w:val="ru-RU" w:eastAsia="en-US" w:bidi="ar-SA"/>
      </w:rPr>
    </w:lvl>
    <w:lvl w:ilvl="3" w:tplc="385EB820">
      <w:numFmt w:val="bullet"/>
      <w:lvlText w:val="•"/>
      <w:lvlJc w:val="left"/>
      <w:pPr>
        <w:ind w:left="2914" w:hanging="109"/>
      </w:pPr>
      <w:rPr>
        <w:rFonts w:hint="default"/>
        <w:lang w:val="ru-RU" w:eastAsia="en-US" w:bidi="ar-SA"/>
      </w:rPr>
    </w:lvl>
    <w:lvl w:ilvl="4" w:tplc="412A6974">
      <w:numFmt w:val="bullet"/>
      <w:lvlText w:val="•"/>
      <w:lvlJc w:val="left"/>
      <w:pPr>
        <w:ind w:left="3852" w:hanging="109"/>
      </w:pPr>
      <w:rPr>
        <w:rFonts w:hint="default"/>
        <w:lang w:val="ru-RU" w:eastAsia="en-US" w:bidi="ar-SA"/>
      </w:rPr>
    </w:lvl>
    <w:lvl w:ilvl="5" w:tplc="E340D37C">
      <w:numFmt w:val="bullet"/>
      <w:lvlText w:val="•"/>
      <w:lvlJc w:val="left"/>
      <w:pPr>
        <w:ind w:left="4790" w:hanging="109"/>
      </w:pPr>
      <w:rPr>
        <w:rFonts w:hint="default"/>
        <w:lang w:val="ru-RU" w:eastAsia="en-US" w:bidi="ar-SA"/>
      </w:rPr>
    </w:lvl>
    <w:lvl w:ilvl="6" w:tplc="B92A10F0">
      <w:numFmt w:val="bullet"/>
      <w:lvlText w:val="•"/>
      <w:lvlJc w:val="left"/>
      <w:pPr>
        <w:ind w:left="5728" w:hanging="109"/>
      </w:pPr>
      <w:rPr>
        <w:rFonts w:hint="default"/>
        <w:lang w:val="ru-RU" w:eastAsia="en-US" w:bidi="ar-SA"/>
      </w:rPr>
    </w:lvl>
    <w:lvl w:ilvl="7" w:tplc="129AFFAA">
      <w:numFmt w:val="bullet"/>
      <w:lvlText w:val="•"/>
      <w:lvlJc w:val="left"/>
      <w:pPr>
        <w:ind w:left="6666" w:hanging="109"/>
      </w:pPr>
      <w:rPr>
        <w:rFonts w:hint="default"/>
        <w:lang w:val="ru-RU" w:eastAsia="en-US" w:bidi="ar-SA"/>
      </w:rPr>
    </w:lvl>
    <w:lvl w:ilvl="8" w:tplc="E208F8C6">
      <w:numFmt w:val="bullet"/>
      <w:lvlText w:val="•"/>
      <w:lvlJc w:val="left"/>
      <w:pPr>
        <w:ind w:left="7604" w:hanging="109"/>
      </w:pPr>
      <w:rPr>
        <w:rFonts w:hint="default"/>
        <w:lang w:val="ru-RU" w:eastAsia="en-US" w:bidi="ar-SA"/>
      </w:rPr>
    </w:lvl>
  </w:abstractNum>
  <w:abstractNum w:abstractNumId="23" w15:restartNumberingAfterBreak="0">
    <w:nsid w:val="5D9A2862"/>
    <w:multiLevelType w:val="hybridMultilevel"/>
    <w:tmpl w:val="AB882DDE"/>
    <w:lvl w:ilvl="0" w:tplc="D8EC4D5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14449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31E4D9D"/>
    <w:multiLevelType w:val="hybridMultilevel"/>
    <w:tmpl w:val="9D78AA74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7A4EF5"/>
    <w:multiLevelType w:val="hybridMultilevel"/>
    <w:tmpl w:val="8B084EA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091C3C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F467209"/>
    <w:multiLevelType w:val="hybridMultilevel"/>
    <w:tmpl w:val="1EB68AF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87105203">
    <w:abstractNumId w:val="27"/>
  </w:num>
  <w:num w:numId="2" w16cid:durableId="492916076">
    <w:abstractNumId w:val="22"/>
  </w:num>
  <w:num w:numId="3" w16cid:durableId="1690178716">
    <w:abstractNumId w:val="24"/>
  </w:num>
  <w:num w:numId="4" w16cid:durableId="1279725553">
    <w:abstractNumId w:val="20"/>
  </w:num>
  <w:num w:numId="5" w16cid:durableId="909191190">
    <w:abstractNumId w:val="12"/>
  </w:num>
  <w:num w:numId="6" w16cid:durableId="1733578458">
    <w:abstractNumId w:val="2"/>
  </w:num>
  <w:num w:numId="7" w16cid:durableId="1296716211">
    <w:abstractNumId w:val="23"/>
  </w:num>
  <w:num w:numId="8" w16cid:durableId="1235625652">
    <w:abstractNumId w:val="6"/>
  </w:num>
  <w:num w:numId="9" w16cid:durableId="135611658">
    <w:abstractNumId w:val="3"/>
  </w:num>
  <w:num w:numId="10" w16cid:durableId="254022735">
    <w:abstractNumId w:val="15"/>
  </w:num>
  <w:num w:numId="11" w16cid:durableId="338391064">
    <w:abstractNumId w:val="10"/>
  </w:num>
  <w:num w:numId="12" w16cid:durableId="1433085406">
    <w:abstractNumId w:val="0"/>
  </w:num>
  <w:num w:numId="13" w16cid:durableId="290863206">
    <w:abstractNumId w:val="4"/>
  </w:num>
  <w:num w:numId="14" w16cid:durableId="980885425">
    <w:abstractNumId w:val="16"/>
  </w:num>
  <w:num w:numId="15" w16cid:durableId="1681158310">
    <w:abstractNumId w:val="21"/>
  </w:num>
  <w:num w:numId="16" w16cid:durableId="797183647">
    <w:abstractNumId w:val="5"/>
  </w:num>
  <w:num w:numId="17" w16cid:durableId="763646354">
    <w:abstractNumId w:val="14"/>
  </w:num>
  <w:num w:numId="18" w16cid:durableId="708576942">
    <w:abstractNumId w:val="13"/>
  </w:num>
  <w:num w:numId="19" w16cid:durableId="1931429119">
    <w:abstractNumId w:val="26"/>
  </w:num>
  <w:num w:numId="20" w16cid:durableId="242222019">
    <w:abstractNumId w:val="8"/>
  </w:num>
  <w:num w:numId="21" w16cid:durableId="863909474">
    <w:abstractNumId w:val="17"/>
  </w:num>
  <w:num w:numId="22" w16cid:durableId="564413668">
    <w:abstractNumId w:val="18"/>
  </w:num>
  <w:num w:numId="23" w16cid:durableId="970937781">
    <w:abstractNumId w:val="1"/>
  </w:num>
  <w:num w:numId="24" w16cid:durableId="968121707">
    <w:abstractNumId w:val="25"/>
  </w:num>
  <w:num w:numId="25" w16cid:durableId="632061830">
    <w:abstractNumId w:val="7"/>
  </w:num>
  <w:num w:numId="26" w16cid:durableId="637616347">
    <w:abstractNumId w:val="19"/>
  </w:num>
  <w:num w:numId="27" w16cid:durableId="864094535">
    <w:abstractNumId w:val="28"/>
  </w:num>
  <w:num w:numId="28" w16cid:durableId="1940945960">
    <w:abstractNumId w:val="11"/>
  </w:num>
  <w:num w:numId="29" w16cid:durableId="10586732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BF"/>
    <w:rsid w:val="000039A0"/>
    <w:rsid w:val="00013EC6"/>
    <w:rsid w:val="0002489F"/>
    <w:rsid w:val="00030C2B"/>
    <w:rsid w:val="00037559"/>
    <w:rsid w:val="00040B61"/>
    <w:rsid w:val="00055702"/>
    <w:rsid w:val="0005796E"/>
    <w:rsid w:val="00074593"/>
    <w:rsid w:val="00076513"/>
    <w:rsid w:val="00083334"/>
    <w:rsid w:val="000900B5"/>
    <w:rsid w:val="000906EF"/>
    <w:rsid w:val="000A1015"/>
    <w:rsid w:val="000E2BF8"/>
    <w:rsid w:val="000E7C26"/>
    <w:rsid w:val="0010260C"/>
    <w:rsid w:val="001100BD"/>
    <w:rsid w:val="00111BBF"/>
    <w:rsid w:val="00117E38"/>
    <w:rsid w:val="00124A72"/>
    <w:rsid w:val="00124C3D"/>
    <w:rsid w:val="00170A30"/>
    <w:rsid w:val="0017333D"/>
    <w:rsid w:val="001818E2"/>
    <w:rsid w:val="00182112"/>
    <w:rsid w:val="001B0AAC"/>
    <w:rsid w:val="001B595B"/>
    <w:rsid w:val="001C22AE"/>
    <w:rsid w:val="001D3DDA"/>
    <w:rsid w:val="001E6E99"/>
    <w:rsid w:val="0020505A"/>
    <w:rsid w:val="002068E5"/>
    <w:rsid w:val="002109A1"/>
    <w:rsid w:val="00216C42"/>
    <w:rsid w:val="00220B28"/>
    <w:rsid w:val="00221444"/>
    <w:rsid w:val="0023204E"/>
    <w:rsid w:val="00252674"/>
    <w:rsid w:val="002545B1"/>
    <w:rsid w:val="00275A22"/>
    <w:rsid w:val="00282D78"/>
    <w:rsid w:val="0029378D"/>
    <w:rsid w:val="002A7FFA"/>
    <w:rsid w:val="002E557C"/>
    <w:rsid w:val="0030211E"/>
    <w:rsid w:val="003021CA"/>
    <w:rsid w:val="0030396B"/>
    <w:rsid w:val="00310BA0"/>
    <w:rsid w:val="00315612"/>
    <w:rsid w:val="00315F1B"/>
    <w:rsid w:val="003530E6"/>
    <w:rsid w:val="0035657C"/>
    <w:rsid w:val="00362EA7"/>
    <w:rsid w:val="00366EA4"/>
    <w:rsid w:val="00367F7E"/>
    <w:rsid w:val="0037484D"/>
    <w:rsid w:val="003929BF"/>
    <w:rsid w:val="003A347A"/>
    <w:rsid w:val="003A56E0"/>
    <w:rsid w:val="003A6AB6"/>
    <w:rsid w:val="003B74B6"/>
    <w:rsid w:val="003C6A34"/>
    <w:rsid w:val="003C6AD4"/>
    <w:rsid w:val="003E7C27"/>
    <w:rsid w:val="00411744"/>
    <w:rsid w:val="0042359B"/>
    <w:rsid w:val="004403A3"/>
    <w:rsid w:val="00441B02"/>
    <w:rsid w:val="00453EE0"/>
    <w:rsid w:val="0047338D"/>
    <w:rsid w:val="00473BBF"/>
    <w:rsid w:val="0048425E"/>
    <w:rsid w:val="00487695"/>
    <w:rsid w:val="00495656"/>
    <w:rsid w:val="005235A9"/>
    <w:rsid w:val="00533DC8"/>
    <w:rsid w:val="00543430"/>
    <w:rsid w:val="00543CB9"/>
    <w:rsid w:val="0054766C"/>
    <w:rsid w:val="00550688"/>
    <w:rsid w:val="005616FB"/>
    <w:rsid w:val="00571755"/>
    <w:rsid w:val="00597B99"/>
    <w:rsid w:val="005A6F46"/>
    <w:rsid w:val="005B6960"/>
    <w:rsid w:val="005E3A11"/>
    <w:rsid w:val="005E5EF1"/>
    <w:rsid w:val="006110A3"/>
    <w:rsid w:val="00626AA0"/>
    <w:rsid w:val="0063016E"/>
    <w:rsid w:val="00640424"/>
    <w:rsid w:val="00683D74"/>
    <w:rsid w:val="006A5CE0"/>
    <w:rsid w:val="006B1E1A"/>
    <w:rsid w:val="006B3A07"/>
    <w:rsid w:val="006B7604"/>
    <w:rsid w:val="006C0A57"/>
    <w:rsid w:val="006D1D91"/>
    <w:rsid w:val="007008F0"/>
    <w:rsid w:val="00701ACD"/>
    <w:rsid w:val="00703828"/>
    <w:rsid w:val="00707500"/>
    <w:rsid w:val="007136C7"/>
    <w:rsid w:val="007173C2"/>
    <w:rsid w:val="007A00FE"/>
    <w:rsid w:val="007B4608"/>
    <w:rsid w:val="007E31E3"/>
    <w:rsid w:val="007F1749"/>
    <w:rsid w:val="007F789F"/>
    <w:rsid w:val="00821F89"/>
    <w:rsid w:val="0083231D"/>
    <w:rsid w:val="008343B0"/>
    <w:rsid w:val="00843154"/>
    <w:rsid w:val="00845582"/>
    <w:rsid w:val="008623DC"/>
    <w:rsid w:val="008625A9"/>
    <w:rsid w:val="00881631"/>
    <w:rsid w:val="008A4873"/>
    <w:rsid w:val="008A49B2"/>
    <w:rsid w:val="008B5DBF"/>
    <w:rsid w:val="008C5578"/>
    <w:rsid w:val="008E7176"/>
    <w:rsid w:val="008F3F2D"/>
    <w:rsid w:val="00907EB9"/>
    <w:rsid w:val="00917B66"/>
    <w:rsid w:val="00961156"/>
    <w:rsid w:val="00961578"/>
    <w:rsid w:val="0099735B"/>
    <w:rsid w:val="009B530A"/>
    <w:rsid w:val="009C1B01"/>
    <w:rsid w:val="009D1F0A"/>
    <w:rsid w:val="009E3BD0"/>
    <w:rsid w:val="009F521C"/>
    <w:rsid w:val="00A161FF"/>
    <w:rsid w:val="00A6296E"/>
    <w:rsid w:val="00A67C2E"/>
    <w:rsid w:val="00A72AE0"/>
    <w:rsid w:val="00A77566"/>
    <w:rsid w:val="00AC4819"/>
    <w:rsid w:val="00B27AB5"/>
    <w:rsid w:val="00B31B26"/>
    <w:rsid w:val="00B450E6"/>
    <w:rsid w:val="00B51672"/>
    <w:rsid w:val="00B6285C"/>
    <w:rsid w:val="00B64AE8"/>
    <w:rsid w:val="00B8606B"/>
    <w:rsid w:val="00BB419C"/>
    <w:rsid w:val="00BE48B3"/>
    <w:rsid w:val="00BE5EFC"/>
    <w:rsid w:val="00BE7C37"/>
    <w:rsid w:val="00C06AAC"/>
    <w:rsid w:val="00C1438B"/>
    <w:rsid w:val="00C14577"/>
    <w:rsid w:val="00C1586F"/>
    <w:rsid w:val="00C314A7"/>
    <w:rsid w:val="00C44180"/>
    <w:rsid w:val="00C557E9"/>
    <w:rsid w:val="00C72E5A"/>
    <w:rsid w:val="00C7698C"/>
    <w:rsid w:val="00C80B71"/>
    <w:rsid w:val="00C84D51"/>
    <w:rsid w:val="00CA4126"/>
    <w:rsid w:val="00CB7445"/>
    <w:rsid w:val="00CD50CF"/>
    <w:rsid w:val="00CD59A4"/>
    <w:rsid w:val="00D04DC3"/>
    <w:rsid w:val="00D10051"/>
    <w:rsid w:val="00D10A29"/>
    <w:rsid w:val="00D63BED"/>
    <w:rsid w:val="00D8713A"/>
    <w:rsid w:val="00D95800"/>
    <w:rsid w:val="00DA1D9E"/>
    <w:rsid w:val="00DB232F"/>
    <w:rsid w:val="00DC4E75"/>
    <w:rsid w:val="00DD3FCB"/>
    <w:rsid w:val="00DF7648"/>
    <w:rsid w:val="00DF7FCF"/>
    <w:rsid w:val="00E15A08"/>
    <w:rsid w:val="00E17BA2"/>
    <w:rsid w:val="00E4039D"/>
    <w:rsid w:val="00E63FB8"/>
    <w:rsid w:val="00E6404E"/>
    <w:rsid w:val="00E87C7C"/>
    <w:rsid w:val="00EC5338"/>
    <w:rsid w:val="00ED3D54"/>
    <w:rsid w:val="00ED43EA"/>
    <w:rsid w:val="00ED6DF7"/>
    <w:rsid w:val="00ED6F2A"/>
    <w:rsid w:val="00EE2A81"/>
    <w:rsid w:val="00EF263F"/>
    <w:rsid w:val="00EF7755"/>
    <w:rsid w:val="00F03DD8"/>
    <w:rsid w:val="00F13B11"/>
    <w:rsid w:val="00F16112"/>
    <w:rsid w:val="00F50E6B"/>
    <w:rsid w:val="00F56FB5"/>
    <w:rsid w:val="00F7122A"/>
    <w:rsid w:val="00F92DA3"/>
    <w:rsid w:val="00FA3902"/>
    <w:rsid w:val="00FC19E4"/>
    <w:rsid w:val="00FE1CF1"/>
    <w:rsid w:val="00F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2ED4"/>
  <w15:chartTrackingRefBased/>
  <w15:docId w15:val="{6CF94434-0C44-4369-ACB2-F6F47960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BA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3DC8"/>
    <w:pPr>
      <w:keepNext/>
      <w:keepLines/>
      <w:spacing w:after="240" w:line="240" w:lineRule="auto"/>
      <w:ind w:left="993" w:hanging="284"/>
      <w:outlineLvl w:val="0"/>
    </w:pPr>
    <w:rPr>
      <w:rFonts w:ascii="Arial" w:eastAsiaTheme="majorEastAsia" w:hAnsi="Arial" w:cstheme="majorBidi"/>
      <w:color w:val="000000" w:themeColor="text1"/>
      <w:sz w:val="30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DC8"/>
    <w:rPr>
      <w:rFonts w:ascii="Arial" w:eastAsiaTheme="majorEastAsia" w:hAnsi="Arial" w:cstheme="majorBidi"/>
      <w:color w:val="000000" w:themeColor="text1"/>
      <w:sz w:val="30"/>
      <w:szCs w:val="32"/>
    </w:rPr>
  </w:style>
  <w:style w:type="paragraph" w:styleId="a3">
    <w:name w:val="Subtitle"/>
    <w:basedOn w:val="a"/>
    <w:next w:val="a"/>
    <w:link w:val="a4"/>
    <w:uiPriority w:val="11"/>
    <w:qFormat/>
    <w:rsid w:val="00310BA0"/>
    <w:pPr>
      <w:numPr>
        <w:ilvl w:val="1"/>
      </w:numPr>
      <w:spacing w:after="120" w:line="240" w:lineRule="auto"/>
      <w:ind w:firstLine="709"/>
    </w:pPr>
    <w:rPr>
      <w:rFonts w:ascii="Arial" w:eastAsiaTheme="minorEastAsia" w:hAnsi="Arial"/>
      <w:color w:val="000000" w:themeColor="tex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10BA0"/>
    <w:rPr>
      <w:rFonts w:ascii="Arial" w:eastAsiaTheme="minorEastAsia" w:hAnsi="Arial"/>
      <w:color w:val="000000" w:themeColor="text1"/>
      <w:spacing w:val="15"/>
      <w:sz w:val="28"/>
    </w:rPr>
  </w:style>
  <w:style w:type="paragraph" w:styleId="a5">
    <w:name w:val="List Paragraph"/>
    <w:aliases w:val="ПАРАГРАФ,Bullet List,FooterText,numbered,ПС - Нумерованный,Абзац списка1"/>
    <w:basedOn w:val="a"/>
    <w:link w:val="a6"/>
    <w:uiPriority w:val="34"/>
    <w:qFormat/>
    <w:rsid w:val="00310B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00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158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1586F"/>
    <w:pPr>
      <w:widowControl w:val="0"/>
      <w:autoSpaceDE w:val="0"/>
      <w:autoSpaceDN w:val="0"/>
      <w:spacing w:line="240" w:lineRule="auto"/>
      <w:ind w:left="109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C158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586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</w:rPr>
  </w:style>
  <w:style w:type="character" w:styleId="aa">
    <w:name w:val="Hyperlink"/>
    <w:basedOn w:val="a0"/>
    <w:uiPriority w:val="99"/>
    <w:unhideWhenUsed/>
    <w:rsid w:val="006B3A0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3D54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3D54"/>
    <w:rPr>
      <w:rFonts w:ascii="Times New Roman" w:hAnsi="Times New Roman"/>
      <w:sz w:val="28"/>
    </w:rPr>
  </w:style>
  <w:style w:type="paragraph" w:styleId="af">
    <w:name w:val="Block Text"/>
    <w:basedOn w:val="a"/>
    <w:rsid w:val="00ED3D54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C5578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403A3"/>
    <w:pPr>
      <w:spacing w:before="36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character" w:customStyle="1" w:styleId="a6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5"/>
    <w:uiPriority w:val="34"/>
    <w:locked/>
    <w:rsid w:val="00C44180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unhideWhenUsed/>
    <w:rsid w:val="00FA3902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A3902"/>
    <w:pPr>
      <w:ind w:left="28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4403A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403A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403A3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403A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403A3"/>
    <w:rPr>
      <w:rFonts w:ascii="Times New Roman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4403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03A3"/>
    <w:rPr>
      <w:rFonts w:ascii="Segoe UI" w:hAnsi="Segoe UI" w:cs="Segoe UI"/>
      <w:sz w:val="18"/>
      <w:szCs w:val="18"/>
    </w:rPr>
  </w:style>
  <w:style w:type="paragraph" w:styleId="4">
    <w:name w:val="toc 4"/>
    <w:basedOn w:val="a"/>
    <w:next w:val="a"/>
    <w:autoRedefine/>
    <w:uiPriority w:val="39"/>
    <w:unhideWhenUsed/>
    <w:rsid w:val="00533DC8"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33DC8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33DC8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33DC8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33DC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33DC8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C6AD4"/>
    <w:rPr>
      <w:color w:val="605E5C"/>
      <w:shd w:val="clear" w:color="auto" w:fill="E1DFDD"/>
    </w:rPr>
  </w:style>
  <w:style w:type="paragraph" w:styleId="af9">
    <w:name w:val="Title"/>
    <w:basedOn w:val="a"/>
    <w:next w:val="a"/>
    <w:link w:val="afa"/>
    <w:uiPriority w:val="10"/>
    <w:qFormat/>
    <w:rsid w:val="0084315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84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823893037" TargetMode="External"/><Relationship Id="rId13" Type="http://schemas.openxmlformats.org/officeDocument/2006/relationships/hyperlink" Target="https://vk.com/away.php?to=https%3A%2F%2Fwww.imf.org%2Fen%2FPublications%2FWP%2FIssues%2F2024%2F10%2F11%2FCentral-Bank-Digital-Currencies-and-Financial-Stability-Balance-Sheet-Analysis-and-Policy-556246&amp;utf=1" TargetMode="External"/><Relationship Id="rId18" Type="http://schemas.openxmlformats.org/officeDocument/2006/relationships/hyperlink" Target="https://vk.com/id38015056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vk.com/id823893037" TargetMode="External"/><Relationship Id="rId17" Type="http://schemas.openxmlformats.org/officeDocument/2006/relationships/hyperlink" Target="https://vk.com/away.php?to=https%3A%2F%2Fwww.bis.org%2Ftopics%2Fcbdc.htm&amp;utf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www.cbr.ru%2Ffintech%2F&amp;utf=1" TargetMode="External"/><Relationship Id="rId20" Type="http://schemas.openxmlformats.org/officeDocument/2006/relationships/hyperlink" Target="https://vk.com/away.php?to=https%3A%2F%2Fwww.cbr.ru%2Ffintech%2Fdr%2F&amp;utf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www.imf.org%2Fen%2Fpublications%2Fdepartmental-papers-policy-papers%2Fissues%2F2024%2F04%2F26%2Fcentral-bank-digital-currencies-in-the-middle-east-and-central-asia-543566&amp;utf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arxiv.org%2Fabs%2F2403.07070&amp;utf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id823893037" TargetMode="External"/><Relationship Id="rId19" Type="http://schemas.openxmlformats.org/officeDocument/2006/relationships/hyperlink" Target="https://vk.com/away.php?to=https%3A%2F%2Farxiv.org%2Fabs%2F2406.17512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www.imf.org%2Fen%2FPublications%2FPolicy-Papers%2FIssues%2F2024%2F11%2F08%2FCentral-Bank-Digital-Currency-Progress-And-Further-Considerations-557194&amp;utf=1" TargetMode="External"/><Relationship Id="rId14" Type="http://schemas.openxmlformats.org/officeDocument/2006/relationships/hyperlink" Target="https://vk.com/club83828766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723D-B75D-4DED-9DFD-D8C840A5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20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андрей лавриненко</cp:lastModifiedBy>
  <cp:revision>57</cp:revision>
  <dcterms:created xsi:type="dcterms:W3CDTF">2026-06-15T09:06:00Z</dcterms:created>
  <dcterms:modified xsi:type="dcterms:W3CDTF">2026-06-18T15:23:00Z</dcterms:modified>
</cp:coreProperties>
</file>