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21DDC">
      <w:pPr>
        <w:widowControl w:val="0"/>
        <w:tabs>
          <w:tab w:val="left" w:pos="7380"/>
        </w:tabs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14:paraId="070B5253">
      <w:pPr>
        <w:widowControl w:val="0"/>
        <w:tabs>
          <w:tab w:val="left" w:pos="7380"/>
        </w:tabs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14:paraId="1DF7E6B2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ВЛАДИВОСТОКСКИЙ ГОСУДАРСТВЕННЫЙ УНИВЕРСИТЕТ</w:t>
      </w:r>
    </w:p>
    <w:p w14:paraId="4883E33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ИНСТИТУТ МЕЖДУНАРОДНОГО БИЗНЕСА, </w:t>
      </w:r>
    </w:p>
    <w:p w14:paraId="2A18C34F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ЭКОНОМИКИ И УПРАВЛЕНИЯ </w:t>
      </w:r>
    </w:p>
    <w:p w14:paraId="2F2BBA06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КАФЕДРА ЭКОНОМИКИ И УПРАВЛЕНИЯ</w:t>
      </w:r>
    </w:p>
    <w:p w14:paraId="428DD7FE">
      <w:pPr>
        <w:suppressAutoHyphens/>
        <w:jc w:val="center"/>
        <w:rPr>
          <w:rFonts w:ascii="Calibri" w:hAnsi="Calibri"/>
          <w:sz w:val="28"/>
          <w:szCs w:val="28"/>
          <w:lang w:eastAsia="ar-SA"/>
        </w:rPr>
      </w:pPr>
    </w:p>
    <w:p w14:paraId="53754A68">
      <w:pPr>
        <w:suppressAutoHyphens/>
        <w:jc w:val="center"/>
        <w:rPr>
          <w:sz w:val="28"/>
          <w:szCs w:val="28"/>
          <w:lang w:eastAsia="ar-SA"/>
        </w:rPr>
      </w:pPr>
    </w:p>
    <w:p w14:paraId="76188478">
      <w:pPr>
        <w:suppressAutoHyphens/>
        <w:jc w:val="center"/>
        <w:rPr>
          <w:sz w:val="28"/>
          <w:szCs w:val="28"/>
          <w:lang w:eastAsia="ar-SA"/>
        </w:rPr>
      </w:pPr>
    </w:p>
    <w:p w14:paraId="4D37BC64">
      <w:pPr>
        <w:suppressAutoHyphens/>
        <w:jc w:val="center"/>
        <w:rPr>
          <w:sz w:val="28"/>
          <w:szCs w:val="28"/>
          <w:lang w:eastAsia="ar-SA"/>
        </w:rPr>
      </w:pPr>
    </w:p>
    <w:p w14:paraId="358FD736">
      <w:pPr>
        <w:spacing w:after="120"/>
        <w:jc w:val="center"/>
        <w:rPr>
          <w:sz w:val="48"/>
          <w:szCs w:val="48"/>
        </w:rPr>
      </w:pPr>
    </w:p>
    <w:p w14:paraId="7BE6DDFB">
      <w:pPr>
        <w:spacing w:after="120"/>
        <w:jc w:val="center"/>
        <w:rPr>
          <w:b/>
          <w:sz w:val="48"/>
          <w:szCs w:val="48"/>
        </w:rPr>
      </w:pPr>
      <w:r>
        <w:rPr>
          <w:sz w:val="48"/>
          <w:szCs w:val="48"/>
        </w:rPr>
        <w:t>ОТЧЕТ</w:t>
      </w:r>
      <w:r>
        <w:rPr>
          <w:b/>
          <w:sz w:val="48"/>
          <w:szCs w:val="48"/>
        </w:rPr>
        <w:t xml:space="preserve"> </w:t>
      </w:r>
    </w:p>
    <w:p w14:paraId="149F3AA0">
      <w:pPr>
        <w:spacing w:after="1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по </w:t>
      </w:r>
      <w:bookmarkStart w:id="0" w:name="_Hlk95913314"/>
      <w:r>
        <w:rPr>
          <w:sz w:val="44"/>
          <w:szCs w:val="44"/>
        </w:rPr>
        <w:t>учебной практике по получению навыков       исследовательской работы</w:t>
      </w:r>
      <w:bookmarkEnd w:id="0"/>
    </w:p>
    <w:p w14:paraId="4AF94D2B">
      <w:pPr>
        <w:suppressAutoHyphens/>
        <w:spacing w:after="120"/>
        <w:jc w:val="center"/>
        <w:rPr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тема: «Национальные цифровые валюты: сегодня и завтра»</w:t>
      </w:r>
    </w:p>
    <w:p w14:paraId="524E1709">
      <w:pPr>
        <w:suppressAutoHyphens/>
        <w:ind w:right="963"/>
        <w:jc w:val="both"/>
        <w:rPr>
          <w:lang w:eastAsia="ar-SA"/>
        </w:rPr>
      </w:pPr>
    </w:p>
    <w:p w14:paraId="5F02D67C">
      <w:pPr>
        <w:suppressAutoHyphens/>
        <w:ind w:right="963"/>
        <w:jc w:val="both"/>
        <w:rPr>
          <w:lang w:eastAsia="ar-SA"/>
        </w:rPr>
      </w:pPr>
    </w:p>
    <w:p w14:paraId="035CB98A">
      <w:pPr>
        <w:suppressAutoHyphens/>
        <w:ind w:right="963"/>
        <w:jc w:val="both"/>
        <w:rPr>
          <w:lang w:eastAsia="ar-SA"/>
        </w:rPr>
      </w:pPr>
    </w:p>
    <w:p w14:paraId="467C8400">
      <w:pPr>
        <w:suppressAutoHyphens/>
        <w:ind w:right="963"/>
        <w:jc w:val="both"/>
        <w:rPr>
          <w:lang w:eastAsia="ar-SA"/>
        </w:rPr>
      </w:pPr>
    </w:p>
    <w:p w14:paraId="70A4E41A">
      <w:pPr>
        <w:suppressAutoHyphens/>
        <w:ind w:right="963"/>
        <w:jc w:val="both"/>
        <w:rPr>
          <w:lang w:eastAsia="ar-SA"/>
        </w:rPr>
      </w:pPr>
    </w:p>
    <w:p w14:paraId="057E227C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</w:p>
    <w:p w14:paraId="2727F409">
      <w:pPr>
        <w:suppressAutoHyphens/>
        <w:rPr>
          <w:i/>
          <w:sz w:val="16"/>
          <w:szCs w:val="16"/>
          <w:lang w:eastAsia="ar-SA"/>
        </w:rPr>
      </w:pPr>
    </w:p>
    <w:tbl>
      <w:tblPr>
        <w:tblStyle w:val="9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386"/>
        <w:gridCol w:w="3426"/>
      </w:tblGrid>
      <w:tr w14:paraId="4308C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FFFFFF" w:themeFill="background1"/>
          </w:tcPr>
          <w:p w14:paraId="760E647E">
            <w:pPr>
              <w:ind w:right="9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2386" w:type="dxa"/>
            <w:shd w:val="clear" w:color="auto" w:fill="FFFFFF" w:themeFill="background1"/>
          </w:tcPr>
          <w:p w14:paraId="121B0AE7">
            <w:pPr>
              <w:ind w:right="144"/>
              <w:jc w:val="both"/>
              <w:rPr>
                <w:sz w:val="28"/>
                <w:szCs w:val="28"/>
              </w:rPr>
            </w:pPr>
          </w:p>
        </w:tc>
        <w:tc>
          <w:tcPr>
            <w:tcW w:w="3426" w:type="dxa"/>
            <w:shd w:val="clear" w:color="auto" w:fill="FFFFFF" w:themeFill="background1"/>
          </w:tcPr>
          <w:p w14:paraId="47F3386B">
            <w:pPr>
              <w:jc w:val="both"/>
              <w:rPr>
                <w:sz w:val="28"/>
                <w:szCs w:val="28"/>
              </w:rPr>
            </w:pPr>
          </w:p>
        </w:tc>
      </w:tr>
      <w:tr w14:paraId="52BA7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FFFFFF" w:themeFill="background1"/>
          </w:tcPr>
          <w:p w14:paraId="0027B649">
            <w:pPr>
              <w:ind w:right="963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группы БМН-25-1</w:t>
            </w:r>
          </w:p>
        </w:tc>
        <w:tc>
          <w:tcPr>
            <w:tcW w:w="2386" w:type="dxa"/>
            <w:shd w:val="clear" w:color="auto" w:fill="FFFFFF" w:themeFill="background1"/>
          </w:tcPr>
          <w:p w14:paraId="7A8E2EF9">
            <w:pPr>
              <w:ind w:right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3426" w:type="dxa"/>
            <w:shd w:val="clear" w:color="auto" w:fill="FFFFFF" w:themeFill="background1"/>
          </w:tcPr>
          <w:p w14:paraId="7DC645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И.В.Воробьева</w:t>
            </w:r>
          </w:p>
        </w:tc>
      </w:tr>
      <w:tr w14:paraId="4FEA9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FFFFFF" w:themeFill="background1"/>
          </w:tcPr>
          <w:p w14:paraId="6196A32C">
            <w:pPr>
              <w:ind w:right="963"/>
              <w:jc w:val="both"/>
              <w:rPr>
                <w:sz w:val="28"/>
                <w:szCs w:val="28"/>
              </w:rPr>
            </w:pPr>
          </w:p>
          <w:p w14:paraId="28224EBA">
            <w:pPr>
              <w:ind w:right="9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14:paraId="1ECF0160">
            <w:pPr>
              <w:ind w:right="9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канд. соц. наук, доцент</w:t>
            </w:r>
          </w:p>
        </w:tc>
        <w:tc>
          <w:tcPr>
            <w:tcW w:w="2386" w:type="dxa"/>
            <w:shd w:val="clear" w:color="auto" w:fill="FFFFFF" w:themeFill="background1"/>
          </w:tcPr>
          <w:p w14:paraId="07019804">
            <w:pPr>
              <w:ind w:right="144"/>
              <w:jc w:val="both"/>
              <w:rPr>
                <w:sz w:val="28"/>
                <w:szCs w:val="28"/>
              </w:rPr>
            </w:pPr>
          </w:p>
          <w:p w14:paraId="7B9FAE33">
            <w:pPr>
              <w:ind w:right="144"/>
              <w:jc w:val="both"/>
              <w:rPr>
                <w:sz w:val="28"/>
                <w:szCs w:val="28"/>
              </w:rPr>
            </w:pPr>
          </w:p>
          <w:p w14:paraId="6E69994E">
            <w:pPr>
              <w:ind w:right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3426" w:type="dxa"/>
            <w:shd w:val="clear" w:color="auto" w:fill="FFFFFF" w:themeFill="background1"/>
          </w:tcPr>
          <w:p w14:paraId="7A2BD3E1">
            <w:pPr>
              <w:jc w:val="both"/>
              <w:rPr>
                <w:sz w:val="28"/>
                <w:szCs w:val="28"/>
              </w:rPr>
            </w:pPr>
          </w:p>
          <w:p w14:paraId="18321705">
            <w:pPr>
              <w:jc w:val="both"/>
              <w:rPr>
                <w:sz w:val="28"/>
                <w:szCs w:val="28"/>
              </w:rPr>
            </w:pPr>
          </w:p>
          <w:p w14:paraId="753E51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М.Г. Масилова</w:t>
            </w:r>
          </w:p>
        </w:tc>
      </w:tr>
      <w:tr w14:paraId="3313C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FFFFFF" w:themeFill="background1"/>
          </w:tcPr>
          <w:p w14:paraId="4522B288">
            <w:pPr>
              <w:ind w:right="963"/>
              <w:jc w:val="both"/>
              <w:rPr>
                <w:sz w:val="28"/>
                <w:szCs w:val="28"/>
              </w:rPr>
            </w:pPr>
          </w:p>
          <w:p w14:paraId="071BF932">
            <w:pPr>
              <w:ind w:right="9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Нормоконтролер</w:t>
            </w:r>
          </w:p>
          <w:p w14:paraId="10456ADA">
            <w:pPr>
              <w:ind w:right="9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канд. соц. наук, доцент</w:t>
            </w:r>
          </w:p>
        </w:tc>
        <w:tc>
          <w:tcPr>
            <w:tcW w:w="2386" w:type="dxa"/>
            <w:shd w:val="clear" w:color="auto" w:fill="FFFFFF" w:themeFill="background1"/>
          </w:tcPr>
          <w:p w14:paraId="233E49D3">
            <w:pPr>
              <w:ind w:right="144"/>
              <w:jc w:val="both"/>
              <w:rPr>
                <w:sz w:val="28"/>
                <w:szCs w:val="28"/>
              </w:rPr>
            </w:pPr>
          </w:p>
          <w:p w14:paraId="1204148F">
            <w:pPr>
              <w:ind w:right="144"/>
              <w:jc w:val="both"/>
              <w:rPr>
                <w:sz w:val="28"/>
                <w:szCs w:val="28"/>
              </w:rPr>
            </w:pPr>
          </w:p>
          <w:p w14:paraId="29227BDB">
            <w:pPr>
              <w:ind w:right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3426" w:type="dxa"/>
            <w:shd w:val="clear" w:color="auto" w:fill="FFFFFF" w:themeFill="background1"/>
          </w:tcPr>
          <w:p w14:paraId="09AE6E82">
            <w:pPr>
              <w:jc w:val="both"/>
              <w:rPr>
                <w:sz w:val="28"/>
                <w:szCs w:val="28"/>
              </w:rPr>
            </w:pPr>
          </w:p>
          <w:p w14:paraId="2073D511">
            <w:pPr>
              <w:jc w:val="both"/>
              <w:rPr>
                <w:sz w:val="28"/>
                <w:szCs w:val="28"/>
              </w:rPr>
            </w:pPr>
          </w:p>
          <w:p w14:paraId="60FEA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М.Г. Масилова</w:t>
            </w:r>
          </w:p>
        </w:tc>
      </w:tr>
    </w:tbl>
    <w:p w14:paraId="74D7E6B7">
      <w:pPr>
        <w:suppressAutoHyphens/>
        <w:rPr>
          <w:i/>
          <w:sz w:val="16"/>
          <w:szCs w:val="16"/>
          <w:lang w:eastAsia="ar-SA"/>
        </w:rPr>
      </w:pPr>
      <w:r>
        <w:rPr>
          <w:i/>
          <w:sz w:val="16"/>
          <w:szCs w:val="16"/>
          <w:lang w:eastAsia="ar-SA"/>
        </w:rPr>
        <w:t xml:space="preserve">                  </w:t>
      </w:r>
    </w:p>
    <w:p w14:paraId="54F3DBA2">
      <w:pPr>
        <w:suppressAutoHyphens/>
        <w:rPr>
          <w:i/>
          <w:sz w:val="16"/>
          <w:szCs w:val="16"/>
          <w:lang w:eastAsia="ar-SA"/>
        </w:rPr>
      </w:pPr>
    </w:p>
    <w:p w14:paraId="7D9A7418">
      <w:pPr>
        <w:suppressAutoHyphens/>
        <w:ind w:right="964"/>
        <w:jc w:val="center"/>
        <w:rPr>
          <w:sz w:val="28"/>
          <w:szCs w:val="28"/>
          <w:lang w:eastAsia="ar-SA"/>
        </w:rPr>
      </w:pPr>
    </w:p>
    <w:p w14:paraId="73839D6A">
      <w:pPr>
        <w:suppressAutoHyphens/>
        <w:ind w:right="964"/>
        <w:jc w:val="center"/>
        <w:rPr>
          <w:sz w:val="28"/>
          <w:szCs w:val="28"/>
          <w:lang w:eastAsia="ar-SA"/>
        </w:rPr>
      </w:pPr>
    </w:p>
    <w:p w14:paraId="023C1569">
      <w:pPr>
        <w:pStyle w:val="43"/>
        <w:widowControl w:val="0"/>
        <w:suppressAutoHyphens/>
        <w:ind w:left="0" w:right="963"/>
        <w:jc w:val="center"/>
        <w:rPr>
          <w:sz w:val="20"/>
        </w:rPr>
      </w:pPr>
    </w:p>
    <w:p w14:paraId="2ECD0887">
      <w:pPr>
        <w:pStyle w:val="43"/>
        <w:widowControl w:val="0"/>
        <w:suppressAutoHyphens/>
        <w:ind w:left="0" w:right="963"/>
        <w:jc w:val="center"/>
        <w:rPr>
          <w:sz w:val="20"/>
        </w:rPr>
      </w:pPr>
    </w:p>
    <w:p w14:paraId="26C76100">
      <w:pPr>
        <w:pStyle w:val="43"/>
        <w:widowControl w:val="0"/>
        <w:suppressAutoHyphens/>
        <w:ind w:left="0" w:right="963"/>
        <w:jc w:val="center"/>
        <w:rPr>
          <w:sz w:val="20"/>
        </w:rPr>
      </w:pPr>
    </w:p>
    <w:p w14:paraId="52339456">
      <w:pPr>
        <w:pStyle w:val="43"/>
        <w:widowControl w:val="0"/>
        <w:suppressAutoHyphens/>
        <w:ind w:left="0" w:right="963"/>
        <w:jc w:val="center"/>
        <w:rPr>
          <w:sz w:val="20"/>
        </w:rPr>
      </w:pPr>
    </w:p>
    <w:p w14:paraId="487A19E4">
      <w:pPr>
        <w:pStyle w:val="43"/>
        <w:widowControl w:val="0"/>
        <w:suppressAutoHyphens/>
        <w:ind w:left="0" w:right="963"/>
      </w:pPr>
    </w:p>
    <w:p w14:paraId="0549D682">
      <w:pPr>
        <w:pStyle w:val="43"/>
        <w:widowControl w:val="0"/>
        <w:suppressAutoHyphens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Владивосток 2026</w:t>
      </w:r>
      <w:r>
        <w:rPr>
          <w:sz w:val="28"/>
          <w:szCs w:val="28"/>
        </w:rPr>
        <w:br w:type="page"/>
      </w:r>
    </w:p>
    <w:p w14:paraId="2AE3F85A">
      <w:pPr>
        <w:pageBreakBefore/>
        <w:widowControl w:val="0"/>
        <w:suppressAutoHyphens/>
        <w:spacing w:after="240"/>
        <w:jc w:val="center"/>
        <w:rPr>
          <w:rFonts w:ascii="Arial" w:hAnsi="Arial" w:cs="Arial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Содержание</w:t>
      </w:r>
    </w:p>
    <w:p w14:paraId="4DAC6BB6">
      <w:pPr>
        <w:widowControl w:val="0"/>
        <w:tabs>
          <w:tab w:val="left" w:pos="285"/>
          <w:tab w:val="right" w:pos="9638"/>
        </w:tabs>
        <w:suppressAutoHyphens/>
        <w:spacing w:line="360" w:lineRule="auto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Введение</w:t>
      </w:r>
      <w:r>
        <w:rPr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</w:p>
    <w:p w14:paraId="2AC15450">
      <w:pPr>
        <w:pStyle w:val="46"/>
        <w:widowControl w:val="0"/>
        <w:suppressAutoHyphens/>
        <w:spacing w:after="0" w:line="360" w:lineRule="auto"/>
        <w:ind w:left="1078" w:hanging="794"/>
        <w:contextualSpacing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sz w:val="28"/>
          <w:szCs w:val="24"/>
        </w:rPr>
        <w:t>Раздел 1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Характеристика исследуемой проблемы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4</w:t>
      </w:r>
    </w:p>
    <w:p w14:paraId="2B226862">
      <w:pPr>
        <w:pStyle w:val="46"/>
        <w:widowControl w:val="0"/>
        <w:numPr>
          <w:ilvl w:val="1"/>
          <w:numId w:val="2"/>
        </w:numPr>
        <w:suppressAutoHyphens/>
        <w:spacing w:after="0" w:line="360" w:lineRule="auto"/>
        <w:ind w:left="283" w:firstLine="709"/>
        <w:contextualSpacing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Актуальность темы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степень разработанности проблемы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 w14:paraId="1495F130">
      <w:pPr>
        <w:pStyle w:val="46"/>
        <w:widowControl w:val="0"/>
        <w:numPr>
          <w:ilvl w:val="1"/>
          <w:numId w:val="2"/>
        </w:numPr>
        <w:suppressAutoHyphens/>
        <w:spacing w:after="0" w:line="360" w:lineRule="auto"/>
        <w:ind w:left="283" w:firstLine="709"/>
        <w:contextualSpacing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Цель и задачи исследования                                                                 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4</w:t>
      </w:r>
    </w:p>
    <w:p w14:paraId="46ABA03F">
      <w:pPr>
        <w:pStyle w:val="46"/>
        <w:widowControl w:val="0"/>
        <w:suppressAutoHyphens/>
        <w:spacing w:after="0" w:line="360" w:lineRule="auto"/>
        <w:ind w:left="284"/>
        <w:contextualSpacing w:val="0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Раздел 2 Современное состояние исследуемой проблемы                                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6</w:t>
      </w:r>
    </w:p>
    <w:p w14:paraId="6E9ECB51">
      <w:pPr>
        <w:pStyle w:val="46"/>
        <w:widowControl w:val="0"/>
        <w:suppressAutoHyphens/>
        <w:spacing w:after="0" w:line="360" w:lineRule="auto"/>
        <w:ind w:left="283" w:firstLine="709"/>
        <w:contextualSpacing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 Понятие, сущность и классификация ЦВЦБ                                        6</w:t>
      </w:r>
    </w:p>
    <w:p w14:paraId="5B4CC5A0">
      <w:pPr>
        <w:pStyle w:val="46"/>
        <w:widowControl w:val="0"/>
        <w:suppressAutoHyphens/>
        <w:spacing w:after="0" w:line="360" w:lineRule="auto"/>
        <w:contextualSpacing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2.2 История развития и современные проекты                                           9</w:t>
      </w:r>
    </w:p>
    <w:p w14:paraId="1A825B49">
      <w:pPr>
        <w:pStyle w:val="46"/>
        <w:widowControl w:val="0"/>
        <w:suppressAutoHyphens/>
        <w:spacing w:after="0" w:line="360" w:lineRule="auto"/>
        <w:contextualSpacing w:val="0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2.3 Преимущества и риски  ЦВЦБ                                                             1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</w:t>
      </w:r>
    </w:p>
    <w:p w14:paraId="02D6D6D6">
      <w:pPr>
        <w:pStyle w:val="46"/>
        <w:widowControl w:val="0"/>
        <w:suppressAutoHyphens/>
        <w:spacing w:after="0" w:line="360" w:lineRule="auto"/>
        <w:ind w:left="283" w:firstLine="709"/>
        <w:contextualSpacing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2.4 Влияние ЦВЦБ на банковскую систему                                             13</w:t>
      </w:r>
    </w:p>
    <w:p w14:paraId="7523C3B1">
      <w:pPr>
        <w:pStyle w:val="46"/>
        <w:widowControl w:val="0"/>
        <w:suppressAutoHyphens/>
        <w:spacing w:after="0" w:line="360" w:lineRule="auto"/>
        <w:ind w:left="283" w:firstLine="709"/>
        <w:contextualSpacing w:val="0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2.5 Возможные сценарии развития  ЦВЦБ                                               1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4</w:t>
      </w:r>
    </w:p>
    <w:p w14:paraId="6754FB4B">
      <w:pPr>
        <w:pStyle w:val="46"/>
        <w:widowControl w:val="0"/>
        <w:suppressAutoHyphens/>
        <w:spacing w:after="0" w:line="360" w:lineRule="auto"/>
        <w:ind w:left="283" w:firstLine="709"/>
        <w:contextualSpacing w:val="0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2.6 Перспективы дальнейших исследований                                            1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7</w:t>
      </w:r>
    </w:p>
    <w:p w14:paraId="7614567C">
      <w:pPr>
        <w:widowControl w:val="0"/>
        <w:tabs>
          <w:tab w:val="left" w:pos="300"/>
          <w:tab w:val="right" w:pos="9638"/>
        </w:tabs>
        <w:suppressAutoHyphens/>
        <w:spacing w:line="360" w:lineRule="auto"/>
        <w:ind w:left="284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Заключение                                                                                                             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19</w:t>
      </w:r>
      <w:bookmarkStart w:id="1" w:name="_GoBack"/>
      <w:bookmarkEnd w:id="1"/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</w:p>
    <w:p w14:paraId="5CD71AB5">
      <w:pPr>
        <w:widowControl w:val="0"/>
        <w:tabs>
          <w:tab w:val="left" w:pos="300"/>
          <w:tab w:val="right" w:pos="9638"/>
        </w:tabs>
        <w:suppressAutoHyphens/>
        <w:spacing w:line="360" w:lineRule="auto"/>
        <w:ind w:left="284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Список использованных источников                                                          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 w14:paraId="034D080B">
      <w:pPr>
        <w:widowControl w:val="0"/>
        <w:tabs>
          <w:tab w:val="left" w:pos="300"/>
          <w:tab w:val="right" w:pos="9638"/>
        </w:tabs>
        <w:suppressAutoHyphens/>
        <w:spacing w:line="360" w:lineRule="auto"/>
        <w:ind w:left="284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 w14:paraId="31FDEE96">
      <w:pPr>
        <w:widowControl w:val="0"/>
        <w:suppressAutoHyphens/>
        <w:spacing w:line="360" w:lineRule="auto"/>
        <w:rPr>
          <w:rFonts w:ascii="Arial" w:hAnsi="Arial" w:cs="Arial" w:eastAsiaTheme="minorEastAsia"/>
          <w:sz w:val="30"/>
          <w:szCs w:val="30"/>
        </w:rPr>
      </w:pPr>
    </w:p>
    <w:p w14:paraId="1AA27619">
      <w:pPr>
        <w:widowControl w:val="0"/>
        <w:suppressAutoHyphens/>
        <w:spacing w:line="360" w:lineRule="auto"/>
        <w:rPr>
          <w:rFonts w:ascii="Arial" w:hAnsi="Arial" w:cs="Arial" w:eastAsiaTheme="minorEastAsia"/>
          <w:sz w:val="30"/>
          <w:szCs w:val="30"/>
        </w:rPr>
      </w:pPr>
    </w:p>
    <w:p w14:paraId="24F3A1BB">
      <w:pPr>
        <w:widowControl w:val="0"/>
        <w:suppressAutoHyphens/>
        <w:spacing w:line="360" w:lineRule="auto"/>
        <w:rPr>
          <w:rFonts w:ascii="Arial" w:hAnsi="Arial" w:cs="Arial" w:eastAsiaTheme="minorEastAsia"/>
          <w:sz w:val="30"/>
          <w:szCs w:val="30"/>
        </w:rPr>
      </w:pPr>
    </w:p>
    <w:p w14:paraId="418B99E5">
      <w:pPr>
        <w:widowControl w:val="0"/>
        <w:suppressAutoHyphens/>
        <w:spacing w:line="360" w:lineRule="auto"/>
        <w:rPr>
          <w:rFonts w:ascii="Arial" w:hAnsi="Arial" w:cs="Arial" w:eastAsiaTheme="minorEastAsia"/>
          <w:sz w:val="30"/>
          <w:szCs w:val="30"/>
        </w:rPr>
      </w:pPr>
    </w:p>
    <w:p w14:paraId="1BE9B9EF">
      <w:pPr>
        <w:widowControl w:val="0"/>
        <w:suppressAutoHyphens/>
        <w:spacing w:line="360" w:lineRule="auto"/>
        <w:rPr>
          <w:rFonts w:ascii="Arial" w:hAnsi="Arial" w:cs="Arial" w:eastAsiaTheme="minorEastAsia"/>
          <w:sz w:val="30"/>
          <w:szCs w:val="30"/>
        </w:rPr>
      </w:pPr>
    </w:p>
    <w:p w14:paraId="15F6A0A3">
      <w:pPr>
        <w:widowControl w:val="0"/>
        <w:suppressAutoHyphens/>
        <w:spacing w:line="360" w:lineRule="auto"/>
        <w:rPr>
          <w:rFonts w:ascii="Arial" w:hAnsi="Arial" w:cs="Arial" w:eastAsiaTheme="minorEastAsia"/>
          <w:sz w:val="30"/>
          <w:szCs w:val="30"/>
        </w:rPr>
      </w:pPr>
    </w:p>
    <w:p w14:paraId="25220BAA">
      <w:pPr>
        <w:widowControl w:val="0"/>
        <w:suppressAutoHyphens/>
        <w:spacing w:line="360" w:lineRule="auto"/>
        <w:rPr>
          <w:rFonts w:ascii="Arial" w:hAnsi="Arial" w:cs="Arial" w:eastAsiaTheme="minorEastAsia"/>
          <w:sz w:val="30"/>
          <w:szCs w:val="30"/>
        </w:rPr>
      </w:pPr>
    </w:p>
    <w:p w14:paraId="715D1961">
      <w:pPr>
        <w:widowControl w:val="0"/>
        <w:suppressAutoHyphens/>
        <w:spacing w:line="360" w:lineRule="auto"/>
        <w:rPr>
          <w:rFonts w:ascii="Arial" w:hAnsi="Arial" w:cs="Arial" w:eastAsiaTheme="minorEastAsia"/>
          <w:sz w:val="30"/>
          <w:szCs w:val="30"/>
        </w:rPr>
      </w:pPr>
    </w:p>
    <w:p w14:paraId="02D8F903">
      <w:pPr>
        <w:widowControl w:val="0"/>
        <w:suppressAutoHyphens/>
        <w:spacing w:line="360" w:lineRule="auto"/>
        <w:rPr>
          <w:rFonts w:ascii="Arial" w:hAnsi="Arial" w:cs="Arial" w:eastAsiaTheme="minorEastAsia"/>
          <w:sz w:val="30"/>
          <w:szCs w:val="30"/>
        </w:rPr>
      </w:pPr>
    </w:p>
    <w:p w14:paraId="377CD49C">
      <w:pPr>
        <w:widowControl w:val="0"/>
        <w:suppressAutoHyphens/>
        <w:spacing w:line="360" w:lineRule="auto"/>
        <w:rPr>
          <w:rFonts w:ascii="Arial" w:hAnsi="Arial" w:cs="Arial" w:eastAsiaTheme="minorEastAsia"/>
          <w:sz w:val="30"/>
          <w:szCs w:val="30"/>
        </w:rPr>
      </w:pPr>
    </w:p>
    <w:p w14:paraId="03BCEC6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spacing w:val="-6"/>
          <w:sz w:val="28"/>
          <w:szCs w:val="28"/>
        </w:rPr>
      </w:pPr>
      <w:r>
        <w:rPr>
          <w:rFonts w:ascii="Arial" w:hAnsi="Arial" w:cs="Arial" w:eastAsiaTheme="minorEastAsia"/>
          <w:sz w:val="30"/>
          <w:szCs w:val="30"/>
        </w:rPr>
        <w:t>Введение</w:t>
      </w:r>
    </w:p>
    <w:p w14:paraId="10899059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Учебная практика по получению навыков исследовательской работы проходила на базе ФГБОУ ВО «ВВГУ», ИМБЭУ, кафедра экономики и управления, г.Владивосток в период с 9 февраля по 20 июня 2026 года.</w:t>
      </w:r>
    </w:p>
    <w:p w14:paraId="2646D38A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color w:val="000000"/>
          <w:spacing w:val="-1"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</w:rPr>
        <w:t xml:space="preserve">Целью прохождения учебной практики по получению навыков исследовательской работы является </w:t>
      </w:r>
      <w:r>
        <w:rPr>
          <w:color w:val="000000"/>
          <w:spacing w:val="-1"/>
          <w:sz w:val="28"/>
          <w:szCs w:val="28"/>
          <w:shd w:val="clear" w:color="auto" w:fill="FFFFFF"/>
        </w:rPr>
        <w:t>формирование и закрепление у обучающегося комплекса теоретических знаний и практических умений в области организации и проведения самостоятельного научного исследования, развитие способностей к критическому анализу источников информации, обработке эмпирических данных и формулированию обоснованных выводов.</w:t>
      </w:r>
    </w:p>
    <w:p w14:paraId="2A24FE7D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Основными задачами практики являются:</w:t>
      </w:r>
    </w:p>
    <w:p w14:paraId="1BE357E2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1) закрепление теоретических знаний по изученным дисциплинам (модулям);</w:t>
      </w:r>
    </w:p>
    <w:p w14:paraId="2B9641E9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2) формирование навыков поиска информации, необходимой для решения поставленных задач;</w:t>
      </w:r>
    </w:p>
    <w:p w14:paraId="2F057E55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3) развитие умения критически оценивать, обобщать и использовать полученную информацию, формулировать выводы и заключения.</w:t>
      </w:r>
    </w:p>
    <w:p w14:paraId="4434FD2C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Данная тема выбрана для исследования в связи с тем, что развитие цифровых валют центральных банков (</w:t>
      </w:r>
      <w:r>
        <w:rPr>
          <w:rFonts w:eastAsiaTheme="minorEastAsia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ЦВЦБ</w:t>
      </w:r>
      <w:r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 является одним из ключевых трендов современной финансовой системы, а вопросы их влияния на экономику и денежно-кредитную политику остаются недостаточно изученными.</w:t>
      </w:r>
    </w:p>
    <w:p w14:paraId="05772788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Методы исследования: теоретический анализ научной и нормативной литературы, систематизация, сравнительный анализ, метод обобщения, анализ статистических данных</w:t>
      </w:r>
      <w:r>
        <w:rPr>
          <w:rFonts w:ascii="Arial" w:hAnsi="Arial" w:eastAsiaTheme="minorEastAsia"/>
          <w:sz w:val="28"/>
          <w:szCs w:val="28"/>
        </w:rPr>
        <w:t>.</w:t>
      </w:r>
    </w:p>
    <w:p w14:paraId="675B9A21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Структурно отчёт по практике представлен введением, двумя разделами, заключением, списком использованных источников.</w:t>
      </w:r>
    </w:p>
    <w:p w14:paraId="6A12B20D">
      <w:pPr>
        <w:widowControl w:val="0"/>
        <w:tabs>
          <w:tab w:val="left" w:pos="993"/>
        </w:tabs>
        <w:contextualSpacing/>
        <w:jc w:val="both"/>
        <w:rPr>
          <w:rFonts w:ascii="Arial" w:hAnsi="Arial" w:eastAsiaTheme="minorEastAsia"/>
          <w:sz w:val="28"/>
          <w:szCs w:val="28"/>
        </w:rPr>
      </w:pPr>
    </w:p>
    <w:p w14:paraId="47D46DF3">
      <w:pPr>
        <w:widowControl w:val="0"/>
        <w:tabs>
          <w:tab w:val="left" w:pos="993"/>
        </w:tabs>
        <w:contextualSpacing/>
        <w:jc w:val="both"/>
        <w:rPr>
          <w:rFonts w:ascii="Arial" w:hAnsi="Arial" w:eastAsiaTheme="minorEastAsia"/>
          <w:sz w:val="28"/>
          <w:szCs w:val="28"/>
        </w:rPr>
      </w:pPr>
    </w:p>
    <w:p w14:paraId="493F9378">
      <w:pPr>
        <w:widowControl w:val="0"/>
        <w:tabs>
          <w:tab w:val="left" w:pos="993"/>
        </w:tabs>
        <w:contextualSpacing/>
        <w:jc w:val="both"/>
        <w:rPr>
          <w:rFonts w:ascii="Arial" w:hAnsi="Arial" w:eastAsiaTheme="minorEastAsia"/>
          <w:sz w:val="28"/>
          <w:szCs w:val="28"/>
        </w:rPr>
      </w:pPr>
    </w:p>
    <w:p w14:paraId="24CB5D39">
      <w:pPr>
        <w:widowControl w:val="0"/>
        <w:tabs>
          <w:tab w:val="left" w:pos="993"/>
        </w:tabs>
        <w:contextualSpacing/>
        <w:jc w:val="both"/>
        <w:rPr>
          <w:rFonts w:ascii="Arial" w:hAnsi="Arial" w:eastAsiaTheme="minorEastAsia"/>
          <w:sz w:val="28"/>
          <w:szCs w:val="28"/>
        </w:rPr>
      </w:pPr>
    </w:p>
    <w:p w14:paraId="6820A7B6">
      <w:pPr>
        <w:pageBreakBefore/>
        <w:widowControl w:val="0"/>
        <w:tabs>
          <w:tab w:val="left" w:pos="993"/>
        </w:tabs>
        <w:spacing w:after="240" w:line="360" w:lineRule="auto"/>
        <w:ind w:left="709"/>
        <w:contextualSpacing/>
        <w:jc w:val="both"/>
        <w:rPr>
          <w:rFonts w:ascii="Arial" w:hAnsi="Arial" w:cs="Arial" w:eastAsiaTheme="minorEastAsia"/>
          <w:sz w:val="30"/>
          <w:szCs w:val="30"/>
        </w:rPr>
      </w:pPr>
      <w:r>
        <w:rPr>
          <w:rFonts w:ascii="Arial" w:hAnsi="Arial" w:cs="Arial" w:eastAsiaTheme="minorEastAsia"/>
          <w:sz w:val="30"/>
          <w:szCs w:val="30"/>
        </w:rPr>
        <w:t xml:space="preserve">Раздел 1 Характеристика исследуемой проблемы </w:t>
      </w:r>
    </w:p>
    <w:p w14:paraId="5DB600DB">
      <w:pPr>
        <w:widowControl w:val="0"/>
        <w:tabs>
          <w:tab w:val="left" w:pos="993"/>
        </w:tabs>
        <w:spacing w:after="240" w:line="360" w:lineRule="auto"/>
        <w:ind w:left="709"/>
        <w:contextualSpacing/>
        <w:jc w:val="both"/>
        <w:rPr>
          <w:rFonts w:ascii="Arial" w:hAnsi="Arial" w:cs="Arial" w:eastAsiaTheme="minorEastAsia"/>
          <w:sz w:val="28"/>
          <w:szCs w:val="28"/>
        </w:rPr>
      </w:pPr>
      <w:r>
        <w:rPr>
          <w:rFonts w:ascii="Arial" w:hAnsi="Arial" w:cs="Arial" w:eastAsiaTheme="minorEastAsia"/>
          <w:sz w:val="28"/>
          <w:szCs w:val="28"/>
        </w:rPr>
        <w:t xml:space="preserve">1.1 Актуальность и степень разработанности проблемы </w:t>
      </w:r>
    </w:p>
    <w:p w14:paraId="3BF16CA3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Тема исследования: Национальные цифровые валюты: сегодня и завтра.</w:t>
      </w:r>
    </w:p>
    <w:p w14:paraId="0C73E568">
      <w:pPr>
        <w:widowControl w:val="0"/>
        <w:spacing w:line="360" w:lineRule="auto"/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Национальные цифровые валюты (CBDC) являются одной из наиболее обсуждаемых тем в современной финансовой науке и практике. По состоянию на 2026 год более 130 стран исследуют или тестируют собственные цифровые валюты. Китай, Россия, страны Евросоюза, Багамские Острова и Нигерия уже имеют действующие пилотные проекты или полностью запущенные системы.</w:t>
      </w:r>
    </w:p>
    <w:p w14:paraId="42E81C16">
      <w:pPr>
        <w:widowControl w:val="0"/>
        <w:spacing w:line="360" w:lineRule="auto"/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Актуальность обусловлена несколькими факторами, а именно стремительная цифровизация экономики, снижение использования наличных денег, распространение частных криптовалют (биткоин, стейблкоины), а также потребность государств в сохранении денежного суверенитета.</w:t>
      </w:r>
    </w:p>
    <w:p w14:paraId="6547D246">
      <w:pPr>
        <w:widowControl w:val="0"/>
        <w:spacing w:line="360" w:lineRule="auto"/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Проблематика CBDC активно исследуется как зарубежными, так и российскими учёными. Значительный вклад внесли как международные организации: Международный валютный фонд (IMF), Банк международных расчётов (BIS), Всемирный банк, так и ученые, а именно:</w:t>
      </w:r>
    </w:p>
    <w:p w14:paraId="0F1ECA04">
      <w:pPr>
        <w:widowControl w:val="0"/>
        <w:spacing w:line="360" w:lineRule="auto"/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зарубежные исследователи: Т. Манчини-Гриффоли (IMF), М. Бруннермайер, Д. Ньепельт, К. Гудхарт.</w:t>
      </w:r>
    </w:p>
    <w:p w14:paraId="53B52445">
      <w:pPr>
        <w:widowControl w:val="0"/>
        <w:spacing w:line="360" w:lineRule="auto"/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российские учёные: Д.А. Кочергин (СПбГУ), И.Р. Исхаков, О.А. Шипшова, Ж.В. Федорова, Д.Г. Бахолдин.</w:t>
      </w:r>
    </w:p>
    <w:p w14:paraId="74B43C50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Проблема отражена в нормативных документах: доклады Банка России («Цифровой рубль», 2020–2023) [1], документы Европейского центрального банка (Report on a digital euro, 2020) [2], законодательство Китая о цифровом юане.</w:t>
      </w:r>
    </w:p>
    <w:p w14:paraId="60EA34E6">
      <w:pPr>
        <w:widowControl w:val="0"/>
        <w:spacing w:before="240" w:after="120"/>
        <w:ind w:left="709"/>
        <w:rPr>
          <w:rFonts w:ascii="Arial" w:hAnsi="Arial" w:cs="Arial" w:eastAsiaTheme="minorEastAsia"/>
          <w:sz w:val="28"/>
          <w:szCs w:val="28"/>
        </w:rPr>
      </w:pPr>
      <w:r>
        <w:rPr>
          <w:rFonts w:ascii="Arial" w:hAnsi="Arial" w:cs="Arial" w:eastAsiaTheme="minorEastAsia"/>
          <w:sz w:val="28"/>
          <w:szCs w:val="28"/>
        </w:rPr>
        <w:t>1.2 Цель и задачи исследования</w:t>
      </w:r>
    </w:p>
    <w:p w14:paraId="2711D76E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Исследование – это процесс изучения какого-либо объекта, явления или проблемы с целью получения новых знаний, подтверждения фактов или поиска решения. Исследование основывается на анализе информации, наблюдении, сравнении, экспериментах и выводах.</w:t>
      </w:r>
    </w:p>
    <w:p w14:paraId="7E6FA29D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Исследовательская работа предполагает 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выполнение последовательных действий, направленных на изучение определённой проблемы или вопроса. В ходе работы выбирается тема исследования, формулируются цель и задачи, осуществляется поиск и изучение необходимой информации из различных источников. Далее проводится анализ полученных данных, используются методы исследования, такие как наблюдение, сравнение и анализ, после чего формулируются выводы по результатам проведённой работы. Итогом исследовательской деятельности становится оформление результатов исследования в виде научной или учебной работы.</w:t>
      </w:r>
    </w:p>
    <w:p w14:paraId="3C36FAE6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Цель исследования — комплексный анализ национальных цифровых валют, их современного состояния, перспектив развития и влияния на финансовую систему.</w:t>
      </w:r>
    </w:p>
    <w:p w14:paraId="70D2248E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Задачи исследования:</w:t>
      </w:r>
    </w:p>
    <w:p w14:paraId="0E757622">
      <w:pPr>
        <w:widowControl w:val="0"/>
        <w:spacing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1) раскрыть понятие и сущность </w:t>
      </w:r>
      <w:r>
        <w:rPr>
          <w:rFonts w:hint="default" w:eastAsiaTheme="minorEastAsia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цифровых валют</w:t>
      </w:r>
      <w:r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;</w:t>
      </w:r>
    </w:p>
    <w:p w14:paraId="05592847">
      <w:pPr>
        <w:widowControl w:val="0"/>
        <w:spacing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2) изучить историю развития цифровых валют;</w:t>
      </w:r>
    </w:p>
    <w:p w14:paraId="6EFAFEA5">
      <w:pPr>
        <w:widowControl w:val="0"/>
        <w:spacing w:line="360" w:lineRule="auto"/>
        <w:ind w:firstLine="709"/>
        <w:jc w:val="both"/>
        <w:rPr>
          <w:rFonts w:hint="default" w:eastAsiaTheme="minorEastAsia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3) провести классификацию видов </w:t>
      </w:r>
      <w:r>
        <w:rPr>
          <w:rFonts w:eastAsiaTheme="minorEastAsia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цифровых</w:t>
      </w:r>
      <w:r>
        <w:rPr>
          <w:rFonts w:hint="default" w:eastAsiaTheme="minorEastAsia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валют</w:t>
      </w:r>
    </w:p>
    <w:p w14:paraId="5F0C2A72">
      <w:pPr>
        <w:widowControl w:val="0"/>
        <w:suppressAutoHyphens/>
        <w:spacing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4) проанализировать основные проекты (Китай, Россия, ЕС, Багамы);</w:t>
      </w:r>
    </w:p>
    <w:p w14:paraId="5F688472">
      <w:pPr>
        <w:widowControl w:val="0"/>
        <w:suppressAutoHyphens/>
        <w:spacing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5) выявить преимущества и риски внедрения;</w:t>
      </w:r>
    </w:p>
    <w:p w14:paraId="00312219">
      <w:pPr>
        <w:widowControl w:val="0"/>
        <w:suppressAutoHyphens/>
        <w:spacing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6) оценить влияние на банковскую систему;</w:t>
      </w:r>
    </w:p>
    <w:p w14:paraId="1CA8D8E2">
      <w:pPr>
        <w:widowControl w:val="0"/>
        <w:suppressAutoHyphens/>
        <w:spacing w:line="36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7) описать возможные сценарии развития.</w:t>
      </w:r>
    </w:p>
    <w:p w14:paraId="03980265">
      <w:pPr>
        <w:widowControl w:val="0"/>
        <w:spacing w:line="360" w:lineRule="auto"/>
        <w:ind w:left="709" w:firstLine="709"/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1731FB">
      <w:pPr>
        <w:widowControl w:val="0"/>
        <w:spacing w:line="360" w:lineRule="auto"/>
        <w:ind w:left="709"/>
        <w:rPr>
          <w:rFonts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3A025BC">
      <w:pPr>
        <w:widowControl w:val="0"/>
        <w:spacing w:line="360" w:lineRule="auto"/>
        <w:ind w:left="709"/>
        <w:rPr>
          <w:rFonts w:eastAsiaTheme="minorEastAsia"/>
          <w:sz w:val="28"/>
          <w:szCs w:val="28"/>
        </w:rPr>
      </w:pPr>
    </w:p>
    <w:p w14:paraId="753E1466">
      <w:pPr>
        <w:widowControl w:val="0"/>
        <w:spacing w:line="360" w:lineRule="auto"/>
        <w:ind w:left="709"/>
        <w:rPr>
          <w:rFonts w:eastAsiaTheme="minorEastAsia"/>
          <w:sz w:val="28"/>
          <w:szCs w:val="28"/>
        </w:rPr>
      </w:pPr>
    </w:p>
    <w:p w14:paraId="3EE96849">
      <w:pPr>
        <w:widowControl w:val="0"/>
        <w:spacing w:line="360" w:lineRule="auto"/>
        <w:ind w:left="709"/>
        <w:rPr>
          <w:rFonts w:eastAsiaTheme="minorEastAsia"/>
          <w:sz w:val="28"/>
          <w:szCs w:val="28"/>
        </w:rPr>
      </w:pPr>
    </w:p>
    <w:p w14:paraId="40820C3F">
      <w:pPr>
        <w:widowControl w:val="0"/>
        <w:spacing w:line="360" w:lineRule="auto"/>
        <w:ind w:left="709"/>
        <w:rPr>
          <w:rFonts w:eastAsiaTheme="minorEastAsia"/>
          <w:sz w:val="28"/>
          <w:szCs w:val="28"/>
        </w:rPr>
      </w:pPr>
    </w:p>
    <w:p w14:paraId="54F9E452">
      <w:pPr>
        <w:widowControl w:val="0"/>
        <w:spacing w:line="360" w:lineRule="auto"/>
        <w:ind w:left="709"/>
        <w:rPr>
          <w:rFonts w:eastAsiaTheme="minorEastAsia"/>
          <w:sz w:val="28"/>
          <w:szCs w:val="28"/>
        </w:rPr>
      </w:pPr>
    </w:p>
    <w:p w14:paraId="50313986">
      <w:pPr>
        <w:widowControl w:val="0"/>
        <w:spacing w:line="360" w:lineRule="auto"/>
        <w:ind w:left="709"/>
        <w:rPr>
          <w:rFonts w:eastAsiaTheme="minorEastAsia"/>
          <w:sz w:val="28"/>
          <w:szCs w:val="28"/>
        </w:rPr>
      </w:pPr>
    </w:p>
    <w:p w14:paraId="1709BB55">
      <w:pPr>
        <w:widowControl w:val="0"/>
        <w:spacing w:line="360" w:lineRule="auto"/>
        <w:rPr>
          <w:rFonts w:eastAsiaTheme="minorEastAsia"/>
          <w:sz w:val="28"/>
          <w:szCs w:val="28"/>
        </w:rPr>
      </w:pPr>
    </w:p>
    <w:p w14:paraId="6213784F">
      <w:pPr>
        <w:pageBreakBefore/>
        <w:widowControl w:val="0"/>
        <w:spacing w:after="240"/>
        <w:ind w:firstLine="709"/>
        <w:rPr>
          <w:rFonts w:ascii="Arial" w:hAnsi="Arial" w:cs="Arial" w:eastAsiaTheme="minorEastAsia"/>
          <w:sz w:val="30"/>
          <w:szCs w:val="30"/>
        </w:rPr>
      </w:pPr>
      <w:r>
        <w:rPr>
          <w:rFonts w:ascii="Arial" w:hAnsi="Arial" w:cs="Arial" w:eastAsiaTheme="minorEastAsia"/>
          <w:sz w:val="30"/>
          <w:szCs w:val="30"/>
        </w:rPr>
        <w:t>Раздел 2 Современное состояние исследуемой проблемы</w:t>
      </w:r>
    </w:p>
    <w:p w14:paraId="648BF6C2">
      <w:pPr>
        <w:widowControl w:val="0"/>
        <w:spacing w:after="120"/>
        <w:ind w:firstLine="709"/>
        <w:rPr>
          <w:rFonts w:ascii="Arial" w:hAnsi="Arial" w:cs="Arial" w:eastAsiaTheme="minorEastAsia"/>
          <w:sz w:val="28"/>
          <w:szCs w:val="28"/>
        </w:rPr>
      </w:pPr>
      <w:r>
        <w:rPr>
          <w:rFonts w:ascii="Arial" w:hAnsi="Arial" w:cs="Arial" w:eastAsiaTheme="minorEastAsia"/>
          <w:sz w:val="28"/>
          <w:szCs w:val="28"/>
        </w:rPr>
        <w:t>2.1 Понятие, сущность и классификация ЦВЦБ</w:t>
      </w:r>
    </w:p>
    <w:p w14:paraId="086E1FCD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Национальная цифровая валюта— это цифровая форма денег государства, которая эмитируется (выпускается) центральным банком в качестве законного платёжного средства. Она номинирована в национальной денежной единице (рубль, доллар, евро, юань и т.д.) и является полноценной третьей формой денег наряду с наличными (банкноты и монеты) и безналичными деньгами (средства на счетах в коммерческих банках) [1]. Для обозначения цифровой валюты центрального банка в мировой практике используется англоязычная аббревиатура(от ан</w:t>
      </w:r>
      <w:r>
        <w:rPr>
          <w:rFonts w:eastAsia="Noto Sans Armeni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гл. Central bank digital currency - далее CBDC). В русскоязычной научной литературе закрепилось соответствующее сокращение (от русс. Цифровая валюта центрального банка - далее ЦВЦБ). 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Сущность цифровых валют раскрывается через ряд характеристик, такие как:</w:t>
      </w:r>
    </w:p>
    <w:p w14:paraId="297131DE">
      <w:pPr>
        <w:widowControl w:val="0"/>
        <w:spacing w:line="360" w:lineRule="auto"/>
        <w:ind w:firstLine="709"/>
        <w:jc w:val="both"/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1) форма денег — существует исключительно в цифровом виде (не имеет физического носителя, такого как монета или банкнота) [3]</w:t>
      </w:r>
      <w:r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5538E2E3">
      <w:pPr>
        <w:widowControl w:val="0"/>
        <w:spacing w:line="360" w:lineRule="auto"/>
        <w:ind w:firstLine="709"/>
        <w:jc w:val="both"/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2) эмитент — только центральный банк. это отличает цвцб от криптовалют (биткоин, эфириум), которые не имеют единого эмитента [2]</w:t>
      </w:r>
      <w:r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350D51D4">
      <w:pPr>
        <w:widowControl w:val="0"/>
        <w:spacing w:line="360" w:lineRule="auto"/>
        <w:ind w:firstLine="709"/>
        <w:jc w:val="both"/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3) обязательство центробанка — держатель цвцб имеет прямое требование к центральному банку, что исключает кредитный риск (в отличие от депозитов в коммерческих банках) [4]</w:t>
      </w:r>
      <w:r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0A249A85">
      <w:pPr>
        <w:widowControl w:val="0"/>
        <w:spacing w:line="360" w:lineRule="auto"/>
        <w:ind w:firstLine="709"/>
        <w:jc w:val="both"/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4)  законное платежное средство — на территории страны продавцы и организации обязаны принимать цвцб к оплате наравне с наличными [1]</w:t>
      </w:r>
      <w:r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5C6EB12C">
      <w:pPr>
        <w:widowControl w:val="0"/>
        <w:spacing w:line="360" w:lineRule="auto"/>
        <w:ind w:firstLine="709"/>
        <w:jc w:val="both"/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5)  функции денег — выполняет все три классические функции: средство обмена (платежи), мера стоимости (цена товаров), средство сбережения (накопление, обычно с возможным ограничением суммы) [3]</w:t>
      </w:r>
      <w:r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7CA27EAA">
      <w:pPr>
        <w:widowControl w:val="0"/>
        <w:spacing w:line="360" w:lineRule="auto"/>
        <w:ind w:firstLine="709"/>
        <w:jc w:val="both"/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6) форма выпуска — может быть двух видов: розничная — для всех граждан и бизнеса [3], и оптовая — только для расчетов между банками и крупными финансовыми институтами [2]</w:t>
      </w:r>
      <w:r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76710466">
      <w:pPr>
        <w:widowControl w:val="0"/>
        <w:spacing w:line="360" w:lineRule="auto"/>
        <w:ind w:firstLine="709"/>
        <w:jc w:val="both"/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7) уровень анонимности — регулируется государством: чаще всего это контролируемая анонимность (транзакции видны банку и налоговикам, но не третьим лицам). полная анонимность, как у наличных, обычно не предусмотрена [1, 2]</w:t>
      </w:r>
      <w:r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1CA778CA">
      <w:pPr>
        <w:widowControl w:val="0"/>
        <w:spacing w:line="360" w:lineRule="auto"/>
        <w:ind w:firstLine="709"/>
        <w:jc w:val="both"/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8) технологическая основа — может использовать распределенные реестры (блокчейн) или классические централизованные базы данных центробанка [1, 4]</w:t>
      </w:r>
      <w:r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626B4465">
      <w:pPr>
        <w:widowControl w:val="0"/>
        <w:spacing w:line="360" w:lineRule="auto"/>
        <w:ind w:firstLine="709"/>
        <w:jc w:val="both"/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 xml:space="preserve">9) цели внедрения — снижение издержек обращения наличных, борьба с теневой экономикой, повышение доступности финансовых услуг (финансовая инклюзия), обеспечение суверенитета в условиях распространения частных криптовалют и стейблкоинов </w:t>
      </w:r>
      <w:r>
        <w:rPr>
          <w:rFonts w:eastAsia="Noto Sans Armeni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[2</w:t>
      </w:r>
      <w:r>
        <w:rPr>
          <w:rFonts w:hint="default" w:eastAsia="Noto Sans Armenian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eastAsia="Noto Sans Armeni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3]</w:t>
      </w:r>
      <w:r>
        <w:rPr>
          <w:rFonts w:hint="default" w:eastAsia="Noto Sans Armenian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;</w:t>
      </w:r>
    </w:p>
    <w:p w14:paraId="09C4E712">
      <w:pPr>
        <w:widowControl w:val="0"/>
        <w:spacing w:line="360" w:lineRule="auto"/>
        <w:ind w:firstLine="709"/>
        <w:jc w:val="both"/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10) ограничения — часто вводятся лимиты на хранение (чтобы не допустить массового оттока депозитов из коммерческих банков) и на сумму одной транзакции [1</w:t>
      </w:r>
      <w:r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5].</w:t>
      </w:r>
    </w:p>
    <w:p w14:paraId="72C15DE6">
      <w:pPr>
        <w:widowControl w:val="0"/>
        <w:spacing w:line="360" w:lineRule="auto"/>
        <w:ind w:firstLine="709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Для классификации ЦВЦБ используют несколько критериев, среди которых основными являются целевая аудитория и доходность цифровой валюты</w:t>
      </w:r>
      <w:r>
        <w:rPr>
          <w:rFonts w:hint="default" w:eastAsia="SimSun"/>
          <w:sz w:val="28"/>
          <w:szCs w:val="28"/>
          <w:lang w:val="ru-RU"/>
        </w:rPr>
        <w:t xml:space="preserve"> </w:t>
      </w:r>
      <w:r>
        <w:rPr>
          <w:rFonts w:eastAsia="SimSun"/>
          <w:sz w:val="28"/>
          <w:szCs w:val="28"/>
        </w:rPr>
        <w:t>[6]. Кроме того, существуют классификации по технологической основе, уровню анонимности, архитектуре системы и другим признакам.</w:t>
      </w:r>
    </w:p>
    <w:p w14:paraId="3CA16347">
      <w:pPr>
        <w:widowControl w:val="0"/>
        <w:spacing w:line="360" w:lineRule="auto"/>
        <w:ind w:firstLine="709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 научной литературе и документах международных организаций выделяют две принципиальные </w:t>
      </w:r>
      <w:r>
        <w:rPr>
          <w:rFonts w:eastAsia="SimSun"/>
          <w:bCs/>
          <w:sz w:val="28"/>
          <w:szCs w:val="28"/>
        </w:rPr>
        <w:t>модели</w:t>
      </w:r>
      <w:r>
        <w:rPr>
          <w:rFonts w:eastAsia="SimSun"/>
          <w:sz w:val="28"/>
          <w:szCs w:val="28"/>
        </w:rPr>
        <w:t xml:space="preserve"> ЦВЦБ, такие как розничные и оптовые. Эти модели различаются по целевой аудитории, функциональному назначению и техническим характеристикам.</w:t>
      </w:r>
    </w:p>
    <w:p w14:paraId="06BCF4E1">
      <w:pPr>
        <w:widowControl w:val="0"/>
        <w:spacing w:line="360" w:lineRule="auto"/>
        <w:ind w:firstLine="709"/>
        <w:contextualSpacing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Раскроем первую модель ЦВЦБ - р</w:t>
      </w:r>
      <w:r>
        <w:rPr>
          <w:rFonts w:eastAsia="SimSun"/>
          <w:sz w:val="28"/>
          <w:szCs w:val="28"/>
        </w:rPr>
        <w:t>озничную. Она предназначена для населения и бизнеса в повседневных платежах.</w:t>
      </w:r>
    </w:p>
    <w:p w14:paraId="63EC8A79">
      <w:pPr>
        <w:widowControl w:val="0"/>
        <w:spacing w:line="360" w:lineRule="auto"/>
        <w:ind w:firstLine="709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Характеристики розничной модели ЦВЦБ включает в себя форму цифровых наличных, прямое требование к центробанку, а также доступ через мобильные приложения и смарт-карты.</w:t>
      </w:r>
    </w:p>
    <w:p w14:paraId="45EC0D33">
      <w:pPr>
        <w:widowControl w:val="0"/>
        <w:spacing w:line="360" w:lineRule="auto"/>
        <w:ind w:firstLine="709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Целью розничной модели ЦВЦБ является финансовая инклюзия, снижение издержек платежей, противодействие сокращению наличных, денежный суверенитет.</w:t>
      </w:r>
    </w:p>
    <w:p w14:paraId="19765495">
      <w:pPr>
        <w:widowControl w:val="0"/>
        <w:spacing w:line="360" w:lineRule="auto"/>
        <w:ind w:firstLine="709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 качестве примеров можно привести такие проекты,как цифровой юань (Китай), цифровой рубль (Россия), Sand Dollar (Багамы), eNaira (Нигерия), JAM-DEX (Ямайка), DCash (Восточно-Карибский союз), цифровой евро (ЕС).</w:t>
      </w:r>
    </w:p>
    <w:p w14:paraId="2AF544FA">
      <w:pPr>
        <w:widowControl w:val="0"/>
        <w:spacing w:line="360" w:lineRule="auto"/>
        <w:ind w:firstLine="709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Теперь раскроем вторую модель ЦВЦБ - оптовую.Она предназначена  для финансовых институтов в межбанковских расчётах, а также при проведении трансграничных платежах.</w:t>
      </w:r>
    </w:p>
    <w:p w14:paraId="2EA9D83F">
      <w:pPr>
        <w:widowControl w:val="0"/>
        <w:spacing w:line="360" w:lineRule="auto"/>
        <w:ind w:firstLine="709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Характеристики оптовой модели включают в себя цифровой аналог резервов центрального банка и доступ исключительно  только для профессиональных участников финансового рынка.</w:t>
      </w:r>
    </w:p>
    <w:p w14:paraId="1B4A3BE3">
      <w:pPr>
        <w:widowControl w:val="0"/>
        <w:spacing w:line="360" w:lineRule="auto"/>
        <w:ind w:firstLine="709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Целью оптовой модели ЦВЦБ является  повышение эффективности расчётов, ускорение трансграничных платежей, а также  снижение расчётных и кредитных рисков.</w:t>
      </w:r>
    </w:p>
    <w:p w14:paraId="3EA0E45A">
      <w:pPr>
        <w:widowControl w:val="0"/>
        <w:spacing w:line="360" w:lineRule="auto"/>
        <w:ind w:firstLine="709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 качестве примеров можно привести такие проекты, как Project Jasper (Канада), Project Ubin (Сингапур), Project LionRock (Гонконг), Project Stella (Япония/ЕЦБ), Project Helvetia (Швейцария), mBridge (BIS, Китай, Гонконг, Таиланд, ОАЭ).</w:t>
      </w:r>
    </w:p>
    <w:p w14:paraId="01706BF8">
      <w:pPr>
        <w:widowControl w:val="0"/>
        <w:spacing w:line="360" w:lineRule="auto"/>
        <w:ind w:firstLine="709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Помимо деления на розничные и оптовые, ЦВЦБ классифицируют также по признаку доходности. В рамках этого критерия выделяют беспроцентные и процентные цифровые валюты.</w:t>
      </w:r>
    </w:p>
    <w:p w14:paraId="0E713FAA">
      <w:pPr>
        <w:widowControl w:val="0"/>
        <w:spacing w:line="360" w:lineRule="auto"/>
        <w:ind w:firstLine="709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Беспроцентные ЦВЦБ представляют собой цифровой аналог наличных денег и не являются инструментом сбережения, примером такой модели может служить цифровой рубль. Процентные ЦВЦБ могут приносить доход их держателям и выступают аналогом электронных средств платежа.</w:t>
      </w:r>
    </w:p>
    <w:p w14:paraId="3656AD47">
      <w:pPr>
        <w:widowControl w:val="0"/>
        <w:spacing w:line="360" w:lineRule="auto"/>
        <w:ind w:firstLine="709"/>
        <w:contextualSpacing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Также важное значение для понимания природы ЦВЦБ имеют другие критерии, среди которых — технология доступа и архитектура системы.</w:t>
      </w:r>
    </w:p>
    <w:p w14:paraId="65D29DAE">
      <w:pPr>
        <w:widowControl w:val="0"/>
        <w:spacing w:line="360" w:lineRule="auto"/>
        <w:ind w:firstLine="709"/>
        <w:contextualSpacing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Если говорить про классификацию по технологии доступа, то в рамках данного критерия выделяют токен-ориентированные и счёт-ориентированные ЦВЦБ. Токен-ориентированные модели обеспечивают более высокий уровень анонимности, тогда как счёт-ориентированные требуют обязательной идентификации пользователя.</w:t>
      </w:r>
    </w:p>
    <w:p w14:paraId="70CFF34B">
      <w:pPr>
        <w:widowControl w:val="0"/>
        <w:spacing w:line="360" w:lineRule="auto"/>
        <w:ind w:firstLine="709"/>
        <w:contextualSpacing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Такой критерий, как классификация по архитектуре включает прямую модель, при которой центральный банк напрямую обслуживает пользователей, и двухуровневую (гибридную) модель, при которой центральный банк эмитирует валюту, а коммерческие банки распространяют её.</w:t>
      </w:r>
    </w:p>
    <w:p w14:paraId="67A57A59">
      <w:pPr>
        <w:spacing w:before="240" w:after="120"/>
        <w:ind w:firstLine="709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8"/>
          <w:szCs w:val="28"/>
        </w:rPr>
        <w:t xml:space="preserve">2.2 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История развития и современные проекты  </w:t>
      </w:r>
    </w:p>
    <w:p w14:paraId="430F3609">
      <w:pPr>
        <w:spacing w:line="360" w:lineRule="auto"/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История цифровых валют начинается в 1982 г. с публикации Дэвида Чаума «Скрытые подписи для не отслеживаемых платежей», где описывалась технология «слепой подписи» и «цифрового конверта», обеспечивающая анонимность платежей [4]. Слабым местом была возможность мошенничества с повторным использованием электронных купюр.</w:t>
      </w:r>
    </w:p>
    <w:p w14:paraId="7DB4DC3A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Параллельно над идеей работал Стэфан Брэндес. В 1989 г. они создали компанию DigiCash и запустили систему eCash (централизованное управление). 5 мая 1994 г. проведён первый в мире электронный платеж [7</w:t>
      </w:r>
      <w:r>
        <w:rPr>
          <w:rFonts w:hint="default" w:eastAsiaTheme="minorEastAsia"/>
          <w:sz w:val="28"/>
          <w:szCs w:val="28"/>
          <w:lang w:val="ru-RU"/>
        </w:rPr>
        <w:t xml:space="preserve">, </w:t>
      </w:r>
      <w:r>
        <w:rPr>
          <w:rFonts w:eastAsiaTheme="minorEastAsia"/>
          <w:sz w:val="28"/>
          <w:szCs w:val="28"/>
        </w:rPr>
        <w:t>8]. Однако компания не завоевала доверие массового потребителя и через четыре года обанкротилась, хотя её технология стала основой для цифровых денег.</w:t>
      </w:r>
    </w:p>
    <w:p w14:paraId="5E867EF6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середине 2002 г. заключено соглашение между PayCash и Яндекс, что привело к рождению Яндекс.Деньги. В 2008 г. появилась оплата услуг через «личный кабинет». Принятие Федеральных законов № 103 и № 120, а также создание в 2009 г. Ассоциации участников рынка электронных денег (АЭД) свидетельствовали о зрелости отрасли [7</w:t>
      </w:r>
      <w:r>
        <w:rPr>
          <w:rFonts w:hint="default" w:eastAsiaTheme="minorEastAsia"/>
          <w:sz w:val="28"/>
          <w:szCs w:val="28"/>
          <w:lang w:val="ru-RU"/>
        </w:rPr>
        <w:t xml:space="preserve">, </w:t>
      </w:r>
      <w:r>
        <w:rPr>
          <w:rFonts w:eastAsiaTheme="minorEastAsia"/>
          <w:sz w:val="28"/>
          <w:szCs w:val="28"/>
        </w:rPr>
        <w:t>8].</w:t>
      </w:r>
    </w:p>
    <w:p w14:paraId="13653749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2009 г. Сатоши Накамото запустил биткоин, положив начало децентрализованным цифровым валютам на основе блокчейна. В конце 2010 г. он покинул проект. Появились альт-валюты: Неймкойн, GeistGeld, iXcoin, SolidCoin[7</w:t>
      </w:r>
      <w:r>
        <w:rPr>
          <w:rFonts w:hint="default" w:eastAsiaTheme="minorEastAsia"/>
          <w:sz w:val="28"/>
          <w:szCs w:val="28"/>
          <w:lang w:val="ru-RU"/>
        </w:rPr>
        <w:t xml:space="preserve">, </w:t>
      </w:r>
      <w:r>
        <w:rPr>
          <w:rFonts w:eastAsiaTheme="minorEastAsia"/>
          <w:sz w:val="28"/>
          <w:szCs w:val="28"/>
        </w:rPr>
        <w:t>8].</w:t>
      </w:r>
    </w:p>
    <w:p w14:paraId="2F6A634C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России по данным 2016–2018 годов «Яндекс.Деньги» оставались самым популярным сервисом электронных денег.</w:t>
      </w:r>
    </w:p>
    <w:p w14:paraId="03DF3140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научной литературе принято выделять несколько этапов развития цифровых валют. Первый этап (1982–1995 годы) характеризуется разработкой первых систем цифровой валюты, основанных на технологиях «слепой подписи» и «цифрового конверта». Второй этап (1996–2008 годы) ознаменовался появлением таких сервисов, как «электронное золото», PayPal, PhonePaid, PayCash, WebMoney и Яндекс.Деньги. Третий этап (2009–2013 годы) связан с запуском биткоина, созданием альт-валют, криптовалютных кошельков и началом оплаты товаров онлайн. Четвёртый этап (с 2014 года по настоящее время) включает признание криптовалют в Венесуэле, запреты на рекламу криптовалют в ряде стран, рост популярности WebMoney и PayPal, а также активную разработку национальных цифровых валют центральных банков (ЦВЦБ).По состоянию на начало 2026 года более 130 государств исследуют или тестируют ЦВЦБ [7]. Затраты на пилотные проекты — порядка 14 млрд долларов, ожидаемый доход в 2026 году — 41 млрд долларов.</w:t>
      </w:r>
    </w:p>
    <w:p w14:paraId="28CAA53F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Различные страны находятся на разных стадиях внедрения национальных цифровых валют. Наиболее показательными примерами являются Китай с его проектом цифрового юаня и Багамские Острова, где был запущен первый в мире розничный проект ЦВЦБ.</w:t>
      </w:r>
    </w:p>
    <w:p w14:paraId="08B06694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Цифровой юань в Китае представляет собой наиболее масштабный проект розничной ЦВЦБ, который с 2014 года разрабатывается Народным банком Китая, с 2019 года тестируется в пилотных регионах, а к июлю 2025 года охватывал уже 26 провинций, используя двухуровневую модель (эмиссия через коммерческие банки), не начисляя процентов и не взимая комиссии с пользователей [4</w:t>
      </w:r>
      <w:r>
        <w:rPr>
          <w:rFonts w:hint="default" w:eastAsiaTheme="minorEastAsia"/>
          <w:sz w:val="28"/>
          <w:szCs w:val="28"/>
          <w:lang w:val="ru-RU"/>
        </w:rPr>
        <w:t xml:space="preserve">, </w:t>
      </w:r>
      <w:r>
        <w:rPr>
          <w:rFonts w:eastAsiaTheme="minorEastAsia"/>
          <w:sz w:val="28"/>
          <w:szCs w:val="28"/>
        </w:rPr>
        <w:t>5</w:t>
      </w:r>
      <w:r>
        <w:rPr>
          <w:rFonts w:hint="default" w:eastAsiaTheme="minorEastAsia"/>
          <w:sz w:val="28"/>
          <w:szCs w:val="28"/>
          <w:lang w:val="ru-RU"/>
        </w:rPr>
        <w:t xml:space="preserve">, </w:t>
      </w:r>
      <w:r>
        <w:rPr>
          <w:rFonts w:eastAsiaTheme="minorEastAsia"/>
          <w:sz w:val="28"/>
          <w:szCs w:val="28"/>
        </w:rPr>
        <w:t>10]; по данным на конец июля 2025 года сумма транзакций в e-CNY достигла 8,5 трлн юаней (1,19 трлн долларов США), количество личных кошельков составило 420 миллионов, а корпоративных — 12 миллионов, при этом 43% пользователей находятся в возрасте от 25 до 35 лет, а трансграничные платежи превысили 120 млрд юаней; в июне 2025 года объявлено о создании международного операционного центра e-CNY в Шанхае, а с 1 января 2026 года цифровой юань переходит от роли «цифровых наличных» к роли «цифровых депозитов» с возможностью начисления процентов.</w:t>
      </w:r>
    </w:p>
    <w:p w14:paraId="68229F8B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Песочный доллар (Sand Dollar) на Багамских Островах стал первым в мире запущенным проектом розничной ЦВЦБ (октябрь 2020 года) [7]; его основными целями являются обеспечение финансовой доступности для жителей более чем 700 островов, снижение зависимости от наличных и стимулирование финтех-инноваций, а ключевыми особенностями — работа через смартфон или платёжную карту, мгновенные и практически бесплатные переводы, а также возможность офлайн-платежей, что сделало этот проект глобальным прецедентом для малых островных государств.</w:t>
      </w:r>
    </w:p>
    <w:p w14:paraId="3E6D0365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Цифровой рубль в России разрабатывается Банком России как третья форма национальной валюты [8]. На середину 2025 года в пилотном проекте участвовало 15 банков, 1700 граждан и 30 компаний [1]. По данным на конец мая 2025 года, было открыто 2,5 тысячи кошельков, а общее количество операций превысило 100 тысяч, из которых 63 тысячи составили переводы, 13 тысяч — оплаты товаров и услуг, а 17 тысяч — смарт-контракты [6]. Особенностью цифрового рубля является хранение средств на платформе Центрального банка, при этом переводы для граждан бесплатны, однако проценты и кешбэк не начисляются, а получение кредитов в цифровых рублях невозможно [8]. Массовое внедрение цифрового рубля было перенесено (ранее оно ожидалось 1 июля 2025 года) [1]. Установлены обязательные сроки внедрения: с 1 сентября 2026 года — для крупнейших банков и компаний с выручкой более 120 млн рублей; до 1 сентября 2027 года — для банков с универсальной лицензией и продавцов с выручкой более 30 млн рублей; с 1 сентября 2028 года — для остальных участников (с выручкой от 20 до 30 млн рублей) [8]. Ключевое отличие цифрового рубля от багамского Sand Dollar заключается в том, что багамский проект ориентирован на финансовую доступность для удалённых островов, тогда как российский делает акцент на безопасности расчётов [7].</w:t>
      </w:r>
    </w:p>
    <w:p w14:paraId="150949F9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Цифровой евро в Европейском союзе в настоящее время находится на стадии исследований, которая продлится не менее двух лет; сроки внедрения пока окончательно не определены [2</w:t>
      </w:r>
      <w:r>
        <w:rPr>
          <w:rFonts w:hint="default" w:eastAsiaTheme="minorEastAsia"/>
          <w:sz w:val="28"/>
          <w:szCs w:val="28"/>
          <w:lang w:val="ru-RU"/>
        </w:rPr>
        <w:t xml:space="preserve">, </w:t>
      </w:r>
      <w:r>
        <w:rPr>
          <w:rFonts w:eastAsiaTheme="minorEastAsia"/>
          <w:sz w:val="28"/>
          <w:szCs w:val="28"/>
        </w:rPr>
        <w:t>4].</w:t>
      </w:r>
    </w:p>
    <w:p w14:paraId="2E2AB965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 числу других значимых проектов национальных цифровых валют относятся: eNaira в Нигерии (запущен в 2021 году, первая ЦВЦБ в Африке) [7]; JAM-DEX на Ямайке (2022 год) [2]; активно используемый проект Bakong в Камбодже [7]; экспериментальный проект LBCoin в Литве [7], а также пилотные проекты в Турции, ЮАР, Боливии и Руанде.</w:t>
      </w:r>
    </w:p>
    <w:p w14:paraId="54695202">
      <w:pPr>
        <w:widowControl w:val="0"/>
        <w:tabs>
          <w:tab w:val="left" w:pos="993"/>
        </w:tabs>
        <w:spacing w:before="240" w:after="120"/>
        <w:ind w:firstLine="709"/>
        <w:jc w:val="both"/>
        <w:rPr>
          <w:rFonts w:ascii="Arial" w:hAnsi="Arial" w:cs="Arial" w:eastAsiaTheme="minorEastAsia"/>
          <w:sz w:val="28"/>
          <w:szCs w:val="28"/>
        </w:rPr>
      </w:pPr>
      <w:r>
        <w:rPr>
          <w:rFonts w:ascii="Arial" w:hAnsi="Arial" w:cs="Arial" w:eastAsiaTheme="minorEastAsia"/>
          <w:sz w:val="28"/>
          <w:szCs w:val="28"/>
        </w:rPr>
        <w:t>2.3 Преимущества и риски ЦВЦБ</w:t>
      </w:r>
    </w:p>
    <w:p w14:paraId="606A9B1A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Внедрение цифровых валют центральных банков несёт в себе как значительные преимущества для финансовой системы и государства, так и определённые риски, требующие взвешенного подхода. </w:t>
      </w:r>
    </w:p>
    <w:p w14:paraId="68CE9DAC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Рассмотрим сначала ключевые преимущества.</w:t>
      </w:r>
    </w:p>
    <w:p w14:paraId="24859EB0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Внедрение ЦВЦБ повышает эффективность платёжной системы за счёт мгновенных расчётов 24/7, низких комиссий и снижения зависимости от посредников [9]. Для развивающихся стран ключевым преимуществом является финансовая инклюзия — доступ к платежам для населения, не охваченного банковскими услугами [2</w:t>
      </w:r>
      <w:r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10].</w:t>
      </w:r>
    </w:p>
    <w:p w14:paraId="00E4146F">
      <w:pPr>
        <w:widowControl w:val="0"/>
        <w:spacing w:line="360" w:lineRule="auto"/>
        <w:ind w:firstLine="709"/>
        <w:jc w:val="both"/>
        <w:rPr>
          <w:rFonts w:eastAsia="Noto Sans Armeni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 xml:space="preserve">ЦВЦБ также укрепляет денежный суверенитет, позволяя противодействовать частным криптовалютам и стейблкоинам. Благодаря контролируемой отслеживаемости транзакций повышается прозрачность и усиливается борьба с теневой экономикой [7]. Кроме того, ЦВЦБ открывает новые инструменты денежно-кредитной политики: программируемые деньги для целевого расходования и прямые выплаты населению. Наконец, цифровые валюты делают трансграничные платежи более быстрыми и дешёвыми [8].        </w:t>
      </w:r>
    </w:p>
    <w:p w14:paraId="324A3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both"/>
        <w:textAlignment w:val="auto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Однако при всех имеющихся положительных моментах нельзя не учитывать и оборотную сторону внедрения ЦВЦБ. Главным риском для банковской системы является массовый отток депозитов из коммерческих банков в ЦВЦБ, что приведёт к потере банками фондирования для кредитования [3][9]. Серьёзную угрозу представляет и приватность граждан: государство получает возможность отслеживать все транзакции, что создаёт риск «цифрового Левиафана» [2</w:t>
      </w:r>
      <w:r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7]. Централизованная платформа ЦВЦБ становится привлекательной мишенью для хакеров, что требует значительных инвестиций в кибербезопасность. В странах с развитыми платёжными системами существует риск низкого спроса — ЦВЦБ может оказаться «решением в поисках проблемы» [6]. Для трансграничных расчётов необходима сложная координация между странами по технологиям и регулированию [4].</w:t>
      </w:r>
    </w:p>
    <w:p w14:paraId="577C29CC">
      <w:pPr>
        <w:widowControl w:val="0"/>
        <w:spacing w:after="120"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Накопленный международный опыт позволяет предложить ряд мер, направленных на минимизацию выявленных рисков. Так, например, отток депозитов можно ограничить с помощью лимитов на остаток в кошельке (например, Европейский центробанк рассматривает 3000–4000 евро) [6]. Проблема приватности решается через модель контролируемой анонимности, когда транзакции видны только госорганам по запросу [4]. Кибербезопасность требует значительных инвестиций в защиту и поэтапного внедрения системы [3].</w:t>
      </w:r>
    </w:p>
    <w:p w14:paraId="5E3DEFE3">
      <w:pPr>
        <w:widowControl w:val="0"/>
        <w:spacing w:before="240" w:after="120"/>
        <w:ind w:firstLine="709"/>
        <w:jc w:val="both"/>
        <w:rPr>
          <w:rFonts w:ascii="Arial" w:hAnsi="Arial" w:eastAsia="Noto Sans Armenian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eastAsia="Noto Sans Armenian" w:cs="Arial"/>
          <w:color w:val="000000"/>
          <w:sz w:val="28"/>
          <w:szCs w:val="28"/>
          <w:shd w:val="clear" w:color="auto" w:fill="FFFFFF"/>
        </w:rPr>
        <w:t>2.4 Влияние ЦВЦБ на банковскую систему</w:t>
      </w:r>
    </w:p>
    <w:p w14:paraId="2A038001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Внедрение национальных цифровых валют (ЦВЦБ) является одним из наиболее значительных вызовов для современной банковской системы. Как отмечается в исследовании Сибирского государственного университета, ЦВЦБ способны повысить прозрачность операций и усилить контроль за денежными потоками, но одновременно создают угрозы, связанные с оттоком депозитов и изменением роли коммерческих банков [3].</w:t>
      </w:r>
    </w:p>
    <w:p w14:paraId="4493D3CD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Для банковской системы внедрение ЦВЦБ сопряжено с тремя основными группами рисков.</w:t>
      </w:r>
    </w:p>
    <w:p w14:paraId="024249F2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Во-первых, это риск оттока депозитов, то есть массового перевода средств клиентами с банковских счетов в цифровые кошельки центрального банка. Особенно актуальной эта угроза становится в периоды экономической нестабильности, когда вкладчики предпочитают более надёжные государственные деньги. При активном переходе клиентов на использование цифровых валют банковский сектор может столкнуться с проблемами ликвидности [3].</w:t>
      </w:r>
    </w:p>
    <w:p w14:paraId="3E10199C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Во-вторых, возникает риск снижения рентабельности банков, поскольку ЦВЦБ позволяет осуществлять расчёты напрямую, минуя коммерческие банки, что ведёт к потере комиссионного дохода. Кроме того, неизбежной становится функциональная трансформация банковского сектора в случае, если центральный банк начнёт осуществлять прямое кредитование через цифровые валюты [4].</w:t>
      </w:r>
    </w:p>
    <w:p w14:paraId="598E230C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В-третьих, существует риск сокращения кредитования. Согласно исследованию, опубликованному в European Economic Review, если ЦВЦБ используется только как средство обмена (конкурируя с транзакционными депозитами), банковское кредитование снижается на 0,6%. Если ЦВЦБ используется как средство сбережения (конкурируя со сберегательными депозитами), негативное влияние на кредитование возрастает до 1,0%. Когда ЦВЦБ используется одновременно для обеих целей, банковское кредитование сокращается на 1,6% [5].</w:t>
      </w:r>
    </w:p>
    <w:p w14:paraId="1FFE0932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Наряду с перечисленными рисками внедрение ЦВЦБ может принести банковской системе и определённые позитивные эффекты.</w:t>
      </w:r>
    </w:p>
    <w:p w14:paraId="279984BE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Во-первых, возможно повышение конкуренции. Исследование Банка Канады, опубликованное в Journal of Political Economy, показывает, что ЦВЦБ может фактически увеличить банковское кредитование при определённых условиях. Банки с рыночной властью обычно ограничивают предложение депозитов, чтобы поддерживать низкие ставки. ЦВЦБ предоставляет альтернативный вариант, устанавливая нижнюю границу для депозитных ставок, что вынуждает банки предлагать больше депозитов. При ставке ЦВЦБ 0,98% кредитование увеличивается на 1,57% [1].</w:t>
      </w:r>
    </w:p>
    <w:p w14:paraId="64F1F62B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Во-вторых, наблюдается снижение риска банковских кризисов. Вопреки распространённым опасениям, исследование Journal of Economics and Statistics показывает, что ЦВЦБ может способствовать финансовой стабильности. Механизм этого эффекта заключается в том, что центральный банк направляет приток средств в ЦВЦБ обратно в экономику — либо через кредитование банков, либо через прямые покупки активов. Это снижает нагрузку на домохозяйства и затрудняет возникновение банковских кризисов [8].</w:t>
      </w:r>
    </w:p>
    <w:p w14:paraId="356DCE9F">
      <w:pPr>
        <w:widowControl w:val="0"/>
        <w:spacing w:before="240" w:after="120"/>
        <w:ind w:firstLine="709"/>
        <w:jc w:val="both"/>
        <w:rPr>
          <w:rFonts w:ascii="Arial" w:hAnsi="Arial" w:cs="Arial" w:eastAsiaTheme="minorEastAsia"/>
          <w:sz w:val="28"/>
          <w:szCs w:val="28"/>
        </w:rPr>
      </w:pPr>
      <w:r>
        <w:rPr>
          <w:rFonts w:ascii="Arial" w:hAnsi="Arial" w:cs="Arial" w:eastAsiaTheme="minorEastAsia"/>
          <w:sz w:val="28"/>
          <w:szCs w:val="28"/>
        </w:rPr>
        <w:t xml:space="preserve">2.5 Возможные сценарии развития </w:t>
      </w:r>
    </w:p>
    <w:p w14:paraId="597C0E9A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Как отмечает международный политэкономический анализ, существует пять основных стратегических подходов к внедрению ЦВЦБ</w:t>
      </w:r>
      <w:r>
        <w:rPr>
          <w:rFonts w:hint="default" w:eastAsia="Noto Sans Armeni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[6].</w:t>
      </w:r>
    </w:p>
    <w:p w14:paraId="02CCB692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Первый сценарий можно охарактеризовать как консервативный, или «выжидательный». Его суть заключается в том, что большинство центральных банков, особенно в развитых экономиках, сохраняют осторожную позицию, проводят исследования, но не торопятся с фактическим выпуском ЦВЦБ. Согласно данным Банка международных расчётов (BIS), большинство центробанков не планируют эмиссию цифровых валют в ближайшем будущем. Более 80% центральных банков оценивают возможность выпуска ЦВЦБ в течение ближайших трёх лет как «крайне маловероятную». В среднесрочной перспективе (6 лет) таких же ожиданий придерживается более 60% мировых ЦБ [5]. Причины: центробанки пока не уверены в том, что выгода от эмиссии перевесит затраты. Многие ограничиваются лишь концептуальными оценками и экспериментальными стадиями. К этой группе относятся США (где на федеральном уровне развитие ЦВЦБ запрещено), большинство стран Европы (за исключением ЕЦБ), а также такие страны</w:t>
      </w:r>
      <w:r>
        <w:rPr>
          <w:rFonts w:ascii="Arial" w:hAnsi="Arial" w:eastAsia="Noto Sans Armeni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как Сингапур и Дания, которые приостановили или отказались от внедрения [3].</w:t>
      </w:r>
    </w:p>
    <w:p w14:paraId="3B24E619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Второй сценарий — эволюционный, или «финансовая инклюзия». В рамках этого подхода страны, преимущественно развивающиеся и с островной географией, делают ставку на розничные ЦВЦБ для решения проблемы доступности финансовых услуг. Классический пример — Багамские Острова с проектом Sand Dollar (запущен в октябре 2020 года). Цифровая валюта позволяет любому человеку со смартфоном или специальной платёжной картой открыть цифровой кошелек и проводить транзакции, что особенно важно для удалённых островов, где традиционные банковские отделения нерентабельны. Аналогичные цели преследует eNaira в Нигерии (запущена в 2021 году) и JAM-DEX на Ямайке (2022 год) [3]. Перспективы: для этих стран ЦВЦБ — не эксперимент, а практический инструмент преодоления географических и инфраструктурных барьеров. Однако, как показывает опыт, потребительский спрос остаётся относительно низким из-за наличия альтернативных платежных инструментов [6].</w:t>
      </w:r>
    </w:p>
    <w:p w14:paraId="415B94BE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Третий сценарий получил название технологического, или «цифровая модернизация». Он предполагает, что крупные экономики (Китай, Россия, Индия, страны ЕС) внедряют ЦВЦБ как часть стратегии модернизации финансовой инфраструктуры, повышения эффективности платежей и укрепления денежного суверенитета. Китай — безусловный лидер: по состоянию на ноябрь 2025 года объём операций в e-CNY достиг 16,7 трлн юаней (около 2,37 трлн долларов), количество пользователей внутри страны — 260 млн [9]. С 1 января 2026 года Китай стал первой страной, начавшей начислять проценты на остатки цифрового юаня, превращая его из «цифровых наличных» в «цифровые депозиты». Россия планирует массовое внедрение цифрового рубля с 1 сентября 2026 года. В пилотном проекте участвуют более 20 банков, проведено порядка 90 тысяч операций. По прогнозу Национального Рейтингового Агентства, внедрение цифрового рубля может ежегодно приносить экономике РФ до 260 млрд рублей [9]. Европейский союз находится в подготовительной фазе: пилотный проект цифрового евро ожидается в 2027 году, а потенциальный первый выпуск — в 2029 году [9].</w:t>
      </w:r>
    </w:p>
    <w:p w14:paraId="75DB0A5D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Четвёртый сценарий — геополитический, или «трансграничный». В этом случае страны объединяются для создания платформ трансграничных расчётов на базе ЦВЦБ, стремясь снизить зависимость от доллара США и традиционных платежных систем (SWIFT). Ключевой проект — mBridge под эгидой BIS с участием Китая, Гонконга, Таиланда, ОАЭ и Саудовской Аравии. По состоянию на январь 2026 года через платформу проведено более 4 000 транзакций на сумму свыше 55 млрд долларов [9]. Проект позволяет осуществлять прямые трансграничные платежи без посредников, минуя SWIFT [10]. Перспективная инициатива стран БРИКС+ — создание платформы для взаимных расчётов в цифровых валютах. На долю стран альянса приходится 47% мирового населения и 40% глобального ВВП, а 67% расчётов уже осуществляется в национальных валютах [9]. Как отмечается в исследовании Venom Foundation, цифровая валютная интеграция перестаёт быть среднесрочным вопросом и становится «немедленной операционной необходимостью» для финансовых институтов [10].</w:t>
      </w:r>
    </w:p>
    <w:p w14:paraId="097D0949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Наконец, пятый сценарий можно назвать конкурентным — это «сосуществование с частными валютами». В рамках него государственные CBDC и частные цифровые валюты (стейблкоины) развиваются параллельно, конкурируя и дополняя друг друга. Совокупная капитализация стейблкоинов в начале 2026 года превысила 300 млрд долларов, а по прогнозам достигнет 1 трлн долларов к 2030 году [9]. Частные цифровые валюты в большей степени приспособлены к гибким и трансграничным сценариям, тогда как ЦВЦБ ориентирована на обслуживание розничных и оптовых расчётов, включая взаимодействие на уровне центральных банков. Институциональный анализ показывает, что между криптовалютами и цифровыми валютами ЦБ есть существенная разница, которая позволяет предположить их параллельное существование: криптовалюты функционируют как открытая сеть с высокой волатильностью, а ЦВЦБ — как закрытая государственная сеть с полным контролем [7].</w:t>
      </w:r>
    </w:p>
    <w:p w14:paraId="4E3F6FFC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Таким образом, единого сценария развития цифровых валют не существует. Как отмечается в исследовании IMF, решение о целесообразности выпуска ЦВЦБ остаётся за национальными регуляторами с учётом их внутренних условий [4]. При этом наблюдается чёткая закономерность: развивающиеся экономики фокусируются на розничных CBDC для финансовой инклюзии, тогда как развитые экономики уделяют больше внимания оптовым ЦВЦБ и трансграничным платформам. В любом случае, как подчёркивается в аналитических обзорах, цифровые валюты представляют собой неотъемлемую часть процессов модернизации современных финансовых инфраструктур [1]. стратегически</w:t>
      </w:r>
    </w:p>
    <w:p w14:paraId="4F32DEEE">
      <w:pPr>
        <w:widowControl w:val="0"/>
        <w:spacing w:before="240" w:after="120"/>
        <w:ind w:firstLine="709"/>
        <w:jc w:val="both"/>
        <w:rPr>
          <w:rFonts w:ascii="Arial" w:hAnsi="Arial" w:eastAsia="Noto Sans Armenian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eastAsia="Noto Sans Armenian" w:cs="Arial"/>
          <w:color w:val="000000"/>
          <w:sz w:val="28"/>
          <w:szCs w:val="28"/>
          <w:shd w:val="clear" w:color="auto" w:fill="FFFFFF"/>
        </w:rPr>
        <w:t>2.6 Перспективы дальнейших исследований</w:t>
      </w:r>
    </w:p>
    <w:p w14:paraId="0AA6A2C4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На основе проведённого анализа национальных цифровых валют можно выделить несколько ключевых направлений для будущих научных изысканий.</w:t>
      </w:r>
    </w:p>
    <w:p w14:paraId="43BBC662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Во-первых, долгосрочное влияние на банковскую систему. Несмотря на наличие теоретических моделей и первых эмпирических данных, остаётся открытым вопрос о том, как массовое внедрение ЦВЦБ повлияет на банковскую интермедиацию в долгосрочной перспективе. Особого внимания заслуживает анализ пороговых значений, при которых отток депозитов становится критическим для финансовой стабильности.</w:t>
      </w:r>
    </w:p>
    <w:p w14:paraId="30D78D3F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Во-вторых, оптимальный дизайн ЦВЦБ. Исследования показывают, что такие параметры, как наличие или отсутствие процентов, лимиты на остатки, степень анонимности и архитектура системы, напрямую влияют на успех внедрения. Необходимы дальнейшие исследования для определения оптимальных параметров с учётом национальных особенностей.</w:t>
      </w:r>
    </w:p>
    <w:p w14:paraId="1962E2AB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В-третьих, международная координация и стандартизация. Активное развитие трансграничных проектов (mBridge, инициатива БРИКС+) ставит вопрос о необходимости унификации протоколов, требований AML/CFT и механизмов конвертации между различными ЦВЦБ.</w:t>
      </w:r>
    </w:p>
    <w:p w14:paraId="7E263FA2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В-четвёртых, влияние на денежно-кредитную политику. Требуют изучения вопросы о том, как ЦВЦБ изменит трансмиссионный механизм монетарной политики, особенно в периоды экономических кризисов.</w:t>
      </w:r>
    </w:p>
    <w:p w14:paraId="76302F6D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В-пятых, социальные аспекты и поведенческие факторы. Низкий потребительский спрос в уже запущенных проектах (Багамы, Нигерия) указывает на необходимость изучения факторов принятия ЦВЦБ населением и бизнесом.</w:t>
      </w:r>
    </w:p>
    <w:p w14:paraId="1C15C98A">
      <w:pPr>
        <w:widowControl w:val="0"/>
        <w:spacing w:line="360" w:lineRule="auto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</w:p>
    <w:p w14:paraId="7AB8E432">
      <w:pPr>
        <w:widowControl w:val="0"/>
        <w:spacing w:line="360" w:lineRule="auto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</w:p>
    <w:p w14:paraId="7E450D23">
      <w:pPr>
        <w:pageBreakBefore/>
        <w:widowControl w:val="0"/>
        <w:spacing w:after="240"/>
        <w:jc w:val="center"/>
        <w:rPr>
          <w:rFonts w:ascii="Arial" w:hAnsi="Arial" w:eastAsia="Noto Sans Armenian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eastAsia="Noto Sans Armenian" w:cs="Arial"/>
          <w:color w:val="000000"/>
          <w:sz w:val="30"/>
          <w:szCs w:val="30"/>
          <w:shd w:val="clear" w:color="auto" w:fill="FFFFFF"/>
        </w:rPr>
        <w:t>Заключение</w:t>
      </w:r>
    </w:p>
    <w:p w14:paraId="6F0E0D3C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Учебная практика по получению навыков исследовательской работы проходила на базе ФГБОУ ВО «ВВГУ», ИМБЭУ, кафедра экономики и управления, г. Владивосток в период с 9 февраля по 20 июня 2026 года.</w:t>
      </w:r>
    </w:p>
    <w:p w14:paraId="648E155D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В рамках практики была выбрана тема исследования: «Национальные цифровые валюты: сегодня и завтра».</w:t>
      </w:r>
    </w:p>
    <w:p w14:paraId="034F843C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Исследование показало, что тема национальных цифровых валют (ЦВЦБ) является максимально актуальной для научного сообщества, что было определено по динамике роста статей в научных базах, а также по активному внедрению пилотных проектов в более чем 130 странах мира. Исследование степени разработанности данной темы позволило определить, что большинство авторов исследуют вопросы понятия, сущности и классификации ЦВЦБ, рассматривают их преимущества и риски, а также анализируют основные проекты по странам.</w:t>
      </w:r>
    </w:p>
    <w:p w14:paraId="5B8D52F7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Исследование позволило сделать вывод, что тенденции развития национальных цифровых валют направлены в первую очередь на повышение эффективности платёжной системы, обеспечение финансовой инклюзии и укрепление денежного суверенитета. Особенно активно развитие практики внедрения ЦВЦБ идет в Китае (e-CNY) и на Багамских Островах (Sand Dollar), в России переход на цифровой рубль только зарождается. Также исследование показало, что в России в рамках внедрения цифрового рубля есть высокие риски оттока депозитов из коммерческих банков и угрозы приватности граждан, что требует решения на более системном уровне для всей страны.</w:t>
      </w:r>
    </w:p>
    <w:p w14:paraId="7F0A466E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В общем виде можно сделать вывод, что тема национальных цифровых валют будет актуальной ещё много лет и для научного сообщества есть перспективные направления дальнейших исследований, особенно в части долгосрочного влияния ЦВЦБ на банковскую систему, оптимального дизайна цифровых валют, а также практики их применения в трансграничных расчётах и в предпринимательской деятельности.</w:t>
      </w:r>
    </w:p>
    <w:p w14:paraId="16844CCC">
      <w:pPr>
        <w:pageBreakBefore/>
        <w:widowControl w:val="0"/>
        <w:spacing w:after="240"/>
        <w:ind w:firstLine="2400" w:firstLineChars="800"/>
        <w:jc w:val="both"/>
        <w:rPr>
          <w:rFonts w:ascii="Arial" w:hAnsi="Arial" w:eastAsia="Noto Sans Armenian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eastAsia="Noto Sans Armenian" w:cs="Arial"/>
          <w:color w:val="000000"/>
          <w:sz w:val="30"/>
          <w:szCs w:val="30"/>
          <w:shd w:val="clear" w:color="auto" w:fill="FFFFFF"/>
        </w:rPr>
        <w:t>Список использованных источников</w:t>
      </w:r>
    </w:p>
    <w:p w14:paraId="2C6B1B0C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 xml:space="preserve">1 Центральный банк Российской Федерации. Цифровой рубль : доклад для общественных консультаций [Электронный ресурс] / Банк России. – Москва,2020.–50с. 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>URL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:https://cbr.ru/Content/Document/File/120075/Consultation_Paper_201013.pdf (дата обращения:10.03.2026).</w:t>
      </w:r>
    </w:p>
    <w:p w14:paraId="73C2D04C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>2 European Central Bank. Report on a digital euro [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Электронный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ресурс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] / European Central Bank. – Frankfurt am Main : ECB, 2020. – 55 p. – URL: </w:t>
      </w:r>
      <w:r>
        <w:fldChar w:fldCharType="begin"/>
      </w:r>
      <w:r>
        <w:instrText xml:space="preserve"> HYPERLINK "https://www.ecb.europa.eu/pub/pdf/other/Report_on_a_digital_euro~4d7268b458.%20en.pdf" </w:instrText>
      </w:r>
      <w:r>
        <w:fldChar w:fldCharType="separate"/>
      </w:r>
      <w:r>
        <w:rPr>
          <w:rFonts w:eastAsia="Noto Sans Armenian"/>
          <w:color w:val="000000"/>
          <w:sz w:val="28"/>
          <w:szCs w:val="28"/>
          <w:lang w:val="en-US"/>
        </w:rPr>
        <w:t>https://</w:t>
      </w:r>
      <w:r>
        <w:rPr>
          <w:lang w:val="en-US"/>
        </w:rPr>
        <w:t>www</w:t>
      </w:r>
      <w:r>
        <w:rPr>
          <w:rFonts w:eastAsia="Noto Sans Armenian"/>
          <w:color w:val="000000"/>
          <w:sz w:val="28"/>
          <w:szCs w:val="28"/>
          <w:lang w:val="en-US"/>
        </w:rPr>
        <w:t>.ecb.europa.eu/pub/pdf/other/Report_on_a_digital_euro~4d7268b458. en.pdf</w:t>
      </w:r>
      <w:r>
        <w:rPr>
          <w:rFonts w:eastAsia="Noto Sans Armenian"/>
          <w:color w:val="000000"/>
          <w:sz w:val="28"/>
          <w:szCs w:val="28"/>
          <w:lang w:val="en-US"/>
        </w:rPr>
        <w:fldChar w:fldCharType="end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 (дата обращения:10.03.2026).</w:t>
      </w:r>
    </w:p>
    <w:p w14:paraId="3A9172C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>3 Bank for International Settlements. Central bank digital currencies: foundational principles and core features [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Электронный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ресурс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] / Bank for International Settlements. – Basel : BIS, 2020. – 26 p. URL: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"https://www.bis.org/publ/othp33.pdf"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en-US"/>
        </w:rPr>
        <w:t>https://www.bis.org/publ/othp33.pdf</w:t>
      </w:r>
      <w:r>
        <w:rPr>
          <w:sz w:val="28"/>
          <w:szCs w:val="28"/>
          <w:lang w:val="en-US"/>
        </w:rPr>
        <w:fldChar w:fldCharType="end"/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дата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обращения</w:t>
      </w:r>
      <w:r>
        <w:rPr>
          <w:sz w:val="28"/>
          <w:szCs w:val="28"/>
          <w:lang w:val="en-US"/>
        </w:rPr>
        <w:t>:10.03.2026).</w:t>
      </w:r>
    </w:p>
    <w:p w14:paraId="425FF1F7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>4 Mancini-Griffoli T. Central Bank Digital Currency: A Primer [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Электронный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ресурс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>] / T. Mancini-Griffoli, M. S. Martinez Peria, I. Agur [et al.]. – Washington : International Monetary Fund, 2018. – 45 p. – (IMF Working Paper ; WP/18/286). – URL:https://www.imf.org/en/Publications/WP/Issues/2018/11/30/Central-Bank-Digital-Currency-A-Primer-46239 (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дата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обращения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>:11.03.2026)</w:t>
      </w:r>
    </w:p>
    <w:p w14:paraId="60F97EA0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>5 Brunnermeier M. K. The Economics of Central Bank Digital Currency [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Текст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] / M. K. Brunnermeier, D. Niepelt // CEPR Discussion Paper. – 2019. – No. 13705. – P. 1–40. – URL: 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begin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instrText xml:space="preserve"> HYPERLINK "https://cepr.org/publications/dp13705" </w:instrTex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separate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>https://cepr.org/publications/dp13705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end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 (дата обращения:)</w:t>
      </w:r>
    </w:p>
    <w:p w14:paraId="7F3433C4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6 Большая российская энциклопедия. Цифровая валюта центрального банка [Электронный ресурс]. – 2024. – URL: 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begin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instrText xml:space="preserve"> HYPERLINK "https://bigenc.ru/c/tsifrovaia-valiuta-tsentral-nogo-banka-7ef43d" </w:instrTex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separate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>https://bigenc.ru/c/tsifrovaia-valiuta-tsentral-nogo-banka-7ef43d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end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 (дата обращения:15.03.2026)</w:t>
      </w:r>
    </w:p>
    <w:p w14:paraId="36139A48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7 Ведомости. Цифровые валюты: опыт разных стран [Электронный ресурс].–2026.–URL: 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begin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instrText xml:space="preserve"> HYPERLINK "https://www.vedomosti.ru/press_releases/2026/01/12/tsifrovie-valyuti-opit-raznih-stran" </w:instrTex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separate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>https://www.vedomosti.ru/press_releases/2026/01/12/tsifrovie-valyuti-opit-raznih-stran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end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 (дата обращения:15.03.2026)</w:t>
      </w:r>
    </w:p>
    <w:p w14:paraId="27F09C1A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8 Банк России. Интервью Ларисы Павловой [Электронный ресурс]. – 2025. – URL: 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begin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instrText xml:space="preserve"> HYPERLINK "https://cbr.ru/press/regevent?id=60507" </w:instrTex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separate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>https://cbr.ru/press/regevent?id=60507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end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 (дата обращения:16.03.2026)</w:t>
      </w:r>
    </w:p>
    <w:p w14:paraId="0D5E2009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9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 РБК. CBDC простыми словами: как устроены цифровые валюты ЦБ и зачем они нужны [Электронный ресурс]. – 2025. – URL: 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begin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instrText xml:space="preserve"> HYPERLINK "https://amp.rbc.ru/crypto/news/6926e3039a7947c455aedb87" </w:instrTex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separate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>https://amp.rbc.ru/crypto/news/6926e3039a7947c455aedb87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end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 (дата обращения:16.03.2026)</w:t>
      </w:r>
    </w:p>
    <w:p w14:paraId="1E3F505D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10 Yahoo Finance. Digital yuan holdings to earn interest under China's new framework [Электронный ресурс]. – 2025. – URL: 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begin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instrText xml:space="preserve"> HYPERLINK "https://finance.yahoo.com/news/digital-yuan-holdings-earn-interest-070241491.html" </w:instrTex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separate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>https://finance.yahoo.com/news/digital-yuan-holdings-earn-interest-070241491.html</w:t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fldChar w:fldCharType="end"/>
      </w:r>
      <w:r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  <w:t xml:space="preserve"> (дата обращения:16.03.2026).</w:t>
      </w:r>
    </w:p>
    <w:p w14:paraId="7A675B38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</w:pPr>
    </w:p>
    <w:p w14:paraId="2BB48B4D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</w:pPr>
    </w:p>
    <w:p w14:paraId="1388846C">
      <w:pPr>
        <w:widowControl w:val="0"/>
        <w:spacing w:line="360" w:lineRule="auto"/>
        <w:ind w:firstLine="709"/>
        <w:jc w:val="both"/>
        <w:rPr>
          <w:rFonts w:eastAsia="Noto Sans Armenian"/>
          <w:color w:val="000000"/>
          <w:sz w:val="28"/>
          <w:szCs w:val="28"/>
          <w:shd w:val="clear" w:color="auto" w:fill="FFFFFF"/>
          <w:lang w:val="en-US"/>
        </w:rPr>
      </w:pPr>
    </w:p>
    <w:p w14:paraId="79FF3614">
      <w:pPr>
        <w:widowControl w:val="0"/>
        <w:spacing w:line="360" w:lineRule="auto"/>
        <w:ind w:firstLine="709"/>
        <w:jc w:val="both"/>
        <w:rPr>
          <w:rFonts w:eastAsia="Noto Sans Armenian"/>
          <w:color w:val="FF0000"/>
          <w:sz w:val="28"/>
          <w:szCs w:val="28"/>
          <w:shd w:val="clear" w:color="auto" w:fill="FFFFFF"/>
          <w:lang w:val="en-US"/>
        </w:rPr>
      </w:pPr>
    </w:p>
    <w:sectPr>
      <w:headerReference r:id="rId3" w:type="default"/>
      <w:pgSz w:w="11906" w:h="16838"/>
      <w:pgMar w:top="1134" w:right="567" w:bottom="1134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F9C1A">
    <w:pPr>
      <w:pStyle w:val="27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20</w:t>
    </w:r>
    <w:r>
      <w:fldChar w:fldCharType="end"/>
    </w:r>
  </w:p>
  <w:p w14:paraId="420202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C22AEF"/>
    <w:multiLevelType w:val="multilevel"/>
    <w:tmpl w:val="D2C22AEF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14831E2B"/>
    <w:multiLevelType w:val="multilevel"/>
    <w:tmpl w:val="14831E2B"/>
    <w:lvl w:ilvl="0" w:tentative="0">
      <w:start w:val="1"/>
      <w:numFmt w:val="decimal"/>
      <w:pStyle w:val="94"/>
      <w:suff w:val="nothing"/>
      <w:lvlText w:val="%1"/>
      <w:lvlJc w:val="left"/>
      <w:pPr>
        <w:ind w:left="113" w:hanging="113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226"/>
        </w:tabs>
        <w:ind w:left="226" w:hanging="113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339"/>
        </w:tabs>
        <w:ind w:left="339" w:hanging="113"/>
      </w:pPr>
      <w:rPr>
        <w:rFonts w:hint="default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452"/>
        </w:tabs>
        <w:ind w:left="452" w:hanging="113"/>
      </w:pPr>
      <w:rPr>
        <w:rFonts w:hint="default"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565"/>
        </w:tabs>
        <w:ind w:left="565" w:hanging="113"/>
      </w:pPr>
      <w:rPr>
        <w:rFonts w:hint="default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678"/>
        </w:tabs>
        <w:ind w:left="678" w:hanging="113"/>
      </w:pPr>
      <w:rPr>
        <w:rFonts w:hint="default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791"/>
        </w:tabs>
        <w:ind w:left="791" w:hanging="113"/>
      </w:pPr>
      <w:rPr>
        <w:rFonts w:hint="default"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904"/>
        </w:tabs>
        <w:ind w:left="904" w:hanging="113"/>
      </w:pPr>
      <w:rPr>
        <w:rFonts w:hint="default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1017"/>
        </w:tabs>
        <w:ind w:left="1017" w:hanging="113"/>
      </w:pPr>
      <w:rPr>
        <w:rFonts w:hint="default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autoHyphenation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12"/>
    <w:rsid w:val="00000419"/>
    <w:rsid w:val="00000AF9"/>
    <w:rsid w:val="00001A1E"/>
    <w:rsid w:val="00001CAF"/>
    <w:rsid w:val="00002E61"/>
    <w:rsid w:val="00006075"/>
    <w:rsid w:val="00006CFF"/>
    <w:rsid w:val="00006F7C"/>
    <w:rsid w:val="000077D6"/>
    <w:rsid w:val="00010E61"/>
    <w:rsid w:val="00015FF7"/>
    <w:rsid w:val="0001719B"/>
    <w:rsid w:val="0002099E"/>
    <w:rsid w:val="0002322E"/>
    <w:rsid w:val="0002377B"/>
    <w:rsid w:val="00023AC0"/>
    <w:rsid w:val="00026BDE"/>
    <w:rsid w:val="00033057"/>
    <w:rsid w:val="0003308F"/>
    <w:rsid w:val="00035D34"/>
    <w:rsid w:val="00040476"/>
    <w:rsid w:val="00040A68"/>
    <w:rsid w:val="00042903"/>
    <w:rsid w:val="000433F5"/>
    <w:rsid w:val="00043C4C"/>
    <w:rsid w:val="000452FC"/>
    <w:rsid w:val="00045817"/>
    <w:rsid w:val="00046533"/>
    <w:rsid w:val="00047216"/>
    <w:rsid w:val="00047DCA"/>
    <w:rsid w:val="0005180C"/>
    <w:rsid w:val="00053116"/>
    <w:rsid w:val="00053337"/>
    <w:rsid w:val="00053771"/>
    <w:rsid w:val="0005384A"/>
    <w:rsid w:val="00053B49"/>
    <w:rsid w:val="0005485A"/>
    <w:rsid w:val="00055B5E"/>
    <w:rsid w:val="000575FA"/>
    <w:rsid w:val="0006318E"/>
    <w:rsid w:val="00063427"/>
    <w:rsid w:val="00065B45"/>
    <w:rsid w:val="00065CF1"/>
    <w:rsid w:val="00065EF3"/>
    <w:rsid w:val="00067C2E"/>
    <w:rsid w:val="00071BF0"/>
    <w:rsid w:val="00072DD5"/>
    <w:rsid w:val="000743DC"/>
    <w:rsid w:val="00077A70"/>
    <w:rsid w:val="00081FB1"/>
    <w:rsid w:val="00082A4F"/>
    <w:rsid w:val="000846AE"/>
    <w:rsid w:val="00084FC2"/>
    <w:rsid w:val="00085831"/>
    <w:rsid w:val="00086242"/>
    <w:rsid w:val="00086910"/>
    <w:rsid w:val="000904B9"/>
    <w:rsid w:val="000908A8"/>
    <w:rsid w:val="00091602"/>
    <w:rsid w:val="00093E7D"/>
    <w:rsid w:val="000A1228"/>
    <w:rsid w:val="000A1FDA"/>
    <w:rsid w:val="000A44DE"/>
    <w:rsid w:val="000A5362"/>
    <w:rsid w:val="000A5708"/>
    <w:rsid w:val="000A5B44"/>
    <w:rsid w:val="000A5C30"/>
    <w:rsid w:val="000A6B1A"/>
    <w:rsid w:val="000A7901"/>
    <w:rsid w:val="000B1860"/>
    <w:rsid w:val="000B323D"/>
    <w:rsid w:val="000B39DD"/>
    <w:rsid w:val="000B3C35"/>
    <w:rsid w:val="000B4953"/>
    <w:rsid w:val="000B5F7B"/>
    <w:rsid w:val="000B7F5A"/>
    <w:rsid w:val="000C1F50"/>
    <w:rsid w:val="000C475D"/>
    <w:rsid w:val="000D27FE"/>
    <w:rsid w:val="000D4362"/>
    <w:rsid w:val="000D68BD"/>
    <w:rsid w:val="000E12AD"/>
    <w:rsid w:val="000E28E8"/>
    <w:rsid w:val="000E4DEC"/>
    <w:rsid w:val="000E4E86"/>
    <w:rsid w:val="000E5975"/>
    <w:rsid w:val="000E6B4F"/>
    <w:rsid w:val="000F02E0"/>
    <w:rsid w:val="000F22AA"/>
    <w:rsid w:val="000F4E9C"/>
    <w:rsid w:val="0010018B"/>
    <w:rsid w:val="00100917"/>
    <w:rsid w:val="00102385"/>
    <w:rsid w:val="00105B10"/>
    <w:rsid w:val="0011054B"/>
    <w:rsid w:val="00112584"/>
    <w:rsid w:val="00115755"/>
    <w:rsid w:val="0011629B"/>
    <w:rsid w:val="00117888"/>
    <w:rsid w:val="001209A7"/>
    <w:rsid w:val="00123A7B"/>
    <w:rsid w:val="00126B5A"/>
    <w:rsid w:val="001317D5"/>
    <w:rsid w:val="001321F1"/>
    <w:rsid w:val="00132D92"/>
    <w:rsid w:val="001349B5"/>
    <w:rsid w:val="0013571A"/>
    <w:rsid w:val="00136BBB"/>
    <w:rsid w:val="0014196D"/>
    <w:rsid w:val="001420E9"/>
    <w:rsid w:val="0014561B"/>
    <w:rsid w:val="00145F66"/>
    <w:rsid w:val="001467B9"/>
    <w:rsid w:val="00147630"/>
    <w:rsid w:val="00150762"/>
    <w:rsid w:val="00153A62"/>
    <w:rsid w:val="0015707C"/>
    <w:rsid w:val="001609E4"/>
    <w:rsid w:val="00161637"/>
    <w:rsid w:val="00162627"/>
    <w:rsid w:val="001633B6"/>
    <w:rsid w:val="00164C4B"/>
    <w:rsid w:val="001657F9"/>
    <w:rsid w:val="00165EC5"/>
    <w:rsid w:val="00172896"/>
    <w:rsid w:val="00172B39"/>
    <w:rsid w:val="00174B7A"/>
    <w:rsid w:val="00174BB2"/>
    <w:rsid w:val="00176429"/>
    <w:rsid w:val="00176EC6"/>
    <w:rsid w:val="00182A4A"/>
    <w:rsid w:val="00182D9D"/>
    <w:rsid w:val="00183AE7"/>
    <w:rsid w:val="0018423D"/>
    <w:rsid w:val="00186871"/>
    <w:rsid w:val="0019013B"/>
    <w:rsid w:val="001914D3"/>
    <w:rsid w:val="00193A66"/>
    <w:rsid w:val="0019649D"/>
    <w:rsid w:val="001A23DE"/>
    <w:rsid w:val="001A277E"/>
    <w:rsid w:val="001A4ACB"/>
    <w:rsid w:val="001A54AA"/>
    <w:rsid w:val="001A6D25"/>
    <w:rsid w:val="001B093B"/>
    <w:rsid w:val="001B1D34"/>
    <w:rsid w:val="001B2161"/>
    <w:rsid w:val="001B3469"/>
    <w:rsid w:val="001B40F2"/>
    <w:rsid w:val="001C2A67"/>
    <w:rsid w:val="001C3634"/>
    <w:rsid w:val="001C4FDD"/>
    <w:rsid w:val="001D0B6F"/>
    <w:rsid w:val="001D2122"/>
    <w:rsid w:val="001D3254"/>
    <w:rsid w:val="001D3513"/>
    <w:rsid w:val="001D3592"/>
    <w:rsid w:val="001D554B"/>
    <w:rsid w:val="001D73F9"/>
    <w:rsid w:val="001D7437"/>
    <w:rsid w:val="001E0887"/>
    <w:rsid w:val="001E14E1"/>
    <w:rsid w:val="001E1D49"/>
    <w:rsid w:val="001E1F27"/>
    <w:rsid w:val="001E2B71"/>
    <w:rsid w:val="001E3B2C"/>
    <w:rsid w:val="001E3BB8"/>
    <w:rsid w:val="001E5DCA"/>
    <w:rsid w:val="001E7F99"/>
    <w:rsid w:val="001F0C76"/>
    <w:rsid w:val="001F19C2"/>
    <w:rsid w:val="001F2693"/>
    <w:rsid w:val="001F3256"/>
    <w:rsid w:val="001F3789"/>
    <w:rsid w:val="001F593B"/>
    <w:rsid w:val="001F6AC0"/>
    <w:rsid w:val="001F6DDE"/>
    <w:rsid w:val="001F72C4"/>
    <w:rsid w:val="00201EAE"/>
    <w:rsid w:val="0020357C"/>
    <w:rsid w:val="00203832"/>
    <w:rsid w:val="00205D9B"/>
    <w:rsid w:val="00210414"/>
    <w:rsid w:val="0021098B"/>
    <w:rsid w:val="00213188"/>
    <w:rsid w:val="00213D85"/>
    <w:rsid w:val="002150CE"/>
    <w:rsid w:val="00221027"/>
    <w:rsid w:val="002214FE"/>
    <w:rsid w:val="002234C2"/>
    <w:rsid w:val="00225ABF"/>
    <w:rsid w:val="00230235"/>
    <w:rsid w:val="0023236B"/>
    <w:rsid w:val="002325F4"/>
    <w:rsid w:val="00233867"/>
    <w:rsid w:val="00234AAB"/>
    <w:rsid w:val="00234E57"/>
    <w:rsid w:val="00236265"/>
    <w:rsid w:val="00237FDC"/>
    <w:rsid w:val="0024186E"/>
    <w:rsid w:val="00242CEF"/>
    <w:rsid w:val="002472F8"/>
    <w:rsid w:val="00253097"/>
    <w:rsid w:val="002552E4"/>
    <w:rsid w:val="0025691C"/>
    <w:rsid w:val="00257AF2"/>
    <w:rsid w:val="00257F5A"/>
    <w:rsid w:val="00261765"/>
    <w:rsid w:val="00263F6B"/>
    <w:rsid w:val="002644E2"/>
    <w:rsid w:val="0026504C"/>
    <w:rsid w:val="00265C06"/>
    <w:rsid w:val="00267FE4"/>
    <w:rsid w:val="00270A80"/>
    <w:rsid w:val="00275203"/>
    <w:rsid w:val="002770C5"/>
    <w:rsid w:val="002806B1"/>
    <w:rsid w:val="002810ED"/>
    <w:rsid w:val="00281F04"/>
    <w:rsid w:val="002822E2"/>
    <w:rsid w:val="00282A9B"/>
    <w:rsid w:val="0028501D"/>
    <w:rsid w:val="0028672E"/>
    <w:rsid w:val="002911A3"/>
    <w:rsid w:val="00292974"/>
    <w:rsid w:val="002A19FA"/>
    <w:rsid w:val="002A1B45"/>
    <w:rsid w:val="002A24AF"/>
    <w:rsid w:val="002A3B7A"/>
    <w:rsid w:val="002A5FF2"/>
    <w:rsid w:val="002A6B1E"/>
    <w:rsid w:val="002A7F02"/>
    <w:rsid w:val="002B0067"/>
    <w:rsid w:val="002B1AC2"/>
    <w:rsid w:val="002B201A"/>
    <w:rsid w:val="002B24E6"/>
    <w:rsid w:val="002B484F"/>
    <w:rsid w:val="002B4B16"/>
    <w:rsid w:val="002B64E0"/>
    <w:rsid w:val="002B6DC5"/>
    <w:rsid w:val="002C1D5C"/>
    <w:rsid w:val="002C247D"/>
    <w:rsid w:val="002C30CF"/>
    <w:rsid w:val="002C37D5"/>
    <w:rsid w:val="002C58B3"/>
    <w:rsid w:val="002C6F51"/>
    <w:rsid w:val="002C7169"/>
    <w:rsid w:val="002C759A"/>
    <w:rsid w:val="002D0AE7"/>
    <w:rsid w:val="002D1E5A"/>
    <w:rsid w:val="002D1FC9"/>
    <w:rsid w:val="002D346C"/>
    <w:rsid w:val="002D4265"/>
    <w:rsid w:val="002D63CD"/>
    <w:rsid w:val="002D664A"/>
    <w:rsid w:val="002D751E"/>
    <w:rsid w:val="002E17AB"/>
    <w:rsid w:val="002E22FE"/>
    <w:rsid w:val="002E277E"/>
    <w:rsid w:val="002E45B5"/>
    <w:rsid w:val="002F083E"/>
    <w:rsid w:val="002F0D0B"/>
    <w:rsid w:val="002F2CBC"/>
    <w:rsid w:val="002F3C3C"/>
    <w:rsid w:val="002F4303"/>
    <w:rsid w:val="002F5BB1"/>
    <w:rsid w:val="002F5BC3"/>
    <w:rsid w:val="00302A28"/>
    <w:rsid w:val="00302F0F"/>
    <w:rsid w:val="00304CC7"/>
    <w:rsid w:val="00305088"/>
    <w:rsid w:val="00305E1E"/>
    <w:rsid w:val="0030644D"/>
    <w:rsid w:val="003106F6"/>
    <w:rsid w:val="003107C2"/>
    <w:rsid w:val="0031098D"/>
    <w:rsid w:val="0031106C"/>
    <w:rsid w:val="00312D17"/>
    <w:rsid w:val="00313282"/>
    <w:rsid w:val="00314C49"/>
    <w:rsid w:val="00314E1A"/>
    <w:rsid w:val="00315FC1"/>
    <w:rsid w:val="00316F4D"/>
    <w:rsid w:val="003176AA"/>
    <w:rsid w:val="00317E9A"/>
    <w:rsid w:val="0032164B"/>
    <w:rsid w:val="00323459"/>
    <w:rsid w:val="00323BFC"/>
    <w:rsid w:val="003243D5"/>
    <w:rsid w:val="00324470"/>
    <w:rsid w:val="00324CEC"/>
    <w:rsid w:val="003258B8"/>
    <w:rsid w:val="00325EFD"/>
    <w:rsid w:val="00331066"/>
    <w:rsid w:val="0033342E"/>
    <w:rsid w:val="00334003"/>
    <w:rsid w:val="003347A7"/>
    <w:rsid w:val="00335504"/>
    <w:rsid w:val="00337597"/>
    <w:rsid w:val="00337F6D"/>
    <w:rsid w:val="00340DC3"/>
    <w:rsid w:val="00340ED6"/>
    <w:rsid w:val="00341274"/>
    <w:rsid w:val="003417BE"/>
    <w:rsid w:val="0034184A"/>
    <w:rsid w:val="00342096"/>
    <w:rsid w:val="00343530"/>
    <w:rsid w:val="003437A0"/>
    <w:rsid w:val="00344595"/>
    <w:rsid w:val="0034500D"/>
    <w:rsid w:val="00346954"/>
    <w:rsid w:val="00347A21"/>
    <w:rsid w:val="0035020D"/>
    <w:rsid w:val="00350E71"/>
    <w:rsid w:val="0035136B"/>
    <w:rsid w:val="00353031"/>
    <w:rsid w:val="003567CA"/>
    <w:rsid w:val="003574AC"/>
    <w:rsid w:val="003605FB"/>
    <w:rsid w:val="00362214"/>
    <w:rsid w:val="00364582"/>
    <w:rsid w:val="00366C4D"/>
    <w:rsid w:val="003670E5"/>
    <w:rsid w:val="0037104B"/>
    <w:rsid w:val="00372EDE"/>
    <w:rsid w:val="0037343F"/>
    <w:rsid w:val="00373B36"/>
    <w:rsid w:val="00374616"/>
    <w:rsid w:val="00375DE3"/>
    <w:rsid w:val="00375ECC"/>
    <w:rsid w:val="0038292E"/>
    <w:rsid w:val="0038600B"/>
    <w:rsid w:val="0038747D"/>
    <w:rsid w:val="00391E0C"/>
    <w:rsid w:val="00392699"/>
    <w:rsid w:val="0039310B"/>
    <w:rsid w:val="00393421"/>
    <w:rsid w:val="00393CA4"/>
    <w:rsid w:val="00396D83"/>
    <w:rsid w:val="003A1F95"/>
    <w:rsid w:val="003A3F36"/>
    <w:rsid w:val="003A3F7E"/>
    <w:rsid w:val="003A4C6D"/>
    <w:rsid w:val="003A4E82"/>
    <w:rsid w:val="003A5DB8"/>
    <w:rsid w:val="003A76A6"/>
    <w:rsid w:val="003B0466"/>
    <w:rsid w:val="003B0A35"/>
    <w:rsid w:val="003B2203"/>
    <w:rsid w:val="003B29ED"/>
    <w:rsid w:val="003B3E37"/>
    <w:rsid w:val="003B487D"/>
    <w:rsid w:val="003B5CD0"/>
    <w:rsid w:val="003C0202"/>
    <w:rsid w:val="003C06BD"/>
    <w:rsid w:val="003C09AB"/>
    <w:rsid w:val="003C27AA"/>
    <w:rsid w:val="003C32A1"/>
    <w:rsid w:val="003C6359"/>
    <w:rsid w:val="003C67DF"/>
    <w:rsid w:val="003C6FF8"/>
    <w:rsid w:val="003D244E"/>
    <w:rsid w:val="003D3001"/>
    <w:rsid w:val="003D54F2"/>
    <w:rsid w:val="003E210A"/>
    <w:rsid w:val="003E466B"/>
    <w:rsid w:val="003E4780"/>
    <w:rsid w:val="003E6A4F"/>
    <w:rsid w:val="003F03DB"/>
    <w:rsid w:val="003F0487"/>
    <w:rsid w:val="003F1BC5"/>
    <w:rsid w:val="003F20AE"/>
    <w:rsid w:val="003F3949"/>
    <w:rsid w:val="003F5BD7"/>
    <w:rsid w:val="003F6C1B"/>
    <w:rsid w:val="003F78AF"/>
    <w:rsid w:val="0040504F"/>
    <w:rsid w:val="00406A25"/>
    <w:rsid w:val="004070D9"/>
    <w:rsid w:val="00407399"/>
    <w:rsid w:val="00407C09"/>
    <w:rsid w:val="00410F73"/>
    <w:rsid w:val="004114B0"/>
    <w:rsid w:val="004120A0"/>
    <w:rsid w:val="00415626"/>
    <w:rsid w:val="004162C5"/>
    <w:rsid w:val="00416925"/>
    <w:rsid w:val="00422232"/>
    <w:rsid w:val="0042713B"/>
    <w:rsid w:val="00427554"/>
    <w:rsid w:val="00430E4E"/>
    <w:rsid w:val="004315F5"/>
    <w:rsid w:val="00432A9A"/>
    <w:rsid w:val="00434F4E"/>
    <w:rsid w:val="0043594A"/>
    <w:rsid w:val="004402EA"/>
    <w:rsid w:val="00440B29"/>
    <w:rsid w:val="0044309F"/>
    <w:rsid w:val="0044434F"/>
    <w:rsid w:val="00446363"/>
    <w:rsid w:val="00446BBC"/>
    <w:rsid w:val="00446EDD"/>
    <w:rsid w:val="004470CD"/>
    <w:rsid w:val="0044769C"/>
    <w:rsid w:val="004521E1"/>
    <w:rsid w:val="0045300B"/>
    <w:rsid w:val="0045359D"/>
    <w:rsid w:val="00457766"/>
    <w:rsid w:val="004600E8"/>
    <w:rsid w:val="00460B12"/>
    <w:rsid w:val="00461134"/>
    <w:rsid w:val="00462FCC"/>
    <w:rsid w:val="00463035"/>
    <w:rsid w:val="00464FA0"/>
    <w:rsid w:val="0046520F"/>
    <w:rsid w:val="004659DA"/>
    <w:rsid w:val="0046602F"/>
    <w:rsid w:val="0046652D"/>
    <w:rsid w:val="00467C50"/>
    <w:rsid w:val="00470B7F"/>
    <w:rsid w:val="00471A80"/>
    <w:rsid w:val="00471E1D"/>
    <w:rsid w:val="00472648"/>
    <w:rsid w:val="004753CE"/>
    <w:rsid w:val="004807EA"/>
    <w:rsid w:val="00484203"/>
    <w:rsid w:val="004859D0"/>
    <w:rsid w:val="00485C1E"/>
    <w:rsid w:val="004905A2"/>
    <w:rsid w:val="00491660"/>
    <w:rsid w:val="00494826"/>
    <w:rsid w:val="00495DB0"/>
    <w:rsid w:val="00497FDC"/>
    <w:rsid w:val="004A305B"/>
    <w:rsid w:val="004A3810"/>
    <w:rsid w:val="004A3ED7"/>
    <w:rsid w:val="004A4F18"/>
    <w:rsid w:val="004A529E"/>
    <w:rsid w:val="004A68F7"/>
    <w:rsid w:val="004B1EA1"/>
    <w:rsid w:val="004B387B"/>
    <w:rsid w:val="004B4BB3"/>
    <w:rsid w:val="004B4ED2"/>
    <w:rsid w:val="004C1291"/>
    <w:rsid w:val="004C1B44"/>
    <w:rsid w:val="004C2227"/>
    <w:rsid w:val="004C45C0"/>
    <w:rsid w:val="004C470F"/>
    <w:rsid w:val="004C5D9A"/>
    <w:rsid w:val="004C6CC4"/>
    <w:rsid w:val="004C7FBB"/>
    <w:rsid w:val="004D645D"/>
    <w:rsid w:val="004D744F"/>
    <w:rsid w:val="004E06EB"/>
    <w:rsid w:val="004E337C"/>
    <w:rsid w:val="004E3E0C"/>
    <w:rsid w:val="004E4311"/>
    <w:rsid w:val="004E4F1A"/>
    <w:rsid w:val="004E5A92"/>
    <w:rsid w:val="004E6802"/>
    <w:rsid w:val="004E7100"/>
    <w:rsid w:val="004F2260"/>
    <w:rsid w:val="004F2CE8"/>
    <w:rsid w:val="004F33B5"/>
    <w:rsid w:val="004F363E"/>
    <w:rsid w:val="004F4F3D"/>
    <w:rsid w:val="004F5D4C"/>
    <w:rsid w:val="005033FC"/>
    <w:rsid w:val="00504A26"/>
    <w:rsid w:val="00505D43"/>
    <w:rsid w:val="005067DC"/>
    <w:rsid w:val="0051136B"/>
    <w:rsid w:val="00514CC1"/>
    <w:rsid w:val="00515135"/>
    <w:rsid w:val="0051769F"/>
    <w:rsid w:val="00520FE9"/>
    <w:rsid w:val="0052135B"/>
    <w:rsid w:val="00521459"/>
    <w:rsid w:val="00523BCA"/>
    <w:rsid w:val="0052473A"/>
    <w:rsid w:val="005249F5"/>
    <w:rsid w:val="00524C0A"/>
    <w:rsid w:val="00525907"/>
    <w:rsid w:val="005271B1"/>
    <w:rsid w:val="00532283"/>
    <w:rsid w:val="00536DDE"/>
    <w:rsid w:val="00540CD4"/>
    <w:rsid w:val="005458C5"/>
    <w:rsid w:val="005463EF"/>
    <w:rsid w:val="00546AC0"/>
    <w:rsid w:val="00546CCD"/>
    <w:rsid w:val="00546ED9"/>
    <w:rsid w:val="005508FA"/>
    <w:rsid w:val="00550B69"/>
    <w:rsid w:val="005526ED"/>
    <w:rsid w:val="0055541B"/>
    <w:rsid w:val="00556C15"/>
    <w:rsid w:val="0055731F"/>
    <w:rsid w:val="00560B05"/>
    <w:rsid w:val="005634CD"/>
    <w:rsid w:val="005646FC"/>
    <w:rsid w:val="00564774"/>
    <w:rsid w:val="00564AB7"/>
    <w:rsid w:val="005658DE"/>
    <w:rsid w:val="00566310"/>
    <w:rsid w:val="00567033"/>
    <w:rsid w:val="00570BFF"/>
    <w:rsid w:val="0057670C"/>
    <w:rsid w:val="00580D1D"/>
    <w:rsid w:val="005814F6"/>
    <w:rsid w:val="005817B6"/>
    <w:rsid w:val="00584D0A"/>
    <w:rsid w:val="00585E69"/>
    <w:rsid w:val="00586466"/>
    <w:rsid w:val="0058722E"/>
    <w:rsid w:val="005873C8"/>
    <w:rsid w:val="00587B76"/>
    <w:rsid w:val="005903D1"/>
    <w:rsid w:val="00590BEB"/>
    <w:rsid w:val="00592511"/>
    <w:rsid w:val="00593A89"/>
    <w:rsid w:val="00594162"/>
    <w:rsid w:val="00594637"/>
    <w:rsid w:val="00594EF6"/>
    <w:rsid w:val="00595F06"/>
    <w:rsid w:val="005961EB"/>
    <w:rsid w:val="005A00DE"/>
    <w:rsid w:val="005A01B5"/>
    <w:rsid w:val="005A0705"/>
    <w:rsid w:val="005A38A1"/>
    <w:rsid w:val="005A460C"/>
    <w:rsid w:val="005A6886"/>
    <w:rsid w:val="005B2514"/>
    <w:rsid w:val="005B288C"/>
    <w:rsid w:val="005B3247"/>
    <w:rsid w:val="005B358E"/>
    <w:rsid w:val="005B58DC"/>
    <w:rsid w:val="005C15A2"/>
    <w:rsid w:val="005C2381"/>
    <w:rsid w:val="005C281F"/>
    <w:rsid w:val="005C3948"/>
    <w:rsid w:val="005C3B3E"/>
    <w:rsid w:val="005C3C8C"/>
    <w:rsid w:val="005C5372"/>
    <w:rsid w:val="005C6AD1"/>
    <w:rsid w:val="005C7B12"/>
    <w:rsid w:val="005D0999"/>
    <w:rsid w:val="005D337A"/>
    <w:rsid w:val="005D4E76"/>
    <w:rsid w:val="005D521C"/>
    <w:rsid w:val="005D6590"/>
    <w:rsid w:val="005D6B7F"/>
    <w:rsid w:val="005E1677"/>
    <w:rsid w:val="005E224A"/>
    <w:rsid w:val="005E2E5D"/>
    <w:rsid w:val="005E4F96"/>
    <w:rsid w:val="005E4FE0"/>
    <w:rsid w:val="005E66A1"/>
    <w:rsid w:val="005F03D4"/>
    <w:rsid w:val="005F0DAB"/>
    <w:rsid w:val="005F122E"/>
    <w:rsid w:val="005F41AC"/>
    <w:rsid w:val="005F565D"/>
    <w:rsid w:val="005F611B"/>
    <w:rsid w:val="005F6A73"/>
    <w:rsid w:val="005F7858"/>
    <w:rsid w:val="00605A77"/>
    <w:rsid w:val="00605D74"/>
    <w:rsid w:val="00606647"/>
    <w:rsid w:val="00606B42"/>
    <w:rsid w:val="00606BA8"/>
    <w:rsid w:val="00607514"/>
    <w:rsid w:val="0061135A"/>
    <w:rsid w:val="00612293"/>
    <w:rsid w:val="00612462"/>
    <w:rsid w:val="00612AB9"/>
    <w:rsid w:val="00621921"/>
    <w:rsid w:val="00624E0D"/>
    <w:rsid w:val="0062503B"/>
    <w:rsid w:val="0062606C"/>
    <w:rsid w:val="00631BA5"/>
    <w:rsid w:val="006328D7"/>
    <w:rsid w:val="00633985"/>
    <w:rsid w:val="006376BD"/>
    <w:rsid w:val="0064065F"/>
    <w:rsid w:val="00640A09"/>
    <w:rsid w:val="0064238E"/>
    <w:rsid w:val="006438AF"/>
    <w:rsid w:val="00644032"/>
    <w:rsid w:val="006477B3"/>
    <w:rsid w:val="0065142C"/>
    <w:rsid w:val="00653682"/>
    <w:rsid w:val="006545F4"/>
    <w:rsid w:val="00654DA2"/>
    <w:rsid w:val="00657FC3"/>
    <w:rsid w:val="006626C0"/>
    <w:rsid w:val="006626D0"/>
    <w:rsid w:val="00662D78"/>
    <w:rsid w:val="00663738"/>
    <w:rsid w:val="006653FA"/>
    <w:rsid w:val="00665BD5"/>
    <w:rsid w:val="00666EF6"/>
    <w:rsid w:val="00667054"/>
    <w:rsid w:val="0066768D"/>
    <w:rsid w:val="00667A16"/>
    <w:rsid w:val="00667F2D"/>
    <w:rsid w:val="006704B1"/>
    <w:rsid w:val="00674FE0"/>
    <w:rsid w:val="00677DE1"/>
    <w:rsid w:val="0068098D"/>
    <w:rsid w:val="00680D39"/>
    <w:rsid w:val="006819DF"/>
    <w:rsid w:val="00681F1A"/>
    <w:rsid w:val="00682618"/>
    <w:rsid w:val="006828E6"/>
    <w:rsid w:val="006842F6"/>
    <w:rsid w:val="006852DF"/>
    <w:rsid w:val="00685FA0"/>
    <w:rsid w:val="006868F6"/>
    <w:rsid w:val="00686907"/>
    <w:rsid w:val="006922D8"/>
    <w:rsid w:val="006923EC"/>
    <w:rsid w:val="00696527"/>
    <w:rsid w:val="006A0121"/>
    <w:rsid w:val="006A219F"/>
    <w:rsid w:val="006A3A92"/>
    <w:rsid w:val="006A55F9"/>
    <w:rsid w:val="006A5F2D"/>
    <w:rsid w:val="006B0F76"/>
    <w:rsid w:val="006B66B3"/>
    <w:rsid w:val="006C00AC"/>
    <w:rsid w:val="006C00B3"/>
    <w:rsid w:val="006C2EBA"/>
    <w:rsid w:val="006C47B3"/>
    <w:rsid w:val="006C5CAE"/>
    <w:rsid w:val="006C6DED"/>
    <w:rsid w:val="006D04AE"/>
    <w:rsid w:val="006D08D4"/>
    <w:rsid w:val="006D1007"/>
    <w:rsid w:val="006D37AE"/>
    <w:rsid w:val="006D3F99"/>
    <w:rsid w:val="006D5964"/>
    <w:rsid w:val="006D706D"/>
    <w:rsid w:val="006E046F"/>
    <w:rsid w:val="006E0EC4"/>
    <w:rsid w:val="006E0FD8"/>
    <w:rsid w:val="006E1427"/>
    <w:rsid w:val="006E2B4C"/>
    <w:rsid w:val="006E2F6D"/>
    <w:rsid w:val="006E456F"/>
    <w:rsid w:val="006E6D15"/>
    <w:rsid w:val="006F1A92"/>
    <w:rsid w:val="006F21EA"/>
    <w:rsid w:val="006F35EF"/>
    <w:rsid w:val="006F7508"/>
    <w:rsid w:val="00701793"/>
    <w:rsid w:val="00703009"/>
    <w:rsid w:val="0070364A"/>
    <w:rsid w:val="00706D46"/>
    <w:rsid w:val="007075EE"/>
    <w:rsid w:val="00707D26"/>
    <w:rsid w:val="0071093C"/>
    <w:rsid w:val="007109F4"/>
    <w:rsid w:val="00710FB4"/>
    <w:rsid w:val="007149FE"/>
    <w:rsid w:val="00714FCE"/>
    <w:rsid w:val="007161FA"/>
    <w:rsid w:val="00716CAA"/>
    <w:rsid w:val="00717C01"/>
    <w:rsid w:val="0072000E"/>
    <w:rsid w:val="00722923"/>
    <w:rsid w:val="00723FD3"/>
    <w:rsid w:val="007261CD"/>
    <w:rsid w:val="00726264"/>
    <w:rsid w:val="00726630"/>
    <w:rsid w:val="00730261"/>
    <w:rsid w:val="00731338"/>
    <w:rsid w:val="00731408"/>
    <w:rsid w:val="00735949"/>
    <w:rsid w:val="007365D4"/>
    <w:rsid w:val="00736702"/>
    <w:rsid w:val="00743C1F"/>
    <w:rsid w:val="007447C3"/>
    <w:rsid w:val="00746D00"/>
    <w:rsid w:val="00746D3F"/>
    <w:rsid w:val="007509A3"/>
    <w:rsid w:val="00753E6E"/>
    <w:rsid w:val="00756610"/>
    <w:rsid w:val="0075744C"/>
    <w:rsid w:val="00760A4D"/>
    <w:rsid w:val="00762528"/>
    <w:rsid w:val="007636A4"/>
    <w:rsid w:val="00763D24"/>
    <w:rsid w:val="00765D36"/>
    <w:rsid w:val="0077156E"/>
    <w:rsid w:val="0077287D"/>
    <w:rsid w:val="007813BE"/>
    <w:rsid w:val="00781F33"/>
    <w:rsid w:val="0078224D"/>
    <w:rsid w:val="00782A42"/>
    <w:rsid w:val="0078586E"/>
    <w:rsid w:val="00785CEB"/>
    <w:rsid w:val="007912CC"/>
    <w:rsid w:val="00792BFE"/>
    <w:rsid w:val="00793053"/>
    <w:rsid w:val="007930EA"/>
    <w:rsid w:val="0079446E"/>
    <w:rsid w:val="00795535"/>
    <w:rsid w:val="00795F22"/>
    <w:rsid w:val="007A10CD"/>
    <w:rsid w:val="007A1F24"/>
    <w:rsid w:val="007A3BDC"/>
    <w:rsid w:val="007A4635"/>
    <w:rsid w:val="007A5914"/>
    <w:rsid w:val="007A6367"/>
    <w:rsid w:val="007A7F1F"/>
    <w:rsid w:val="007B02DE"/>
    <w:rsid w:val="007B0550"/>
    <w:rsid w:val="007B098A"/>
    <w:rsid w:val="007B1405"/>
    <w:rsid w:val="007B1E71"/>
    <w:rsid w:val="007B1F0B"/>
    <w:rsid w:val="007B350E"/>
    <w:rsid w:val="007B58EC"/>
    <w:rsid w:val="007B61FB"/>
    <w:rsid w:val="007B67A7"/>
    <w:rsid w:val="007B698D"/>
    <w:rsid w:val="007B6AD7"/>
    <w:rsid w:val="007B7BC2"/>
    <w:rsid w:val="007C38E3"/>
    <w:rsid w:val="007C4CE8"/>
    <w:rsid w:val="007C63D3"/>
    <w:rsid w:val="007C7D6C"/>
    <w:rsid w:val="007D0C31"/>
    <w:rsid w:val="007D1C06"/>
    <w:rsid w:val="007D2971"/>
    <w:rsid w:val="007D62B8"/>
    <w:rsid w:val="007D6B77"/>
    <w:rsid w:val="007D7AFF"/>
    <w:rsid w:val="007E0BB8"/>
    <w:rsid w:val="007E0F4E"/>
    <w:rsid w:val="007E136C"/>
    <w:rsid w:val="007E181A"/>
    <w:rsid w:val="007E25B8"/>
    <w:rsid w:val="007E381C"/>
    <w:rsid w:val="007E51EA"/>
    <w:rsid w:val="007E7A19"/>
    <w:rsid w:val="007E7D72"/>
    <w:rsid w:val="007F2CD6"/>
    <w:rsid w:val="007F491A"/>
    <w:rsid w:val="008013D5"/>
    <w:rsid w:val="00802960"/>
    <w:rsid w:val="0080364D"/>
    <w:rsid w:val="00803DD3"/>
    <w:rsid w:val="0080446C"/>
    <w:rsid w:val="008056D7"/>
    <w:rsid w:val="008075F4"/>
    <w:rsid w:val="0080793F"/>
    <w:rsid w:val="00807A1F"/>
    <w:rsid w:val="00807CA4"/>
    <w:rsid w:val="00810310"/>
    <w:rsid w:val="0081123D"/>
    <w:rsid w:val="00812B0A"/>
    <w:rsid w:val="008138F0"/>
    <w:rsid w:val="0081531F"/>
    <w:rsid w:val="00815DF7"/>
    <w:rsid w:val="00820033"/>
    <w:rsid w:val="00821189"/>
    <w:rsid w:val="00822125"/>
    <w:rsid w:val="0082625A"/>
    <w:rsid w:val="0083015D"/>
    <w:rsid w:val="00831E47"/>
    <w:rsid w:val="00831F14"/>
    <w:rsid w:val="008428DC"/>
    <w:rsid w:val="00843487"/>
    <w:rsid w:val="00843503"/>
    <w:rsid w:val="00852577"/>
    <w:rsid w:val="00854A61"/>
    <w:rsid w:val="0085655C"/>
    <w:rsid w:val="00856A8C"/>
    <w:rsid w:val="0085789B"/>
    <w:rsid w:val="00857A29"/>
    <w:rsid w:val="00857AEB"/>
    <w:rsid w:val="00857D0B"/>
    <w:rsid w:val="00857DE1"/>
    <w:rsid w:val="00860593"/>
    <w:rsid w:val="008614B3"/>
    <w:rsid w:val="0086388E"/>
    <w:rsid w:val="00863894"/>
    <w:rsid w:val="00863EB5"/>
    <w:rsid w:val="00866307"/>
    <w:rsid w:val="008668F3"/>
    <w:rsid w:val="008679B9"/>
    <w:rsid w:val="00870D39"/>
    <w:rsid w:val="00870EAE"/>
    <w:rsid w:val="00871712"/>
    <w:rsid w:val="008735E6"/>
    <w:rsid w:val="00873689"/>
    <w:rsid w:val="00873BAB"/>
    <w:rsid w:val="00875082"/>
    <w:rsid w:val="00876150"/>
    <w:rsid w:val="008765B6"/>
    <w:rsid w:val="00880DF4"/>
    <w:rsid w:val="008850E5"/>
    <w:rsid w:val="00885D32"/>
    <w:rsid w:val="008866C8"/>
    <w:rsid w:val="008871B7"/>
    <w:rsid w:val="008877CA"/>
    <w:rsid w:val="00887950"/>
    <w:rsid w:val="00890208"/>
    <w:rsid w:val="00890FF6"/>
    <w:rsid w:val="00891217"/>
    <w:rsid w:val="00891D13"/>
    <w:rsid w:val="00892D89"/>
    <w:rsid w:val="00892E1C"/>
    <w:rsid w:val="00894457"/>
    <w:rsid w:val="00897FAB"/>
    <w:rsid w:val="008A219A"/>
    <w:rsid w:val="008A5A89"/>
    <w:rsid w:val="008A611B"/>
    <w:rsid w:val="008A6574"/>
    <w:rsid w:val="008A6E52"/>
    <w:rsid w:val="008A724B"/>
    <w:rsid w:val="008A7891"/>
    <w:rsid w:val="008A7D1E"/>
    <w:rsid w:val="008B32C7"/>
    <w:rsid w:val="008B4B74"/>
    <w:rsid w:val="008B53C9"/>
    <w:rsid w:val="008B6B48"/>
    <w:rsid w:val="008B78E4"/>
    <w:rsid w:val="008C1305"/>
    <w:rsid w:val="008C37A6"/>
    <w:rsid w:val="008C3D90"/>
    <w:rsid w:val="008C7A07"/>
    <w:rsid w:val="008D173A"/>
    <w:rsid w:val="008D2ED7"/>
    <w:rsid w:val="008D490E"/>
    <w:rsid w:val="008D5050"/>
    <w:rsid w:val="008D72B2"/>
    <w:rsid w:val="008D7608"/>
    <w:rsid w:val="008E0325"/>
    <w:rsid w:val="008E0455"/>
    <w:rsid w:val="008E093C"/>
    <w:rsid w:val="008E0CC0"/>
    <w:rsid w:val="008E0D53"/>
    <w:rsid w:val="008E5295"/>
    <w:rsid w:val="008E67A2"/>
    <w:rsid w:val="008E6973"/>
    <w:rsid w:val="008E7B14"/>
    <w:rsid w:val="008F19A4"/>
    <w:rsid w:val="008F4BAC"/>
    <w:rsid w:val="00901EE8"/>
    <w:rsid w:val="009030D4"/>
    <w:rsid w:val="009038C3"/>
    <w:rsid w:val="00905ED9"/>
    <w:rsid w:val="00907488"/>
    <w:rsid w:val="0091030C"/>
    <w:rsid w:val="0091033D"/>
    <w:rsid w:val="00911F36"/>
    <w:rsid w:val="00912A49"/>
    <w:rsid w:val="00913274"/>
    <w:rsid w:val="009132AC"/>
    <w:rsid w:val="00913B50"/>
    <w:rsid w:val="009141D5"/>
    <w:rsid w:val="00917C99"/>
    <w:rsid w:val="00917E9B"/>
    <w:rsid w:val="00920B6F"/>
    <w:rsid w:val="00922022"/>
    <w:rsid w:val="0092294B"/>
    <w:rsid w:val="00923C8C"/>
    <w:rsid w:val="00923DED"/>
    <w:rsid w:val="009246B2"/>
    <w:rsid w:val="00926931"/>
    <w:rsid w:val="009301B4"/>
    <w:rsid w:val="00930BDE"/>
    <w:rsid w:val="009314BD"/>
    <w:rsid w:val="00931B37"/>
    <w:rsid w:val="00931D3C"/>
    <w:rsid w:val="009347C7"/>
    <w:rsid w:val="009363F9"/>
    <w:rsid w:val="009402FF"/>
    <w:rsid w:val="00940B46"/>
    <w:rsid w:val="00940C50"/>
    <w:rsid w:val="0094475B"/>
    <w:rsid w:val="009465C9"/>
    <w:rsid w:val="00947000"/>
    <w:rsid w:val="0095381F"/>
    <w:rsid w:val="009541E6"/>
    <w:rsid w:val="00954A1B"/>
    <w:rsid w:val="0095548F"/>
    <w:rsid w:val="00956A28"/>
    <w:rsid w:val="009578D1"/>
    <w:rsid w:val="00957A1B"/>
    <w:rsid w:val="009600E0"/>
    <w:rsid w:val="009606E7"/>
    <w:rsid w:val="00960E10"/>
    <w:rsid w:val="00961A3E"/>
    <w:rsid w:val="0096253C"/>
    <w:rsid w:val="00963C2C"/>
    <w:rsid w:val="009658E8"/>
    <w:rsid w:val="00966202"/>
    <w:rsid w:val="00967213"/>
    <w:rsid w:val="009711BD"/>
    <w:rsid w:val="00973E04"/>
    <w:rsid w:val="00974137"/>
    <w:rsid w:val="009743E3"/>
    <w:rsid w:val="00976F65"/>
    <w:rsid w:val="00981127"/>
    <w:rsid w:val="009811ED"/>
    <w:rsid w:val="009813C6"/>
    <w:rsid w:val="009842AC"/>
    <w:rsid w:val="00984972"/>
    <w:rsid w:val="009851D7"/>
    <w:rsid w:val="00985206"/>
    <w:rsid w:val="009859F1"/>
    <w:rsid w:val="0098630F"/>
    <w:rsid w:val="00986602"/>
    <w:rsid w:val="009867A8"/>
    <w:rsid w:val="00987F1A"/>
    <w:rsid w:val="0099018C"/>
    <w:rsid w:val="009901D1"/>
    <w:rsid w:val="00990DA7"/>
    <w:rsid w:val="00996C3E"/>
    <w:rsid w:val="009972FC"/>
    <w:rsid w:val="00997B25"/>
    <w:rsid w:val="009A1884"/>
    <w:rsid w:val="009A2192"/>
    <w:rsid w:val="009A26EA"/>
    <w:rsid w:val="009A5901"/>
    <w:rsid w:val="009A79DC"/>
    <w:rsid w:val="009A7DDF"/>
    <w:rsid w:val="009B0288"/>
    <w:rsid w:val="009B0D82"/>
    <w:rsid w:val="009B10B3"/>
    <w:rsid w:val="009B1147"/>
    <w:rsid w:val="009B2044"/>
    <w:rsid w:val="009B2A89"/>
    <w:rsid w:val="009B4876"/>
    <w:rsid w:val="009B4935"/>
    <w:rsid w:val="009B5276"/>
    <w:rsid w:val="009C0F14"/>
    <w:rsid w:val="009C10ED"/>
    <w:rsid w:val="009C26AD"/>
    <w:rsid w:val="009C2912"/>
    <w:rsid w:val="009C3405"/>
    <w:rsid w:val="009C5053"/>
    <w:rsid w:val="009C5A14"/>
    <w:rsid w:val="009C5B97"/>
    <w:rsid w:val="009C6B81"/>
    <w:rsid w:val="009D1C5D"/>
    <w:rsid w:val="009D2935"/>
    <w:rsid w:val="009D297E"/>
    <w:rsid w:val="009D3976"/>
    <w:rsid w:val="009D39B2"/>
    <w:rsid w:val="009D4EB8"/>
    <w:rsid w:val="009D6BF0"/>
    <w:rsid w:val="009D7115"/>
    <w:rsid w:val="009D7186"/>
    <w:rsid w:val="009E4F3A"/>
    <w:rsid w:val="009E5FF4"/>
    <w:rsid w:val="009E6B3C"/>
    <w:rsid w:val="009F2099"/>
    <w:rsid w:val="009F4B8D"/>
    <w:rsid w:val="009F5741"/>
    <w:rsid w:val="009F6196"/>
    <w:rsid w:val="009F681E"/>
    <w:rsid w:val="009F7450"/>
    <w:rsid w:val="00A02F90"/>
    <w:rsid w:val="00A03908"/>
    <w:rsid w:val="00A03CCA"/>
    <w:rsid w:val="00A07099"/>
    <w:rsid w:val="00A12112"/>
    <w:rsid w:val="00A223F6"/>
    <w:rsid w:val="00A23597"/>
    <w:rsid w:val="00A236A8"/>
    <w:rsid w:val="00A23AC5"/>
    <w:rsid w:val="00A27661"/>
    <w:rsid w:val="00A31247"/>
    <w:rsid w:val="00A324E8"/>
    <w:rsid w:val="00A40236"/>
    <w:rsid w:val="00A415EB"/>
    <w:rsid w:val="00A43BF1"/>
    <w:rsid w:val="00A463D7"/>
    <w:rsid w:val="00A472AB"/>
    <w:rsid w:val="00A504C8"/>
    <w:rsid w:val="00A506D9"/>
    <w:rsid w:val="00A512BD"/>
    <w:rsid w:val="00A51E06"/>
    <w:rsid w:val="00A5220A"/>
    <w:rsid w:val="00A52791"/>
    <w:rsid w:val="00A534C2"/>
    <w:rsid w:val="00A53537"/>
    <w:rsid w:val="00A54035"/>
    <w:rsid w:val="00A55050"/>
    <w:rsid w:val="00A55F6F"/>
    <w:rsid w:val="00A56BCF"/>
    <w:rsid w:val="00A57B94"/>
    <w:rsid w:val="00A62A24"/>
    <w:rsid w:val="00A62B25"/>
    <w:rsid w:val="00A64230"/>
    <w:rsid w:val="00A73848"/>
    <w:rsid w:val="00A74160"/>
    <w:rsid w:val="00A779B7"/>
    <w:rsid w:val="00A81CC1"/>
    <w:rsid w:val="00A820A5"/>
    <w:rsid w:val="00A831C9"/>
    <w:rsid w:val="00A83D0E"/>
    <w:rsid w:val="00A84284"/>
    <w:rsid w:val="00A86A6A"/>
    <w:rsid w:val="00A909E1"/>
    <w:rsid w:val="00A9292D"/>
    <w:rsid w:val="00A92BE7"/>
    <w:rsid w:val="00A93E2D"/>
    <w:rsid w:val="00A94F77"/>
    <w:rsid w:val="00A954AF"/>
    <w:rsid w:val="00A95A58"/>
    <w:rsid w:val="00A95B19"/>
    <w:rsid w:val="00A9711D"/>
    <w:rsid w:val="00AA0175"/>
    <w:rsid w:val="00AA1035"/>
    <w:rsid w:val="00AA408D"/>
    <w:rsid w:val="00AA41B9"/>
    <w:rsid w:val="00AA581D"/>
    <w:rsid w:val="00AB0B9C"/>
    <w:rsid w:val="00AB0E54"/>
    <w:rsid w:val="00AB10CE"/>
    <w:rsid w:val="00AB1813"/>
    <w:rsid w:val="00AB3CE1"/>
    <w:rsid w:val="00AB3FBB"/>
    <w:rsid w:val="00AB5B54"/>
    <w:rsid w:val="00AB5FFC"/>
    <w:rsid w:val="00AB6014"/>
    <w:rsid w:val="00AB609F"/>
    <w:rsid w:val="00AB692B"/>
    <w:rsid w:val="00AB6F43"/>
    <w:rsid w:val="00AC08C2"/>
    <w:rsid w:val="00AC0D1E"/>
    <w:rsid w:val="00AC2236"/>
    <w:rsid w:val="00AC2422"/>
    <w:rsid w:val="00AC2554"/>
    <w:rsid w:val="00AC3F44"/>
    <w:rsid w:val="00AC68CE"/>
    <w:rsid w:val="00AC757C"/>
    <w:rsid w:val="00AD09BE"/>
    <w:rsid w:val="00AD0B5F"/>
    <w:rsid w:val="00AD2E98"/>
    <w:rsid w:val="00AD43B1"/>
    <w:rsid w:val="00AD4A39"/>
    <w:rsid w:val="00AD5995"/>
    <w:rsid w:val="00AD618B"/>
    <w:rsid w:val="00AE2A38"/>
    <w:rsid w:val="00AE4089"/>
    <w:rsid w:val="00AE51FA"/>
    <w:rsid w:val="00AE77F3"/>
    <w:rsid w:val="00AF2679"/>
    <w:rsid w:val="00AF2DE3"/>
    <w:rsid w:val="00AF2F81"/>
    <w:rsid w:val="00AF51A9"/>
    <w:rsid w:val="00AF6878"/>
    <w:rsid w:val="00AF7504"/>
    <w:rsid w:val="00AF7544"/>
    <w:rsid w:val="00B04BDA"/>
    <w:rsid w:val="00B04D4B"/>
    <w:rsid w:val="00B0513B"/>
    <w:rsid w:val="00B06C3C"/>
    <w:rsid w:val="00B06D4B"/>
    <w:rsid w:val="00B10034"/>
    <w:rsid w:val="00B11A15"/>
    <w:rsid w:val="00B11A5F"/>
    <w:rsid w:val="00B12B3B"/>
    <w:rsid w:val="00B13B85"/>
    <w:rsid w:val="00B13C3F"/>
    <w:rsid w:val="00B161EA"/>
    <w:rsid w:val="00B17175"/>
    <w:rsid w:val="00B17EEE"/>
    <w:rsid w:val="00B211EF"/>
    <w:rsid w:val="00B21850"/>
    <w:rsid w:val="00B2204B"/>
    <w:rsid w:val="00B24EA8"/>
    <w:rsid w:val="00B26887"/>
    <w:rsid w:val="00B27C27"/>
    <w:rsid w:val="00B301AF"/>
    <w:rsid w:val="00B308EB"/>
    <w:rsid w:val="00B30A1A"/>
    <w:rsid w:val="00B3492B"/>
    <w:rsid w:val="00B34E48"/>
    <w:rsid w:val="00B35850"/>
    <w:rsid w:val="00B37590"/>
    <w:rsid w:val="00B40694"/>
    <w:rsid w:val="00B45027"/>
    <w:rsid w:val="00B45314"/>
    <w:rsid w:val="00B46CA0"/>
    <w:rsid w:val="00B475B4"/>
    <w:rsid w:val="00B476AB"/>
    <w:rsid w:val="00B476B3"/>
    <w:rsid w:val="00B47DD5"/>
    <w:rsid w:val="00B51EE7"/>
    <w:rsid w:val="00B54584"/>
    <w:rsid w:val="00B54C84"/>
    <w:rsid w:val="00B55C66"/>
    <w:rsid w:val="00B563E1"/>
    <w:rsid w:val="00B568E5"/>
    <w:rsid w:val="00B6009D"/>
    <w:rsid w:val="00B607BA"/>
    <w:rsid w:val="00B60C60"/>
    <w:rsid w:val="00B65071"/>
    <w:rsid w:val="00B655EC"/>
    <w:rsid w:val="00B71500"/>
    <w:rsid w:val="00B716DE"/>
    <w:rsid w:val="00B735B5"/>
    <w:rsid w:val="00B77632"/>
    <w:rsid w:val="00B77F39"/>
    <w:rsid w:val="00B77F9D"/>
    <w:rsid w:val="00B8169F"/>
    <w:rsid w:val="00B8182B"/>
    <w:rsid w:val="00B828A0"/>
    <w:rsid w:val="00B8628A"/>
    <w:rsid w:val="00B87A65"/>
    <w:rsid w:val="00B90443"/>
    <w:rsid w:val="00B911AA"/>
    <w:rsid w:val="00B9570F"/>
    <w:rsid w:val="00B95E77"/>
    <w:rsid w:val="00B97249"/>
    <w:rsid w:val="00BA34B5"/>
    <w:rsid w:val="00BA4288"/>
    <w:rsid w:val="00BA798D"/>
    <w:rsid w:val="00BB3D30"/>
    <w:rsid w:val="00BB3FAC"/>
    <w:rsid w:val="00BB57D0"/>
    <w:rsid w:val="00BB5E0E"/>
    <w:rsid w:val="00BB7446"/>
    <w:rsid w:val="00BC1166"/>
    <w:rsid w:val="00BC24A4"/>
    <w:rsid w:val="00BC740F"/>
    <w:rsid w:val="00BC7815"/>
    <w:rsid w:val="00BD007A"/>
    <w:rsid w:val="00BD3D2E"/>
    <w:rsid w:val="00BD53DE"/>
    <w:rsid w:val="00BD56A6"/>
    <w:rsid w:val="00BD5C3B"/>
    <w:rsid w:val="00BD65B9"/>
    <w:rsid w:val="00BD755A"/>
    <w:rsid w:val="00BE080C"/>
    <w:rsid w:val="00BE085E"/>
    <w:rsid w:val="00BE1316"/>
    <w:rsid w:val="00BE3174"/>
    <w:rsid w:val="00BE65DE"/>
    <w:rsid w:val="00BE66BA"/>
    <w:rsid w:val="00BE7034"/>
    <w:rsid w:val="00BE76E5"/>
    <w:rsid w:val="00BF1257"/>
    <w:rsid w:val="00BF1B6D"/>
    <w:rsid w:val="00BF2432"/>
    <w:rsid w:val="00BF301C"/>
    <w:rsid w:val="00BF381A"/>
    <w:rsid w:val="00BF52DD"/>
    <w:rsid w:val="00BF6E70"/>
    <w:rsid w:val="00BF7001"/>
    <w:rsid w:val="00BF7898"/>
    <w:rsid w:val="00C00261"/>
    <w:rsid w:val="00C00768"/>
    <w:rsid w:val="00C01DCA"/>
    <w:rsid w:val="00C035BD"/>
    <w:rsid w:val="00C040D6"/>
    <w:rsid w:val="00C05CD7"/>
    <w:rsid w:val="00C06C3B"/>
    <w:rsid w:val="00C07182"/>
    <w:rsid w:val="00C1070D"/>
    <w:rsid w:val="00C12347"/>
    <w:rsid w:val="00C12541"/>
    <w:rsid w:val="00C126B8"/>
    <w:rsid w:val="00C132D7"/>
    <w:rsid w:val="00C13E67"/>
    <w:rsid w:val="00C15F8C"/>
    <w:rsid w:val="00C16E29"/>
    <w:rsid w:val="00C1722A"/>
    <w:rsid w:val="00C20770"/>
    <w:rsid w:val="00C216F9"/>
    <w:rsid w:val="00C2193B"/>
    <w:rsid w:val="00C22F32"/>
    <w:rsid w:val="00C238A6"/>
    <w:rsid w:val="00C26D41"/>
    <w:rsid w:val="00C27EEB"/>
    <w:rsid w:val="00C311AF"/>
    <w:rsid w:val="00C32463"/>
    <w:rsid w:val="00C343AB"/>
    <w:rsid w:val="00C36B13"/>
    <w:rsid w:val="00C37A47"/>
    <w:rsid w:val="00C4291E"/>
    <w:rsid w:val="00C43E66"/>
    <w:rsid w:val="00C44673"/>
    <w:rsid w:val="00C4649F"/>
    <w:rsid w:val="00C4653F"/>
    <w:rsid w:val="00C46809"/>
    <w:rsid w:val="00C46AFB"/>
    <w:rsid w:val="00C50DB8"/>
    <w:rsid w:val="00C54BA9"/>
    <w:rsid w:val="00C55F53"/>
    <w:rsid w:val="00C57710"/>
    <w:rsid w:val="00C6080A"/>
    <w:rsid w:val="00C60B1D"/>
    <w:rsid w:val="00C62B71"/>
    <w:rsid w:val="00C6333B"/>
    <w:rsid w:val="00C64466"/>
    <w:rsid w:val="00C70921"/>
    <w:rsid w:val="00C70A6A"/>
    <w:rsid w:val="00C737C2"/>
    <w:rsid w:val="00C74C34"/>
    <w:rsid w:val="00C74EE7"/>
    <w:rsid w:val="00C7564C"/>
    <w:rsid w:val="00C76E24"/>
    <w:rsid w:val="00C77AAA"/>
    <w:rsid w:val="00C80DC3"/>
    <w:rsid w:val="00C812AA"/>
    <w:rsid w:val="00C81650"/>
    <w:rsid w:val="00C82DB1"/>
    <w:rsid w:val="00C84ED1"/>
    <w:rsid w:val="00C84F80"/>
    <w:rsid w:val="00C90048"/>
    <w:rsid w:val="00C90D38"/>
    <w:rsid w:val="00C90D4E"/>
    <w:rsid w:val="00C91AC3"/>
    <w:rsid w:val="00C926CE"/>
    <w:rsid w:val="00C97E8C"/>
    <w:rsid w:val="00CA35AD"/>
    <w:rsid w:val="00CA4BE8"/>
    <w:rsid w:val="00CA5774"/>
    <w:rsid w:val="00CA5A37"/>
    <w:rsid w:val="00CA7432"/>
    <w:rsid w:val="00CA7CE8"/>
    <w:rsid w:val="00CB0E4D"/>
    <w:rsid w:val="00CB1EE5"/>
    <w:rsid w:val="00CB5A27"/>
    <w:rsid w:val="00CB6289"/>
    <w:rsid w:val="00CC023B"/>
    <w:rsid w:val="00CC0DFF"/>
    <w:rsid w:val="00CC1056"/>
    <w:rsid w:val="00CC5776"/>
    <w:rsid w:val="00CC698F"/>
    <w:rsid w:val="00CC6EF5"/>
    <w:rsid w:val="00CD07C8"/>
    <w:rsid w:val="00CD0AFA"/>
    <w:rsid w:val="00CD1249"/>
    <w:rsid w:val="00CD138B"/>
    <w:rsid w:val="00CD16D3"/>
    <w:rsid w:val="00CD2C19"/>
    <w:rsid w:val="00CD32DD"/>
    <w:rsid w:val="00CD4632"/>
    <w:rsid w:val="00CE0345"/>
    <w:rsid w:val="00CE0C57"/>
    <w:rsid w:val="00CE127A"/>
    <w:rsid w:val="00CE1CBF"/>
    <w:rsid w:val="00CE212E"/>
    <w:rsid w:val="00CE2D67"/>
    <w:rsid w:val="00CE3944"/>
    <w:rsid w:val="00CE4A5C"/>
    <w:rsid w:val="00CE5A98"/>
    <w:rsid w:val="00CE5CB0"/>
    <w:rsid w:val="00CE6944"/>
    <w:rsid w:val="00CE6BD1"/>
    <w:rsid w:val="00CE75DB"/>
    <w:rsid w:val="00CF0835"/>
    <w:rsid w:val="00CF0B28"/>
    <w:rsid w:val="00CF244A"/>
    <w:rsid w:val="00CF5139"/>
    <w:rsid w:val="00CF6D23"/>
    <w:rsid w:val="00CF7D36"/>
    <w:rsid w:val="00D00133"/>
    <w:rsid w:val="00D00D47"/>
    <w:rsid w:val="00D01401"/>
    <w:rsid w:val="00D06B48"/>
    <w:rsid w:val="00D07F9D"/>
    <w:rsid w:val="00D10F4F"/>
    <w:rsid w:val="00D1395B"/>
    <w:rsid w:val="00D1556C"/>
    <w:rsid w:val="00D16305"/>
    <w:rsid w:val="00D17F67"/>
    <w:rsid w:val="00D2065C"/>
    <w:rsid w:val="00D212CA"/>
    <w:rsid w:val="00D24861"/>
    <w:rsid w:val="00D25951"/>
    <w:rsid w:val="00D26273"/>
    <w:rsid w:val="00D307B0"/>
    <w:rsid w:val="00D3199F"/>
    <w:rsid w:val="00D31A77"/>
    <w:rsid w:val="00D3230A"/>
    <w:rsid w:val="00D32896"/>
    <w:rsid w:val="00D32A7B"/>
    <w:rsid w:val="00D334A7"/>
    <w:rsid w:val="00D33A6A"/>
    <w:rsid w:val="00D44003"/>
    <w:rsid w:val="00D4641F"/>
    <w:rsid w:val="00D46CD3"/>
    <w:rsid w:val="00D46DF4"/>
    <w:rsid w:val="00D473F4"/>
    <w:rsid w:val="00D506A1"/>
    <w:rsid w:val="00D50FB2"/>
    <w:rsid w:val="00D5154F"/>
    <w:rsid w:val="00D51555"/>
    <w:rsid w:val="00D521F5"/>
    <w:rsid w:val="00D52D89"/>
    <w:rsid w:val="00D534CC"/>
    <w:rsid w:val="00D54C03"/>
    <w:rsid w:val="00D556E2"/>
    <w:rsid w:val="00D60E74"/>
    <w:rsid w:val="00D625E2"/>
    <w:rsid w:val="00D63F04"/>
    <w:rsid w:val="00D6536B"/>
    <w:rsid w:val="00D659C5"/>
    <w:rsid w:val="00D70CBC"/>
    <w:rsid w:val="00D731BD"/>
    <w:rsid w:val="00D74910"/>
    <w:rsid w:val="00D75AFA"/>
    <w:rsid w:val="00D814CF"/>
    <w:rsid w:val="00D817B8"/>
    <w:rsid w:val="00D81E41"/>
    <w:rsid w:val="00D84379"/>
    <w:rsid w:val="00D846E0"/>
    <w:rsid w:val="00D84B9C"/>
    <w:rsid w:val="00D84F01"/>
    <w:rsid w:val="00D850E0"/>
    <w:rsid w:val="00D859E3"/>
    <w:rsid w:val="00D901E8"/>
    <w:rsid w:val="00D90F8C"/>
    <w:rsid w:val="00D915A9"/>
    <w:rsid w:val="00D91785"/>
    <w:rsid w:val="00D9252C"/>
    <w:rsid w:val="00D95B6F"/>
    <w:rsid w:val="00D96D94"/>
    <w:rsid w:val="00D97177"/>
    <w:rsid w:val="00DA0750"/>
    <w:rsid w:val="00DA0875"/>
    <w:rsid w:val="00DA0ACE"/>
    <w:rsid w:val="00DA0DA0"/>
    <w:rsid w:val="00DA3247"/>
    <w:rsid w:val="00DA33B5"/>
    <w:rsid w:val="00DA3896"/>
    <w:rsid w:val="00DB150E"/>
    <w:rsid w:val="00DB2C27"/>
    <w:rsid w:val="00DB567A"/>
    <w:rsid w:val="00DB6762"/>
    <w:rsid w:val="00DC0BF3"/>
    <w:rsid w:val="00DC1B3B"/>
    <w:rsid w:val="00DC2487"/>
    <w:rsid w:val="00DC32D6"/>
    <w:rsid w:val="00DC3925"/>
    <w:rsid w:val="00DC3CC8"/>
    <w:rsid w:val="00DC45FF"/>
    <w:rsid w:val="00DC6843"/>
    <w:rsid w:val="00DD0550"/>
    <w:rsid w:val="00DD0CE2"/>
    <w:rsid w:val="00DD184D"/>
    <w:rsid w:val="00DD4A92"/>
    <w:rsid w:val="00DD5525"/>
    <w:rsid w:val="00DD5B79"/>
    <w:rsid w:val="00DD6500"/>
    <w:rsid w:val="00DD72C9"/>
    <w:rsid w:val="00DE157E"/>
    <w:rsid w:val="00DE1C31"/>
    <w:rsid w:val="00DE2C22"/>
    <w:rsid w:val="00DE3767"/>
    <w:rsid w:val="00DE3D00"/>
    <w:rsid w:val="00DE4A6F"/>
    <w:rsid w:val="00DE5582"/>
    <w:rsid w:val="00DE72FD"/>
    <w:rsid w:val="00DF2195"/>
    <w:rsid w:val="00DF24B7"/>
    <w:rsid w:val="00DF341E"/>
    <w:rsid w:val="00DF5B2B"/>
    <w:rsid w:val="00E0252C"/>
    <w:rsid w:val="00E03C8E"/>
    <w:rsid w:val="00E04091"/>
    <w:rsid w:val="00E04C24"/>
    <w:rsid w:val="00E06372"/>
    <w:rsid w:val="00E063EA"/>
    <w:rsid w:val="00E06B3E"/>
    <w:rsid w:val="00E0714C"/>
    <w:rsid w:val="00E075BE"/>
    <w:rsid w:val="00E07698"/>
    <w:rsid w:val="00E10C65"/>
    <w:rsid w:val="00E11A34"/>
    <w:rsid w:val="00E162EB"/>
    <w:rsid w:val="00E16951"/>
    <w:rsid w:val="00E17A35"/>
    <w:rsid w:val="00E20232"/>
    <w:rsid w:val="00E22568"/>
    <w:rsid w:val="00E2328E"/>
    <w:rsid w:val="00E2368E"/>
    <w:rsid w:val="00E25A74"/>
    <w:rsid w:val="00E25D73"/>
    <w:rsid w:val="00E31693"/>
    <w:rsid w:val="00E33791"/>
    <w:rsid w:val="00E33AA5"/>
    <w:rsid w:val="00E35BFA"/>
    <w:rsid w:val="00E36159"/>
    <w:rsid w:val="00E36497"/>
    <w:rsid w:val="00E40965"/>
    <w:rsid w:val="00E424FD"/>
    <w:rsid w:val="00E42518"/>
    <w:rsid w:val="00E453C7"/>
    <w:rsid w:val="00E45784"/>
    <w:rsid w:val="00E46ABB"/>
    <w:rsid w:val="00E46E8F"/>
    <w:rsid w:val="00E51B6A"/>
    <w:rsid w:val="00E520BB"/>
    <w:rsid w:val="00E54D29"/>
    <w:rsid w:val="00E553CB"/>
    <w:rsid w:val="00E55F3A"/>
    <w:rsid w:val="00E5640B"/>
    <w:rsid w:val="00E56909"/>
    <w:rsid w:val="00E57A59"/>
    <w:rsid w:val="00E602D0"/>
    <w:rsid w:val="00E60AEB"/>
    <w:rsid w:val="00E61925"/>
    <w:rsid w:val="00E61C35"/>
    <w:rsid w:val="00E624A9"/>
    <w:rsid w:val="00E63714"/>
    <w:rsid w:val="00E64107"/>
    <w:rsid w:val="00E650DF"/>
    <w:rsid w:val="00E65673"/>
    <w:rsid w:val="00E6662F"/>
    <w:rsid w:val="00E67127"/>
    <w:rsid w:val="00E67576"/>
    <w:rsid w:val="00E678CC"/>
    <w:rsid w:val="00E70AF7"/>
    <w:rsid w:val="00E73408"/>
    <w:rsid w:val="00E73959"/>
    <w:rsid w:val="00E74526"/>
    <w:rsid w:val="00E751EB"/>
    <w:rsid w:val="00E75338"/>
    <w:rsid w:val="00E75A4F"/>
    <w:rsid w:val="00E76AE7"/>
    <w:rsid w:val="00E77FDE"/>
    <w:rsid w:val="00E844DD"/>
    <w:rsid w:val="00E859E2"/>
    <w:rsid w:val="00E8610F"/>
    <w:rsid w:val="00E8748A"/>
    <w:rsid w:val="00E902C3"/>
    <w:rsid w:val="00E916B4"/>
    <w:rsid w:val="00E91EB1"/>
    <w:rsid w:val="00E9327F"/>
    <w:rsid w:val="00E93B08"/>
    <w:rsid w:val="00E97467"/>
    <w:rsid w:val="00E97770"/>
    <w:rsid w:val="00EA02D0"/>
    <w:rsid w:val="00EA3564"/>
    <w:rsid w:val="00EA51F1"/>
    <w:rsid w:val="00EA66C5"/>
    <w:rsid w:val="00EA7FA0"/>
    <w:rsid w:val="00EB0297"/>
    <w:rsid w:val="00EB0C8D"/>
    <w:rsid w:val="00EB3D08"/>
    <w:rsid w:val="00EC0C20"/>
    <w:rsid w:val="00EC1736"/>
    <w:rsid w:val="00EC2C37"/>
    <w:rsid w:val="00EC2D65"/>
    <w:rsid w:val="00EC441F"/>
    <w:rsid w:val="00EC48FA"/>
    <w:rsid w:val="00EC56C6"/>
    <w:rsid w:val="00ED1FC9"/>
    <w:rsid w:val="00ED33C1"/>
    <w:rsid w:val="00ED38E9"/>
    <w:rsid w:val="00ED52B6"/>
    <w:rsid w:val="00ED56E9"/>
    <w:rsid w:val="00ED65F7"/>
    <w:rsid w:val="00ED77E3"/>
    <w:rsid w:val="00EE077C"/>
    <w:rsid w:val="00EE4BDE"/>
    <w:rsid w:val="00EE5026"/>
    <w:rsid w:val="00EE5FB6"/>
    <w:rsid w:val="00EE7273"/>
    <w:rsid w:val="00EF034B"/>
    <w:rsid w:val="00EF1DDF"/>
    <w:rsid w:val="00EF2603"/>
    <w:rsid w:val="00EF2A4F"/>
    <w:rsid w:val="00EF3746"/>
    <w:rsid w:val="00EF6F37"/>
    <w:rsid w:val="00EF7AEF"/>
    <w:rsid w:val="00F00148"/>
    <w:rsid w:val="00F02E9E"/>
    <w:rsid w:val="00F0326A"/>
    <w:rsid w:val="00F05F36"/>
    <w:rsid w:val="00F12ADE"/>
    <w:rsid w:val="00F12C56"/>
    <w:rsid w:val="00F14253"/>
    <w:rsid w:val="00F14957"/>
    <w:rsid w:val="00F1731A"/>
    <w:rsid w:val="00F17710"/>
    <w:rsid w:val="00F17970"/>
    <w:rsid w:val="00F20A78"/>
    <w:rsid w:val="00F212A0"/>
    <w:rsid w:val="00F212F0"/>
    <w:rsid w:val="00F21B3F"/>
    <w:rsid w:val="00F25975"/>
    <w:rsid w:val="00F26E7D"/>
    <w:rsid w:val="00F26FA0"/>
    <w:rsid w:val="00F27E6E"/>
    <w:rsid w:val="00F35FAB"/>
    <w:rsid w:val="00F360E3"/>
    <w:rsid w:val="00F3700F"/>
    <w:rsid w:val="00F379BE"/>
    <w:rsid w:val="00F40109"/>
    <w:rsid w:val="00F41E97"/>
    <w:rsid w:val="00F4538E"/>
    <w:rsid w:val="00F46946"/>
    <w:rsid w:val="00F4753D"/>
    <w:rsid w:val="00F51C88"/>
    <w:rsid w:val="00F53238"/>
    <w:rsid w:val="00F53BAF"/>
    <w:rsid w:val="00F54DC8"/>
    <w:rsid w:val="00F56236"/>
    <w:rsid w:val="00F62081"/>
    <w:rsid w:val="00F62396"/>
    <w:rsid w:val="00F626A0"/>
    <w:rsid w:val="00F63949"/>
    <w:rsid w:val="00F65469"/>
    <w:rsid w:val="00F66E50"/>
    <w:rsid w:val="00F66EEA"/>
    <w:rsid w:val="00F7037F"/>
    <w:rsid w:val="00F70C87"/>
    <w:rsid w:val="00F721CD"/>
    <w:rsid w:val="00F74418"/>
    <w:rsid w:val="00F7454B"/>
    <w:rsid w:val="00F76706"/>
    <w:rsid w:val="00F81E28"/>
    <w:rsid w:val="00F83372"/>
    <w:rsid w:val="00F845EE"/>
    <w:rsid w:val="00F85BB5"/>
    <w:rsid w:val="00F860A2"/>
    <w:rsid w:val="00F86AC4"/>
    <w:rsid w:val="00F87F89"/>
    <w:rsid w:val="00F9018E"/>
    <w:rsid w:val="00F9156E"/>
    <w:rsid w:val="00F9290D"/>
    <w:rsid w:val="00F95538"/>
    <w:rsid w:val="00FA1AB1"/>
    <w:rsid w:val="00FA1DAB"/>
    <w:rsid w:val="00FA2077"/>
    <w:rsid w:val="00FA2200"/>
    <w:rsid w:val="00FA288B"/>
    <w:rsid w:val="00FA3238"/>
    <w:rsid w:val="00FA4C37"/>
    <w:rsid w:val="00FA590D"/>
    <w:rsid w:val="00FB0141"/>
    <w:rsid w:val="00FB0522"/>
    <w:rsid w:val="00FB25D9"/>
    <w:rsid w:val="00FB51A9"/>
    <w:rsid w:val="00FB667E"/>
    <w:rsid w:val="00FB73F1"/>
    <w:rsid w:val="00FC0275"/>
    <w:rsid w:val="00FC074C"/>
    <w:rsid w:val="00FC081E"/>
    <w:rsid w:val="00FC194E"/>
    <w:rsid w:val="00FC2D65"/>
    <w:rsid w:val="00FC40A4"/>
    <w:rsid w:val="00FC6550"/>
    <w:rsid w:val="00FC6697"/>
    <w:rsid w:val="00FC6DAD"/>
    <w:rsid w:val="00FC75D6"/>
    <w:rsid w:val="00FC7E06"/>
    <w:rsid w:val="00FD0E4B"/>
    <w:rsid w:val="00FD1F4E"/>
    <w:rsid w:val="00FD22E8"/>
    <w:rsid w:val="00FD3E72"/>
    <w:rsid w:val="00FE0C83"/>
    <w:rsid w:val="00FE2745"/>
    <w:rsid w:val="00FE27CA"/>
    <w:rsid w:val="00FE4B5B"/>
    <w:rsid w:val="00FE558C"/>
    <w:rsid w:val="00FE5EAB"/>
    <w:rsid w:val="00FE63B1"/>
    <w:rsid w:val="00FE7E57"/>
    <w:rsid w:val="00FF0033"/>
    <w:rsid w:val="00FF5C45"/>
    <w:rsid w:val="00FF6253"/>
    <w:rsid w:val="00FF6970"/>
    <w:rsid w:val="04D621BB"/>
    <w:rsid w:val="13D33590"/>
    <w:rsid w:val="14DB2985"/>
    <w:rsid w:val="27727017"/>
    <w:rsid w:val="2D803250"/>
    <w:rsid w:val="370C5A2C"/>
    <w:rsid w:val="3D026436"/>
    <w:rsid w:val="3F4B5BE7"/>
    <w:rsid w:val="446740F7"/>
    <w:rsid w:val="46D025A6"/>
    <w:rsid w:val="47236543"/>
    <w:rsid w:val="4AA51BAD"/>
    <w:rsid w:val="513151E0"/>
    <w:rsid w:val="51EF71A6"/>
    <w:rsid w:val="56F34C36"/>
    <w:rsid w:val="6A4D0AC8"/>
    <w:rsid w:val="6A6E379D"/>
    <w:rsid w:val="70683CD1"/>
    <w:rsid w:val="7C0D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qFormat="1" w:unhideWhenUsed="0" w:uiPriority="99" w:semiHidden="0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7"/>
    <w:qFormat/>
    <w:uiPriority w:val="9"/>
    <w:pPr>
      <w:keepNext/>
      <w:spacing w:before="240" w:after="60" w:line="360" w:lineRule="auto"/>
      <w:outlineLvl w:val="0"/>
    </w:pPr>
    <w:rPr>
      <w:rFonts w:ascii="Arial" w:hAnsi="Arial" w:cs="Arial"/>
      <w:bCs/>
      <w:kern w:val="32"/>
      <w:sz w:val="28"/>
      <w:szCs w:val="28"/>
    </w:rPr>
  </w:style>
  <w:style w:type="paragraph" w:styleId="3">
    <w:name w:val="heading 2"/>
    <w:basedOn w:val="1"/>
    <w:next w:val="1"/>
    <w:link w:val="69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91"/>
    <w:qFormat/>
    <w:uiPriority w:val="9"/>
    <w:pPr>
      <w:keepNext/>
      <w:tabs>
        <w:tab w:val="left" w:pos="1224"/>
      </w:tabs>
      <w:spacing w:before="360" w:after="240"/>
      <w:ind w:left="1224" w:hanging="504"/>
      <w:outlineLvl w:val="2"/>
    </w:pPr>
    <w:rPr>
      <w:rFonts w:ascii="Arial" w:hAnsi="Arial"/>
      <w:sz w:val="28"/>
      <w:szCs w:val="20"/>
    </w:rPr>
  </w:style>
  <w:style w:type="paragraph" w:styleId="5">
    <w:name w:val="heading 5"/>
    <w:basedOn w:val="1"/>
    <w:link w:val="99"/>
    <w:qFormat/>
    <w:uiPriority w:val="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8"/>
    <w:basedOn w:val="1"/>
    <w:next w:val="1"/>
    <w:link w:val="100"/>
    <w:semiHidden/>
    <w:unhideWhenUsed/>
    <w:qFormat/>
    <w:uiPriority w:val="9"/>
    <w:pPr>
      <w:keepNext/>
      <w:keepLines/>
      <w:spacing w:before="40" w:line="259" w:lineRule="auto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">
    <w:name w:val="heading 9"/>
    <w:basedOn w:val="1"/>
    <w:next w:val="1"/>
    <w:link w:val="87"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8"/>
    <w:qFormat/>
    <w:uiPriority w:val="99"/>
    <w:rPr>
      <w:vertAlign w:val="superscript"/>
    </w:rPr>
  </w:style>
  <w:style w:type="character" w:styleId="11">
    <w:name w:val="annotation reference"/>
    <w:basedOn w:val="8"/>
    <w:qFormat/>
    <w:uiPriority w:val="0"/>
    <w:rPr>
      <w:sz w:val="16"/>
      <w:szCs w:val="16"/>
    </w:rPr>
  </w:style>
  <w:style w:type="character" w:styleId="12">
    <w:name w:val="Emphasis"/>
    <w:basedOn w:val="8"/>
    <w:qFormat/>
    <w:uiPriority w:val="20"/>
    <w:rPr>
      <w:i/>
      <w:iCs/>
    </w:rPr>
  </w:style>
  <w:style w:type="character" w:styleId="13">
    <w:name w:val="Hyperlink"/>
    <w:basedOn w:val="8"/>
    <w:unhideWhenUsed/>
    <w:qFormat/>
    <w:uiPriority w:val="99"/>
    <w:rPr>
      <w:rFonts w:cs="Times New Roman"/>
      <w:color w:val="0000FF"/>
      <w:u w:val="single"/>
    </w:rPr>
  </w:style>
  <w:style w:type="character" w:styleId="14">
    <w:name w:val="page number"/>
    <w:basedOn w:val="8"/>
    <w:qFormat/>
    <w:uiPriority w:val="0"/>
  </w:style>
  <w:style w:type="character" w:styleId="15">
    <w:name w:val="Strong"/>
    <w:basedOn w:val="8"/>
    <w:qFormat/>
    <w:uiPriority w:val="22"/>
    <w:rPr>
      <w:b/>
      <w:bCs/>
    </w:rPr>
  </w:style>
  <w:style w:type="paragraph" w:styleId="16">
    <w:name w:val="Balloon Text"/>
    <w:basedOn w:val="1"/>
    <w:link w:val="57"/>
    <w:unhideWhenUsed/>
    <w:qFormat/>
    <w:uiPriority w:val="99"/>
    <w:rPr>
      <w:rFonts w:ascii="Segoe UI" w:hAnsi="Segoe UI" w:cs="Segoe UI"/>
      <w:sz w:val="18"/>
      <w:szCs w:val="18"/>
    </w:rPr>
  </w:style>
  <w:style w:type="paragraph" w:styleId="17">
    <w:name w:val="Body Text 2"/>
    <w:basedOn w:val="1"/>
    <w:link w:val="60"/>
    <w:qFormat/>
    <w:uiPriority w:val="0"/>
    <w:pPr>
      <w:spacing w:after="120" w:line="480" w:lineRule="auto"/>
    </w:pPr>
  </w:style>
  <w:style w:type="paragraph" w:styleId="18">
    <w:name w:val="Plain Text"/>
    <w:basedOn w:val="1"/>
    <w:link w:val="116"/>
    <w:qFormat/>
    <w:uiPriority w:val="0"/>
    <w:rPr>
      <w:rFonts w:ascii="Courier New" w:hAnsi="Courier New"/>
      <w:sz w:val="20"/>
      <w:szCs w:val="20"/>
    </w:rPr>
  </w:style>
  <w:style w:type="paragraph" w:styleId="19">
    <w:name w:val="Body Text Indent 3"/>
    <w:basedOn w:val="20"/>
    <w:next w:val="20"/>
    <w:link w:val="54"/>
    <w:qFormat/>
    <w:uiPriority w:val="99"/>
    <w:rPr>
      <w:color w:val="auto"/>
      <w:lang w:val="zh-CN" w:eastAsia="zh-CN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21">
    <w:name w:val="caption"/>
    <w:basedOn w:val="1"/>
    <w:next w:val="1"/>
    <w:unhideWhenUsed/>
    <w:qFormat/>
    <w:uiPriority w:val="35"/>
    <w:pPr>
      <w:spacing w:after="200" w:line="276" w:lineRule="auto"/>
    </w:pPr>
    <w:rPr>
      <w:rFonts w:ascii="Calibri" w:hAnsi="Calibri" w:eastAsia="Calibri"/>
      <w:b/>
      <w:bCs/>
      <w:sz w:val="20"/>
      <w:szCs w:val="20"/>
      <w:lang w:eastAsia="en-US"/>
    </w:rPr>
  </w:style>
  <w:style w:type="paragraph" w:styleId="22">
    <w:name w:val="annotation text"/>
    <w:basedOn w:val="1"/>
    <w:link w:val="103"/>
    <w:qFormat/>
    <w:uiPriority w:val="0"/>
    <w:rPr>
      <w:sz w:val="20"/>
      <w:szCs w:val="20"/>
    </w:rPr>
  </w:style>
  <w:style w:type="paragraph" w:styleId="23">
    <w:name w:val="annotation subject"/>
    <w:basedOn w:val="22"/>
    <w:next w:val="22"/>
    <w:link w:val="104"/>
    <w:qFormat/>
    <w:uiPriority w:val="0"/>
    <w:rPr>
      <w:b/>
      <w:bCs/>
    </w:rPr>
  </w:style>
  <w:style w:type="paragraph" w:styleId="24">
    <w:name w:val="Document Map"/>
    <w:basedOn w:val="1"/>
    <w:link w:val="120"/>
    <w:semiHidden/>
    <w:unhideWhenUsed/>
    <w:qFormat/>
    <w:uiPriority w:val="99"/>
    <w:rPr>
      <w:rFonts w:ascii="Tahoma" w:hAnsi="Tahoma"/>
      <w:sz w:val="16"/>
      <w:szCs w:val="16"/>
      <w:lang w:val="zh-CN" w:eastAsia="zh-CN"/>
    </w:rPr>
  </w:style>
  <w:style w:type="paragraph" w:styleId="25">
    <w:name w:val="footnote text"/>
    <w:basedOn w:val="1"/>
    <w:link w:val="93"/>
    <w:qFormat/>
    <w:uiPriority w:val="0"/>
    <w:rPr>
      <w:sz w:val="20"/>
      <w:szCs w:val="20"/>
    </w:rPr>
  </w:style>
  <w:style w:type="paragraph" w:styleId="26">
    <w:name w:val="toc 8"/>
    <w:basedOn w:val="1"/>
    <w:next w:val="1"/>
    <w:autoRedefine/>
    <w:unhideWhenUsed/>
    <w:qFormat/>
    <w:uiPriority w:val="39"/>
    <w:pPr>
      <w:spacing w:line="276" w:lineRule="auto"/>
      <w:ind w:left="1320"/>
    </w:pPr>
    <w:rPr>
      <w:rFonts w:ascii="Calibri" w:hAnsi="Calibri" w:eastAsia="Calibri" w:cs="Calibri"/>
      <w:sz w:val="20"/>
      <w:szCs w:val="20"/>
      <w:lang w:eastAsia="en-US"/>
    </w:rPr>
  </w:style>
  <w:style w:type="paragraph" w:styleId="27">
    <w:name w:val="header"/>
    <w:basedOn w:val="1"/>
    <w:link w:val="48"/>
    <w:unhideWhenUsed/>
    <w:qFormat/>
    <w:uiPriority w:val="99"/>
    <w:pPr>
      <w:tabs>
        <w:tab w:val="center" w:pos="4677"/>
        <w:tab w:val="right" w:pos="9355"/>
      </w:tabs>
    </w:pPr>
  </w:style>
  <w:style w:type="paragraph" w:styleId="28">
    <w:name w:val="toc 9"/>
    <w:basedOn w:val="1"/>
    <w:next w:val="1"/>
    <w:autoRedefine/>
    <w:unhideWhenUsed/>
    <w:qFormat/>
    <w:uiPriority w:val="39"/>
    <w:pPr>
      <w:spacing w:line="276" w:lineRule="auto"/>
      <w:ind w:left="1540"/>
    </w:pPr>
    <w:rPr>
      <w:rFonts w:ascii="Calibri" w:hAnsi="Calibri" w:eastAsia="Calibri" w:cs="Calibri"/>
      <w:sz w:val="20"/>
      <w:szCs w:val="20"/>
      <w:lang w:eastAsia="en-US"/>
    </w:rPr>
  </w:style>
  <w:style w:type="paragraph" w:styleId="29">
    <w:name w:val="toc 7"/>
    <w:basedOn w:val="1"/>
    <w:next w:val="1"/>
    <w:autoRedefine/>
    <w:unhideWhenUsed/>
    <w:qFormat/>
    <w:uiPriority w:val="39"/>
    <w:pPr>
      <w:spacing w:line="276" w:lineRule="auto"/>
      <w:ind w:left="1100"/>
    </w:pPr>
    <w:rPr>
      <w:rFonts w:ascii="Calibri" w:hAnsi="Calibri" w:eastAsia="Calibri" w:cs="Calibri"/>
      <w:sz w:val="20"/>
      <w:szCs w:val="20"/>
      <w:lang w:eastAsia="en-US"/>
    </w:rPr>
  </w:style>
  <w:style w:type="paragraph" w:styleId="30">
    <w:name w:val="Body Text"/>
    <w:basedOn w:val="1"/>
    <w:link w:val="90"/>
    <w:unhideWhenUsed/>
    <w:qFormat/>
    <w:uiPriority w:val="99"/>
    <w:pPr>
      <w:spacing w:after="120"/>
    </w:pPr>
  </w:style>
  <w:style w:type="paragraph" w:styleId="31">
    <w:name w:val="toc 1"/>
    <w:basedOn w:val="1"/>
    <w:next w:val="1"/>
    <w:autoRedefine/>
    <w:unhideWhenUsed/>
    <w:qFormat/>
    <w:uiPriority w:val="39"/>
    <w:pPr>
      <w:tabs>
        <w:tab w:val="right" w:pos="9344"/>
      </w:tabs>
      <w:spacing w:after="120"/>
      <w:ind w:left="284" w:hanging="284"/>
    </w:pPr>
    <w:rPr>
      <w:rFonts w:eastAsia="Calibri"/>
      <w:bCs/>
      <w:sz w:val="28"/>
      <w:szCs w:val="28"/>
      <w:lang w:eastAsia="en-US"/>
    </w:rPr>
  </w:style>
  <w:style w:type="paragraph" w:styleId="32">
    <w:name w:val="toc 6"/>
    <w:basedOn w:val="1"/>
    <w:next w:val="1"/>
    <w:autoRedefine/>
    <w:unhideWhenUsed/>
    <w:qFormat/>
    <w:uiPriority w:val="39"/>
    <w:pPr>
      <w:spacing w:line="276" w:lineRule="auto"/>
      <w:ind w:left="880"/>
    </w:pPr>
    <w:rPr>
      <w:rFonts w:ascii="Calibri" w:hAnsi="Calibri" w:eastAsia="Calibri" w:cs="Calibri"/>
      <w:sz w:val="20"/>
      <w:szCs w:val="20"/>
      <w:lang w:eastAsia="en-US"/>
    </w:rPr>
  </w:style>
  <w:style w:type="paragraph" w:styleId="33">
    <w:name w:val="toc 3"/>
    <w:basedOn w:val="1"/>
    <w:next w:val="1"/>
    <w:autoRedefine/>
    <w:unhideWhenUsed/>
    <w:qFormat/>
    <w:uiPriority w:val="39"/>
    <w:pPr>
      <w:spacing w:line="276" w:lineRule="auto"/>
      <w:ind w:left="220"/>
    </w:pPr>
    <w:rPr>
      <w:rFonts w:eastAsia="Calibri" w:cs="Calibri"/>
      <w:szCs w:val="20"/>
      <w:lang w:eastAsia="en-US"/>
    </w:rPr>
  </w:style>
  <w:style w:type="paragraph" w:styleId="34">
    <w:name w:val="toc 2"/>
    <w:basedOn w:val="1"/>
    <w:next w:val="1"/>
    <w:autoRedefine/>
    <w:unhideWhenUsed/>
    <w:qFormat/>
    <w:uiPriority w:val="39"/>
    <w:pPr>
      <w:tabs>
        <w:tab w:val="right" w:pos="9344"/>
      </w:tabs>
      <w:spacing w:after="120"/>
      <w:ind w:left="738" w:hanging="454"/>
    </w:pPr>
    <w:rPr>
      <w:rFonts w:eastAsia="Calibri"/>
      <w:bCs/>
      <w:sz w:val="28"/>
      <w:szCs w:val="28"/>
      <w:lang w:eastAsia="en-US"/>
    </w:rPr>
  </w:style>
  <w:style w:type="paragraph" w:styleId="35">
    <w:name w:val="toc 4"/>
    <w:basedOn w:val="1"/>
    <w:next w:val="1"/>
    <w:autoRedefine/>
    <w:unhideWhenUsed/>
    <w:qFormat/>
    <w:uiPriority w:val="39"/>
    <w:pPr>
      <w:spacing w:line="276" w:lineRule="auto"/>
      <w:ind w:left="440"/>
    </w:pPr>
    <w:rPr>
      <w:rFonts w:ascii="Calibri" w:hAnsi="Calibri" w:eastAsia="Calibri" w:cs="Calibri"/>
      <w:sz w:val="20"/>
      <w:szCs w:val="20"/>
      <w:lang w:eastAsia="en-US"/>
    </w:rPr>
  </w:style>
  <w:style w:type="paragraph" w:styleId="36">
    <w:name w:val="toc 5"/>
    <w:basedOn w:val="1"/>
    <w:next w:val="1"/>
    <w:autoRedefine/>
    <w:unhideWhenUsed/>
    <w:qFormat/>
    <w:uiPriority w:val="39"/>
    <w:pPr>
      <w:spacing w:line="276" w:lineRule="auto"/>
      <w:ind w:left="660"/>
    </w:pPr>
    <w:rPr>
      <w:rFonts w:ascii="Calibri" w:hAnsi="Calibri" w:eastAsia="Calibri" w:cs="Calibri"/>
      <w:sz w:val="20"/>
      <w:szCs w:val="20"/>
      <w:lang w:eastAsia="en-US"/>
    </w:rPr>
  </w:style>
  <w:style w:type="paragraph" w:styleId="37">
    <w:name w:val="Body Text Indent"/>
    <w:basedOn w:val="1"/>
    <w:link w:val="105"/>
    <w:semiHidden/>
    <w:unhideWhenUsed/>
    <w:qFormat/>
    <w:uiPriority w:val="99"/>
    <w:pPr>
      <w:spacing w:after="120"/>
      <w:ind w:left="283"/>
    </w:pPr>
  </w:style>
  <w:style w:type="paragraph" w:styleId="38">
    <w:name w:val="Title"/>
    <w:basedOn w:val="1"/>
    <w:link w:val="141"/>
    <w:qFormat/>
    <w:uiPriority w:val="0"/>
    <w:pPr>
      <w:ind w:firstLine="284"/>
      <w:jc w:val="center"/>
    </w:pPr>
    <w:rPr>
      <w:b/>
      <w:sz w:val="22"/>
      <w:szCs w:val="20"/>
    </w:rPr>
  </w:style>
  <w:style w:type="paragraph" w:styleId="39">
    <w:name w:val="footer"/>
    <w:basedOn w:val="1"/>
    <w:link w:val="49"/>
    <w:unhideWhenUsed/>
    <w:qFormat/>
    <w:uiPriority w:val="99"/>
    <w:pPr>
      <w:tabs>
        <w:tab w:val="center" w:pos="4677"/>
        <w:tab w:val="right" w:pos="9355"/>
      </w:tabs>
    </w:pPr>
  </w:style>
  <w:style w:type="paragraph" w:styleId="40">
    <w:name w:val="Normal (Web)"/>
    <w:basedOn w:val="1"/>
    <w:link w:val="88"/>
    <w:unhideWhenUsed/>
    <w:qFormat/>
    <w:uiPriority w:val="99"/>
  </w:style>
  <w:style w:type="paragraph" w:styleId="41">
    <w:name w:val="Body Text Indent 2"/>
    <w:basedOn w:val="1"/>
    <w:link w:val="96"/>
    <w:qFormat/>
    <w:uiPriority w:val="99"/>
    <w:pPr>
      <w:spacing w:line="360" w:lineRule="auto"/>
      <w:ind w:firstLine="540"/>
      <w:jc w:val="both"/>
    </w:pPr>
    <w:rPr>
      <w:sz w:val="28"/>
    </w:rPr>
  </w:style>
  <w:style w:type="paragraph" w:styleId="42">
    <w:name w:val="HTML Preformatted"/>
    <w:basedOn w:val="1"/>
    <w:link w:val="119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eastAsia="Calibri" w:cs="Arial Unicode MS"/>
      <w:color w:val="000000"/>
      <w:sz w:val="20"/>
      <w:szCs w:val="20"/>
    </w:rPr>
  </w:style>
  <w:style w:type="paragraph" w:styleId="43">
    <w:name w:val="Block Text"/>
    <w:basedOn w:val="1"/>
    <w:qFormat/>
    <w:uiPriority w:val="0"/>
    <w:pPr>
      <w:ind w:left="851" w:right="821"/>
      <w:jc w:val="both"/>
    </w:pPr>
    <w:rPr>
      <w:sz w:val="32"/>
      <w:szCs w:val="20"/>
    </w:rPr>
  </w:style>
  <w:style w:type="table" w:styleId="44">
    <w:name w:val="Table Grid 1"/>
    <w:basedOn w:val="9"/>
    <w:qFormat/>
    <w:uiPriority w:val="99"/>
    <w:pPr>
      <w:spacing w:after="200" w:line="276" w:lineRule="auto"/>
    </w:pPr>
    <w:rPr>
      <w:rFonts w:eastAsia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45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6">
    <w:name w:val="List Paragraph"/>
    <w:basedOn w:val="1"/>
    <w:link w:val="72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47">
    <w:name w:val="Заголовок 1 Знак"/>
    <w:basedOn w:val="8"/>
    <w:link w:val="2"/>
    <w:qFormat/>
    <w:uiPriority w:val="9"/>
    <w:rPr>
      <w:rFonts w:ascii="Arial" w:hAnsi="Arial" w:eastAsia="Times New Roman" w:cs="Arial"/>
      <w:bCs/>
      <w:kern w:val="32"/>
      <w:sz w:val="28"/>
      <w:szCs w:val="28"/>
      <w:lang w:eastAsia="ru-RU"/>
    </w:rPr>
  </w:style>
  <w:style w:type="character" w:customStyle="1" w:styleId="48">
    <w:name w:val="Верхний колонтитул Знак"/>
    <w:basedOn w:val="8"/>
    <w:link w:val="2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9">
    <w:name w:val="Нижний колонтитул Знак"/>
    <w:basedOn w:val="8"/>
    <w:link w:val="39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50">
    <w:name w:val="Сетка таблицы 11"/>
    <w:basedOn w:val="9"/>
    <w:qFormat/>
    <w:uiPriority w:val="99"/>
    <w:pPr>
      <w:spacing w:after="200" w:line="276" w:lineRule="auto"/>
    </w:pPr>
    <w:rPr>
      <w:rFonts w:eastAsia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rFonts w:cs="Times New Roman"/>
        <w:i/>
        <w:iCs/>
      </w:rPr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cPr>
        <w:tcBorders>
          <w:tl2br w:val="nil"/>
          <w:tr2bl w:val="nil"/>
        </w:tcBorders>
      </w:tcPr>
    </w:tblStylePr>
  </w:style>
  <w:style w:type="table" w:customStyle="1" w:styleId="51">
    <w:name w:val="Сетка таблицы1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2">
    <w:name w:val="табл1"/>
    <w:basedOn w:val="1"/>
    <w:qFormat/>
    <w:uiPriority w:val="0"/>
    <w:pPr>
      <w:keepNext/>
      <w:spacing w:before="160" w:after="160"/>
      <w:jc w:val="center"/>
    </w:pPr>
    <w:rPr>
      <w:snapToGrid w:val="0"/>
      <w:sz w:val="18"/>
      <w:szCs w:val="28"/>
    </w:rPr>
  </w:style>
  <w:style w:type="paragraph" w:customStyle="1" w:styleId="53">
    <w:name w:val="табл."/>
    <w:basedOn w:val="1"/>
    <w:qFormat/>
    <w:uiPriority w:val="0"/>
    <w:pPr>
      <w:spacing w:before="60" w:after="60"/>
    </w:pPr>
    <w:rPr>
      <w:snapToGrid w:val="0"/>
      <w:sz w:val="18"/>
      <w:szCs w:val="28"/>
    </w:rPr>
  </w:style>
  <w:style w:type="character" w:customStyle="1" w:styleId="54">
    <w:name w:val="Основной текст с отступом 3 Знак"/>
    <w:basedOn w:val="8"/>
    <w:link w:val="19"/>
    <w:qFormat/>
    <w:uiPriority w:val="99"/>
    <w:rPr>
      <w:rFonts w:ascii="Times New Roman" w:hAnsi="Times New Roman" w:eastAsia="Calibri" w:cs="Times New Roman"/>
      <w:sz w:val="24"/>
      <w:szCs w:val="24"/>
      <w:lang w:val="zh-CN" w:eastAsia="zh-CN"/>
    </w:rPr>
  </w:style>
  <w:style w:type="table" w:customStyle="1" w:styleId="55">
    <w:name w:val="Сетка таблицы2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Сетка таблицы 12"/>
    <w:basedOn w:val="9"/>
    <w:qFormat/>
    <w:uiPriority w:val="99"/>
    <w:pPr>
      <w:spacing w:after="200" w:line="276" w:lineRule="auto"/>
    </w:pPr>
    <w:rPr>
      <w:rFonts w:eastAsia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rFonts w:cs="Times New Roman"/>
        <w:i/>
        <w:iCs/>
      </w:rPr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cPr>
        <w:tcBorders>
          <w:tl2br w:val="nil"/>
          <w:tr2bl w:val="nil"/>
        </w:tcBorders>
      </w:tcPr>
    </w:tblStylePr>
  </w:style>
  <w:style w:type="character" w:customStyle="1" w:styleId="57">
    <w:name w:val="Текст выноски Знак"/>
    <w:basedOn w:val="8"/>
    <w:link w:val="16"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table" w:customStyle="1" w:styleId="58">
    <w:name w:val="Сетка таблицы 111"/>
    <w:basedOn w:val="9"/>
    <w:qFormat/>
    <w:uiPriority w:val="99"/>
    <w:pPr>
      <w:spacing w:after="200" w:line="276" w:lineRule="auto"/>
    </w:pPr>
    <w:rPr>
      <w:rFonts w:eastAsia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rFonts w:cs="Times New Roman"/>
        <w:i/>
        <w:iCs/>
      </w:rPr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cPr>
        <w:tcBorders>
          <w:tl2br w:val="nil"/>
          <w:tr2bl w:val="nil"/>
        </w:tcBorders>
      </w:tcPr>
    </w:tblStylePr>
  </w:style>
  <w:style w:type="table" w:customStyle="1" w:styleId="59">
    <w:name w:val="Сетка таблицы11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0">
    <w:name w:val="Основной текст 2 Знак"/>
    <w:basedOn w:val="8"/>
    <w:link w:val="1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1">
    <w:name w:val="bodytxt"/>
    <w:basedOn w:val="1"/>
    <w:qFormat/>
    <w:uiPriority w:val="0"/>
    <w:pPr>
      <w:spacing w:before="100" w:beforeAutospacing="1" w:after="100" w:afterAutospacing="1"/>
    </w:pPr>
  </w:style>
  <w:style w:type="table" w:customStyle="1" w:styleId="62">
    <w:name w:val="Сетка таблицы3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">
    <w:name w:val="Сетка таблицы 13"/>
    <w:basedOn w:val="9"/>
    <w:qFormat/>
    <w:uiPriority w:val="99"/>
    <w:pPr>
      <w:spacing w:after="200" w:line="276" w:lineRule="auto"/>
    </w:pPr>
    <w:rPr>
      <w:rFonts w:eastAsia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rFonts w:cs="Times New Roman"/>
        <w:i/>
        <w:iCs/>
      </w:rPr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cPr>
        <w:tcBorders>
          <w:tl2br w:val="nil"/>
          <w:tr2bl w:val="nil"/>
        </w:tcBorders>
      </w:tcPr>
    </w:tblStylePr>
  </w:style>
  <w:style w:type="table" w:customStyle="1" w:styleId="64">
    <w:name w:val="Сетка таблицы 112"/>
    <w:basedOn w:val="9"/>
    <w:qFormat/>
    <w:uiPriority w:val="99"/>
    <w:pPr>
      <w:spacing w:after="200" w:line="276" w:lineRule="auto"/>
    </w:pPr>
    <w:rPr>
      <w:rFonts w:eastAsia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rFonts w:cs="Times New Roman"/>
        <w:i/>
        <w:iCs/>
      </w:rPr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cPr>
        <w:tcBorders>
          <w:tl2br w:val="nil"/>
          <w:tr2bl w:val="nil"/>
        </w:tcBorders>
      </w:tcPr>
    </w:tblStylePr>
  </w:style>
  <w:style w:type="table" w:customStyle="1" w:styleId="65">
    <w:name w:val="Сетка таблицы12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">
    <w:name w:val="Сетка таблицы21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">
    <w:name w:val="Сетка таблицы4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">
    <w:name w:val="Сетка таблицы5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9">
    <w:name w:val="Заголовок 2 Знак"/>
    <w:basedOn w:val="8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ru-RU"/>
    </w:rPr>
  </w:style>
  <w:style w:type="paragraph" w:styleId="70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71">
    <w:name w:val="apple-converted-space"/>
    <w:basedOn w:val="8"/>
    <w:qFormat/>
    <w:uiPriority w:val="0"/>
  </w:style>
  <w:style w:type="character" w:customStyle="1" w:styleId="72">
    <w:name w:val="Абзац списка Знак"/>
    <w:link w:val="46"/>
    <w:qFormat/>
    <w:locked/>
    <w:uiPriority w:val="34"/>
  </w:style>
  <w:style w:type="paragraph" w:customStyle="1" w:styleId="73">
    <w:name w:val="Нормальный"/>
    <w:basedOn w:val="1"/>
    <w:qFormat/>
    <w:uiPriority w:val="0"/>
    <w:pPr>
      <w:spacing w:line="250" w:lineRule="exact"/>
      <w:ind w:firstLine="709"/>
      <w:jc w:val="both"/>
    </w:pPr>
  </w:style>
  <w:style w:type="character" w:customStyle="1" w:styleId="74">
    <w:name w:val="Основной текст (2)_"/>
    <w:basedOn w:val="8"/>
    <w:link w:val="75"/>
    <w:qFormat/>
    <w:uiPriority w:val="0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customStyle="1" w:styleId="75">
    <w:name w:val="Основной текст (2)"/>
    <w:basedOn w:val="1"/>
    <w:link w:val="74"/>
    <w:qFormat/>
    <w:uiPriority w:val="0"/>
    <w:pPr>
      <w:widowControl w:val="0"/>
      <w:shd w:val="clear" w:color="auto" w:fill="FFFFFF"/>
      <w:spacing w:after="1560" w:line="235" w:lineRule="exact"/>
      <w:jc w:val="center"/>
    </w:pPr>
    <w:rPr>
      <w:sz w:val="20"/>
      <w:szCs w:val="20"/>
      <w:lang w:eastAsia="en-US"/>
    </w:rPr>
  </w:style>
  <w:style w:type="character" w:customStyle="1" w:styleId="76">
    <w:name w:val="Основной текст (11)_"/>
    <w:basedOn w:val="8"/>
    <w:link w:val="77"/>
    <w:qFormat/>
    <w:uiPriority w:val="0"/>
    <w:rPr>
      <w:rFonts w:ascii="Times New Roman" w:hAnsi="Times New Roman" w:eastAsia="Times New Roman" w:cs="Times New Roman"/>
      <w:i/>
      <w:iCs/>
      <w:sz w:val="20"/>
      <w:szCs w:val="20"/>
      <w:shd w:val="clear" w:color="auto" w:fill="FFFFFF"/>
    </w:rPr>
  </w:style>
  <w:style w:type="paragraph" w:customStyle="1" w:styleId="77">
    <w:name w:val="Основной текст (11)"/>
    <w:basedOn w:val="1"/>
    <w:link w:val="76"/>
    <w:qFormat/>
    <w:uiPriority w:val="0"/>
    <w:pPr>
      <w:widowControl w:val="0"/>
      <w:shd w:val="clear" w:color="auto" w:fill="FFFFFF"/>
      <w:spacing w:after="60" w:line="240" w:lineRule="exact"/>
    </w:pPr>
    <w:rPr>
      <w:i/>
      <w:iCs/>
      <w:sz w:val="20"/>
      <w:szCs w:val="20"/>
      <w:lang w:eastAsia="en-US"/>
    </w:rPr>
  </w:style>
  <w:style w:type="character" w:customStyle="1" w:styleId="78">
    <w:name w:val="Основной текст (10)_"/>
    <w:basedOn w:val="8"/>
    <w:link w:val="79"/>
    <w:qFormat/>
    <w:uiPriority w:val="0"/>
    <w:rPr>
      <w:rFonts w:ascii="Times New Roman" w:hAnsi="Times New Roman"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79">
    <w:name w:val="Основной текст (10)"/>
    <w:basedOn w:val="1"/>
    <w:link w:val="78"/>
    <w:qFormat/>
    <w:uiPriority w:val="0"/>
    <w:pPr>
      <w:widowControl w:val="0"/>
      <w:shd w:val="clear" w:color="auto" w:fill="FFFFFF"/>
      <w:spacing w:after="120" w:line="0" w:lineRule="atLeast"/>
      <w:jc w:val="center"/>
    </w:pPr>
    <w:rPr>
      <w:b/>
      <w:bCs/>
      <w:sz w:val="20"/>
      <w:szCs w:val="20"/>
      <w:lang w:eastAsia="en-US"/>
    </w:rPr>
  </w:style>
  <w:style w:type="character" w:customStyle="1" w:styleId="80">
    <w:name w:val="Основной текст (10) + Не полужирный"/>
    <w:basedOn w:val="7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1">
    <w:name w:val="Основной текст (9)_"/>
    <w:basedOn w:val="8"/>
    <w:link w:val="82"/>
    <w:qFormat/>
    <w:uiPriority w:val="0"/>
    <w:rPr>
      <w:rFonts w:ascii="Century Gothic" w:hAnsi="Century Gothic" w:eastAsia="Century Gothic" w:cs="Century Gothic"/>
      <w:b/>
      <w:bCs/>
      <w:sz w:val="20"/>
      <w:szCs w:val="20"/>
      <w:shd w:val="clear" w:color="auto" w:fill="FFFFFF"/>
    </w:rPr>
  </w:style>
  <w:style w:type="paragraph" w:customStyle="1" w:styleId="82">
    <w:name w:val="Основной текст (9)"/>
    <w:basedOn w:val="1"/>
    <w:link w:val="81"/>
    <w:qFormat/>
    <w:uiPriority w:val="0"/>
    <w:pPr>
      <w:widowControl w:val="0"/>
      <w:shd w:val="clear" w:color="auto" w:fill="FFFFFF"/>
      <w:spacing w:after="180" w:line="240" w:lineRule="exact"/>
      <w:jc w:val="center"/>
    </w:pPr>
    <w:rPr>
      <w:rFonts w:ascii="Century Gothic" w:hAnsi="Century Gothic" w:eastAsia="Century Gothic" w:cs="Century Gothic"/>
      <w:b/>
      <w:bCs/>
      <w:sz w:val="20"/>
      <w:szCs w:val="20"/>
      <w:lang w:eastAsia="en-US"/>
    </w:rPr>
  </w:style>
  <w:style w:type="character" w:customStyle="1" w:styleId="83">
    <w:name w:val="Основной текст (2) + Интервал 1 pt"/>
    <w:basedOn w:val="74"/>
    <w:qFormat/>
    <w:uiPriority w:val="0"/>
    <w:rPr>
      <w:rFonts w:ascii="Times New Roman" w:hAnsi="Times New Roman" w:eastAsia="Times New Roman" w:cs="Times New Roman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4">
    <w:name w:val="Основной текст (2) + 9 pt"/>
    <w:basedOn w:val="7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table" w:customStyle="1" w:styleId="85">
    <w:name w:val="Сетка таблицы6"/>
    <w:basedOn w:val="9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6">
    <w:name w:val="Обычный1"/>
    <w:qFormat/>
    <w:uiPriority w:val="0"/>
    <w:pPr>
      <w:widowControl w:val="0"/>
      <w:spacing w:line="320" w:lineRule="auto"/>
      <w:ind w:firstLine="280"/>
      <w:jc w:val="both"/>
    </w:pPr>
    <w:rPr>
      <w:rFonts w:ascii="Times New Roman" w:hAnsi="Times New Roman" w:eastAsia="Times New Roman" w:cs="Times New Roman"/>
      <w:sz w:val="12"/>
      <w:lang w:val="ru-RU" w:eastAsia="ru-RU" w:bidi="ar-SA"/>
    </w:rPr>
  </w:style>
  <w:style w:type="character" w:customStyle="1" w:styleId="87">
    <w:name w:val="Заголовок 9 Знак"/>
    <w:basedOn w:val="8"/>
    <w:link w:val="7"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eastAsia="ru-R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88">
    <w:name w:val="Обычный (веб) Знак"/>
    <w:link w:val="40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9">
    <w:name w:val="Обычный + 14 пт"/>
    <w:basedOn w:val="1"/>
    <w:qFormat/>
    <w:uiPriority w:val="0"/>
    <w:pPr>
      <w:spacing w:line="360" w:lineRule="auto"/>
      <w:ind w:firstLine="709"/>
      <w:jc w:val="both"/>
    </w:pPr>
    <w:rPr>
      <w:sz w:val="28"/>
    </w:rPr>
  </w:style>
  <w:style w:type="character" w:customStyle="1" w:styleId="90">
    <w:name w:val="Основной текст Знак"/>
    <w:basedOn w:val="8"/>
    <w:link w:val="3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1">
    <w:name w:val="Заголовок 3 Знак"/>
    <w:basedOn w:val="8"/>
    <w:link w:val="4"/>
    <w:qFormat/>
    <w:uiPriority w:val="9"/>
    <w:rPr>
      <w:rFonts w:ascii="Arial" w:hAnsi="Arial" w:eastAsia="Times New Roman" w:cs="Times New Roman"/>
      <w:sz w:val="28"/>
      <w:szCs w:val="20"/>
      <w:lang w:eastAsia="ru-RU"/>
    </w:rPr>
  </w:style>
  <w:style w:type="paragraph" w:customStyle="1" w:styleId="92">
    <w:name w:val="Referat"/>
    <w:basedOn w:val="1"/>
    <w:qFormat/>
    <w:uiPriority w:val="99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</w:rPr>
  </w:style>
  <w:style w:type="character" w:customStyle="1" w:styleId="93">
    <w:name w:val="Текст сноски Знак"/>
    <w:basedOn w:val="8"/>
    <w:link w:val="25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94">
    <w:name w:val="список нумерованный"/>
    <w:autoRedefine/>
    <w:qFormat/>
    <w:uiPriority w:val="99"/>
    <w:pPr>
      <w:widowControl w:val="0"/>
      <w:numPr>
        <w:ilvl w:val="0"/>
        <w:numId w:val="1"/>
      </w:numPr>
      <w:spacing w:line="360" w:lineRule="auto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95">
    <w:name w:val="Заголовок оглавления1"/>
    <w:basedOn w:val="2"/>
    <w:next w:val="1"/>
    <w:semiHidden/>
    <w:unhideWhenUsed/>
    <w:qFormat/>
    <w:uiPriority w:val="39"/>
    <w:pPr>
      <w:keepLines/>
      <w:spacing w:before="480" w:after="0" w:line="276" w:lineRule="auto"/>
      <w:outlineLvl w:val="9"/>
    </w:pPr>
    <w:rPr>
      <w:rFonts w:ascii="Cambria" w:hAnsi="Cambria" w:cs="Times New Roman"/>
      <w:b/>
      <w:color w:val="365F91"/>
      <w:kern w:val="0"/>
    </w:rPr>
  </w:style>
  <w:style w:type="character" w:customStyle="1" w:styleId="96">
    <w:name w:val="Основной текст с отступом 2 Знак"/>
    <w:basedOn w:val="8"/>
    <w:link w:val="41"/>
    <w:qFormat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97">
    <w:name w:val="Неразрешенное упоминание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8">
    <w:name w:val="заголовок 2.1."/>
    <w:basedOn w:val="3"/>
    <w:qFormat/>
    <w:uiPriority w:val="0"/>
    <w:pPr>
      <w:tabs>
        <w:tab w:val="left" w:pos="510"/>
        <w:tab w:val="left" w:pos="1440"/>
      </w:tabs>
      <w:spacing w:before="240" w:after="120"/>
      <w:ind w:left="792" w:hanging="432"/>
      <w:jc w:val="both"/>
    </w:pPr>
    <w:rPr>
      <w:rFonts w:ascii="Times New Roman" w:hAnsi="Times New Roman" w:eastAsia="Times New Roman" w:cs="Times New Roman"/>
      <w:b/>
      <w:color w:val="auto"/>
      <w:szCs w:val="20"/>
    </w:rPr>
  </w:style>
  <w:style w:type="character" w:customStyle="1" w:styleId="99">
    <w:name w:val="Заголовок 5 Знак"/>
    <w:basedOn w:val="8"/>
    <w:link w:val="5"/>
    <w:qFormat/>
    <w:uiPriority w:val="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100">
    <w:name w:val="Заголовок 8 Знак"/>
    <w:basedOn w:val="8"/>
    <w:link w:val="6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1">
    <w:name w:val="reportcellspec"/>
    <w:basedOn w:val="1"/>
    <w:qFormat/>
    <w:uiPriority w:val="0"/>
    <w:pPr>
      <w:spacing w:before="100" w:beforeAutospacing="1" w:after="100" w:afterAutospacing="1"/>
    </w:pPr>
  </w:style>
  <w:style w:type="character" w:customStyle="1" w:styleId="102">
    <w:name w:val="WW-Absatz-Standardschriftart"/>
    <w:qFormat/>
    <w:uiPriority w:val="0"/>
  </w:style>
  <w:style w:type="character" w:customStyle="1" w:styleId="103">
    <w:name w:val="Текст примечания Знак"/>
    <w:basedOn w:val="8"/>
    <w:link w:val="22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04">
    <w:name w:val="Тема примечания Знак"/>
    <w:basedOn w:val="103"/>
    <w:link w:val="23"/>
    <w:qFormat/>
    <w:uiPriority w:val="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105">
    <w:name w:val="Основной текст с отступом Знак"/>
    <w:basedOn w:val="8"/>
    <w:link w:val="37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6">
    <w:name w:val="Стиль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107">
    <w:name w:val="Основной"/>
    <w:link w:val="108"/>
    <w:qFormat/>
    <w:uiPriority w:val="0"/>
    <w:pPr>
      <w:spacing w:before="120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08">
    <w:name w:val="Основной Знак"/>
    <w:link w:val="10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9">
    <w:name w:val="toctoggle"/>
    <w:basedOn w:val="8"/>
    <w:qFormat/>
    <w:uiPriority w:val="0"/>
  </w:style>
  <w:style w:type="character" w:customStyle="1" w:styleId="110">
    <w:name w:val="tocnumber"/>
    <w:basedOn w:val="8"/>
    <w:qFormat/>
    <w:uiPriority w:val="0"/>
  </w:style>
  <w:style w:type="character" w:customStyle="1" w:styleId="111">
    <w:name w:val="toctext"/>
    <w:basedOn w:val="8"/>
    <w:qFormat/>
    <w:uiPriority w:val="0"/>
  </w:style>
  <w:style w:type="character" w:customStyle="1" w:styleId="112">
    <w:name w:val="mw-headline"/>
    <w:basedOn w:val="8"/>
    <w:qFormat/>
    <w:uiPriority w:val="0"/>
  </w:style>
  <w:style w:type="character" w:customStyle="1" w:styleId="113">
    <w:name w:val="mw-editsection"/>
    <w:basedOn w:val="8"/>
    <w:qFormat/>
    <w:uiPriority w:val="0"/>
  </w:style>
  <w:style w:type="character" w:customStyle="1" w:styleId="114">
    <w:name w:val="mw-editsection-bracket"/>
    <w:basedOn w:val="8"/>
    <w:qFormat/>
    <w:uiPriority w:val="0"/>
  </w:style>
  <w:style w:type="character" w:customStyle="1" w:styleId="115">
    <w:name w:val="mw-editsection-divider"/>
    <w:basedOn w:val="8"/>
    <w:qFormat/>
    <w:uiPriority w:val="0"/>
  </w:style>
  <w:style w:type="character" w:customStyle="1" w:styleId="116">
    <w:name w:val="Текст Знак"/>
    <w:basedOn w:val="8"/>
    <w:link w:val="18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117">
    <w:name w:val="w"/>
    <w:basedOn w:val="8"/>
    <w:qFormat/>
    <w:uiPriority w:val="0"/>
  </w:style>
  <w:style w:type="paragraph" w:customStyle="1" w:styleId="118">
    <w:name w:val="Параграф"/>
    <w:basedOn w:val="1"/>
    <w:qFormat/>
    <w:uiPriority w:val="0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119">
    <w:name w:val="Стандартный HTML Знак"/>
    <w:basedOn w:val="8"/>
    <w:link w:val="42"/>
    <w:qFormat/>
    <w:uiPriority w:val="0"/>
    <w:rPr>
      <w:rFonts w:ascii="Arial Unicode MS" w:hAnsi="Arial Unicode MS" w:eastAsia="Calibri" w:cs="Arial Unicode MS"/>
      <w:color w:val="000000"/>
      <w:sz w:val="20"/>
      <w:szCs w:val="20"/>
      <w:lang w:eastAsia="ru-RU"/>
    </w:rPr>
  </w:style>
  <w:style w:type="character" w:customStyle="1" w:styleId="120">
    <w:name w:val="Схема документа Знак"/>
    <w:basedOn w:val="8"/>
    <w:link w:val="24"/>
    <w:semiHidden/>
    <w:qFormat/>
    <w:uiPriority w:val="99"/>
    <w:rPr>
      <w:rFonts w:ascii="Tahoma" w:hAnsi="Tahoma" w:eastAsia="Times New Roman" w:cs="Times New Roman"/>
      <w:sz w:val="16"/>
      <w:szCs w:val="16"/>
      <w:lang w:val="zh-CN" w:eastAsia="zh-CN"/>
    </w:rPr>
  </w:style>
  <w:style w:type="paragraph" w:customStyle="1" w:styleId="121">
    <w:name w:val="authors"/>
    <w:basedOn w:val="1"/>
    <w:qFormat/>
    <w:uiPriority w:val="0"/>
    <w:pPr>
      <w:spacing w:before="100" w:beforeAutospacing="1" w:after="100" w:afterAutospacing="1"/>
    </w:pPr>
  </w:style>
  <w:style w:type="character" w:customStyle="1" w:styleId="122">
    <w:name w:val="hdesc"/>
    <w:qFormat/>
    <w:uiPriority w:val="0"/>
  </w:style>
  <w:style w:type="character" w:customStyle="1" w:styleId="123">
    <w:name w:val="hl"/>
    <w:qFormat/>
    <w:uiPriority w:val="0"/>
  </w:style>
  <w:style w:type="paragraph" w:customStyle="1" w:styleId="124">
    <w:name w:val="msolistparagraph_mailru_css_attribute_postfix"/>
    <w:basedOn w:val="1"/>
    <w:qFormat/>
    <w:uiPriority w:val="0"/>
    <w:pPr>
      <w:spacing w:before="100" w:beforeAutospacing="1" w:after="100" w:afterAutospacing="1"/>
    </w:pPr>
  </w:style>
  <w:style w:type="paragraph" w:customStyle="1" w:styleId="125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26">
    <w:name w:val="SibAGS"/>
    <w:semiHidden/>
    <w:qFormat/>
    <w:uiPriority w:val="0"/>
    <w:rPr>
      <w:rFonts w:ascii="Arial" w:hAnsi="Arial" w:cs="Arial"/>
      <w:color w:val="auto"/>
      <w:sz w:val="20"/>
      <w:szCs w:val="20"/>
    </w:rPr>
  </w:style>
  <w:style w:type="paragraph" w:customStyle="1" w:styleId="127">
    <w:name w:val="Основной текст с отступом 31"/>
    <w:basedOn w:val="1"/>
    <w:qFormat/>
    <w:uiPriority w:val="0"/>
    <w:pPr>
      <w:ind w:firstLine="709"/>
      <w:jc w:val="both"/>
    </w:pPr>
    <w:rPr>
      <w:szCs w:val="20"/>
    </w:rPr>
  </w:style>
  <w:style w:type="table" w:customStyle="1" w:styleId="128">
    <w:name w:val="Сетка таблицы13"/>
    <w:basedOn w:val="9"/>
    <w:qFormat/>
    <w:uiPriority w:val="59"/>
    <w:pPr>
      <w:jc w:val="both"/>
    </w:pPr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9">
    <w:name w:val="Нормальный (таблица)"/>
    <w:basedOn w:val="1"/>
    <w:next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Arial" w:hAnsi="Arial" w:eastAsia="Calibri"/>
    </w:rPr>
  </w:style>
  <w:style w:type="paragraph" w:customStyle="1" w:styleId="130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31">
    <w:name w:val="headertext"/>
    <w:basedOn w:val="1"/>
    <w:qFormat/>
    <w:uiPriority w:val="0"/>
    <w:pPr>
      <w:spacing w:before="100" w:beforeAutospacing="1" w:after="100" w:afterAutospacing="1"/>
    </w:pPr>
  </w:style>
  <w:style w:type="paragraph" w:customStyle="1" w:styleId="132">
    <w:name w:val="рисунок"/>
    <w:basedOn w:val="1"/>
    <w:link w:val="133"/>
    <w:qFormat/>
    <w:uiPriority w:val="0"/>
    <w:pPr>
      <w:jc w:val="center"/>
    </w:pPr>
    <w:rPr>
      <w:rFonts w:eastAsia="Calibri"/>
      <w:color w:val="000000"/>
      <w:lang w:eastAsia="en-US"/>
    </w:rPr>
  </w:style>
  <w:style w:type="character" w:customStyle="1" w:styleId="133">
    <w:name w:val="рисунок Знак"/>
    <w:basedOn w:val="8"/>
    <w:link w:val="132"/>
    <w:qFormat/>
    <w:uiPriority w:val="0"/>
    <w:rPr>
      <w:rFonts w:ascii="Times New Roman" w:hAnsi="Times New Roman" w:eastAsia="Calibri" w:cs="Times New Roman"/>
      <w:color w:val="000000"/>
      <w:sz w:val="24"/>
      <w:szCs w:val="24"/>
    </w:rPr>
  </w:style>
  <w:style w:type="paragraph" w:customStyle="1" w:styleId="134">
    <w:name w:val="таблицы"/>
    <w:basedOn w:val="1"/>
    <w:link w:val="135"/>
    <w:qFormat/>
    <w:uiPriority w:val="0"/>
    <w:pPr>
      <w:jc w:val="both"/>
    </w:pPr>
    <w:rPr>
      <w:rFonts w:eastAsia="Calibri"/>
      <w:color w:val="000000"/>
      <w:lang w:eastAsia="en-US"/>
    </w:rPr>
  </w:style>
  <w:style w:type="character" w:customStyle="1" w:styleId="135">
    <w:name w:val="таблицы Знак"/>
    <w:link w:val="134"/>
    <w:qFormat/>
    <w:uiPriority w:val="0"/>
    <w:rPr>
      <w:rFonts w:ascii="Times New Roman" w:hAnsi="Times New Roman" w:eastAsia="Calibri" w:cs="Times New Roman"/>
      <w:color w:val="000000"/>
      <w:sz w:val="24"/>
      <w:szCs w:val="24"/>
    </w:rPr>
  </w:style>
  <w:style w:type="character" w:customStyle="1" w:styleId="136">
    <w:name w:val="Основной текст + 122"/>
    <w:qFormat/>
    <w:uiPriority w:val="99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character" w:customStyle="1" w:styleId="137">
    <w:name w:val="стандарт Знак"/>
    <w:link w:val="138"/>
    <w:qFormat/>
    <w:locked/>
    <w:uiPriority w:val="0"/>
    <w:rPr>
      <w:rFonts w:ascii="Calibri" w:hAnsi="Calibri" w:eastAsia="Calibri"/>
      <w:sz w:val="28"/>
      <w:szCs w:val="28"/>
    </w:rPr>
  </w:style>
  <w:style w:type="paragraph" w:customStyle="1" w:styleId="138">
    <w:name w:val="стандарт"/>
    <w:basedOn w:val="1"/>
    <w:link w:val="137"/>
    <w:qFormat/>
    <w:uiPriority w:val="0"/>
    <w:pPr>
      <w:spacing w:line="360" w:lineRule="auto"/>
      <w:ind w:firstLine="709"/>
      <w:contextualSpacing/>
      <w:jc w:val="both"/>
    </w:pPr>
    <w:rPr>
      <w:rFonts w:ascii="Calibri" w:hAnsi="Calibri" w:eastAsia="Calibri" w:cstheme="minorBidi"/>
      <w:sz w:val="28"/>
      <w:szCs w:val="28"/>
      <w:lang w:eastAsia="en-US"/>
    </w:rPr>
  </w:style>
  <w:style w:type="paragraph" w:customStyle="1" w:styleId="139">
    <w:name w:val="василий"/>
    <w:link w:val="140"/>
    <w:qFormat/>
    <w:uiPriority w:val="0"/>
    <w:pPr>
      <w:spacing w:line="360" w:lineRule="auto"/>
      <w:ind w:firstLine="851"/>
      <w:jc w:val="both"/>
    </w:pPr>
    <w:rPr>
      <w:rFonts w:ascii="Times New Roman" w:hAnsi="Times New Roman" w:eastAsia="Times New Roman" w:cs="Arial"/>
      <w:bCs/>
      <w:kern w:val="32"/>
      <w:sz w:val="28"/>
      <w:szCs w:val="28"/>
      <w:lang w:val="ru-RU" w:eastAsia="ru-RU" w:bidi="ar-SA"/>
    </w:rPr>
  </w:style>
  <w:style w:type="character" w:customStyle="1" w:styleId="140">
    <w:name w:val="василий Знак"/>
    <w:link w:val="139"/>
    <w:qFormat/>
    <w:uiPriority w:val="0"/>
    <w:rPr>
      <w:rFonts w:ascii="Times New Roman" w:hAnsi="Times New Roman" w:eastAsia="Times New Roman" w:cs="Arial"/>
      <w:bCs/>
      <w:kern w:val="32"/>
      <w:sz w:val="28"/>
      <w:szCs w:val="28"/>
      <w:lang w:eastAsia="ru-RU"/>
    </w:rPr>
  </w:style>
  <w:style w:type="character" w:customStyle="1" w:styleId="141">
    <w:name w:val="Название Знак"/>
    <w:basedOn w:val="8"/>
    <w:link w:val="38"/>
    <w:qFormat/>
    <w:uiPriority w:val="0"/>
    <w:rPr>
      <w:rFonts w:ascii="Times New Roman" w:hAnsi="Times New Roman" w:eastAsia="Times New Roman" w:cs="Times New Roman"/>
      <w:b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336E2-D3F2-4550-94ED-687B0553A4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21</Pages>
  <Words>5226</Words>
  <Characters>29791</Characters>
  <Lines>248</Lines>
  <Paragraphs>69</Paragraphs>
  <TotalTime>29</TotalTime>
  <ScaleCrop>false</ScaleCrop>
  <LinksUpToDate>false</LinksUpToDate>
  <CharactersWithSpaces>34948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2026-06-01T01:41:00Z</dcterms:created>
  <dc:creator>Нестерова Александра</dc:creator>
  <cp:lastModifiedBy>user</cp:lastModifiedBy>
  <cp:lastPrinted>2019-03-13T05:49:00Z</cp:lastPrinted>
  <dcterms:modified xsi:type="dcterms:W3CDTF">2026-06-08T02:35:27Z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46BFF926A681413D8A71163881C70C6B_13</vt:lpwstr>
  </property>
</Properties>
</file>