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C083C">
      <w:pPr>
        <w:spacing w:line="240" w:lineRule="auto"/>
        <w:ind w:right="-82"/>
        <w:jc w:val="center"/>
        <w:rPr>
          <w:rFonts w:ascii="Times New Roman" w:hAnsi="Times New Roman"/>
        </w:rPr>
      </w:pPr>
      <w:r>
        <w:rPr>
          <w:rFonts w:ascii="Times New Roman" w:hAnsi="Times New Roman"/>
        </w:rPr>
        <w:t>МИНОБРНАУКИ РОССИИ</w:t>
      </w:r>
    </w:p>
    <w:p w14:paraId="2E44ADBB">
      <w:pPr>
        <w:spacing w:line="240" w:lineRule="auto"/>
        <w:jc w:val="center"/>
        <w:rPr>
          <w:rFonts w:ascii="Times New Roman" w:hAnsi="Times New Roman"/>
        </w:rPr>
      </w:pPr>
      <w:r>
        <w:rPr>
          <w:rFonts w:ascii="Times New Roman" w:hAnsi="Times New Roman"/>
        </w:rPr>
        <w:t>ВЛАДИВОСТОКСКИЙ   ГОСУДАРСТВЕННЫЙ УНИВЕРСИТЕТ</w:t>
      </w:r>
    </w:p>
    <w:p w14:paraId="1BC9A0CC">
      <w:pPr>
        <w:spacing w:after="120" w:line="240" w:lineRule="auto"/>
        <w:jc w:val="center"/>
        <w:rPr>
          <w:rFonts w:ascii="Times New Roman" w:hAnsi="Times New Roman"/>
        </w:rPr>
      </w:pPr>
      <w:r>
        <w:rPr>
          <w:rFonts w:ascii="Times New Roman" w:hAnsi="Times New Roman"/>
        </w:rPr>
        <w:t>Колледж сервиса и дизайна</w:t>
      </w:r>
    </w:p>
    <w:p w14:paraId="2D298E9A">
      <w:pPr>
        <w:spacing w:line="240" w:lineRule="auto"/>
        <w:jc w:val="right"/>
        <w:rPr>
          <w:rFonts w:ascii="Times New Roman" w:hAnsi="Times New Roman" w:cs="Times New Roman"/>
        </w:rPr>
      </w:pPr>
    </w:p>
    <w:p w14:paraId="04E7C3F3">
      <w:pPr>
        <w:spacing w:line="240" w:lineRule="auto"/>
        <w:ind w:left="708"/>
        <w:jc w:val="right"/>
        <w:rPr>
          <w:rFonts w:ascii="Times New Roman" w:hAnsi="Times New Roman"/>
        </w:rPr>
      </w:pPr>
      <w:r>
        <w:rPr>
          <w:rFonts w:ascii="Times New Roman" w:hAnsi="Times New Roman"/>
        </w:rPr>
        <w:t>УТВЕРЖДАЮ</w:t>
      </w:r>
    </w:p>
    <w:p w14:paraId="4A54ED56">
      <w:pPr>
        <w:spacing w:line="240" w:lineRule="auto"/>
        <w:ind w:left="-181" w:right="-79"/>
        <w:jc w:val="right"/>
        <w:rPr>
          <w:rFonts w:ascii="Times New Roman" w:hAnsi="Times New Roman"/>
          <w:i/>
        </w:rPr>
      </w:pPr>
      <w:r>
        <w:rPr>
          <w:rFonts w:ascii="Times New Roman" w:hAnsi="Times New Roman"/>
        </w:rPr>
        <w:t xml:space="preserve">                                                                             Зам. директора по УР   </w:t>
      </w:r>
    </w:p>
    <w:p w14:paraId="3721CE97">
      <w:pPr>
        <w:spacing w:line="240" w:lineRule="auto"/>
        <w:jc w:val="right"/>
        <w:rPr>
          <w:rFonts w:ascii="Times New Roman" w:hAnsi="Times New Roman"/>
        </w:rPr>
      </w:pPr>
      <w:r>
        <w:rPr>
          <w:rFonts w:ascii="Times New Roman" w:hAnsi="Times New Roman"/>
        </w:rPr>
        <w:t xml:space="preserve">                                                                                   ________ А.Т. Бондарь </w:t>
      </w:r>
    </w:p>
    <w:p w14:paraId="70453050">
      <w:pPr>
        <w:jc w:val="right"/>
        <w:rPr>
          <w:rFonts w:ascii="Times New Roman" w:hAnsi="Times New Roman" w:cs="Times New Roman"/>
        </w:rPr>
      </w:pPr>
    </w:p>
    <w:p w14:paraId="61F0419E">
      <w:pPr>
        <w:jc w:val="center"/>
        <w:rPr>
          <w:rFonts w:ascii="Times New Roman" w:hAnsi="Times New Roman" w:cs="Times New Roman"/>
        </w:rPr>
      </w:pPr>
    </w:p>
    <w:p w14:paraId="00AA398F">
      <w:pPr>
        <w:jc w:val="center"/>
        <w:rPr>
          <w:rFonts w:ascii="Times New Roman" w:hAnsi="Times New Roman" w:cs="Times New Roman"/>
          <w:sz w:val="48"/>
          <w:szCs w:val="48"/>
        </w:rPr>
      </w:pPr>
      <w:r>
        <w:rPr>
          <w:rFonts w:ascii="Times New Roman" w:hAnsi="Times New Roman" w:cs="Times New Roman"/>
          <w:sz w:val="48"/>
          <w:szCs w:val="48"/>
        </w:rPr>
        <w:t>КУРСОВАЯ РАБОТА</w:t>
      </w:r>
    </w:p>
    <w:p w14:paraId="547B7C4F">
      <w:pPr>
        <w:jc w:val="center"/>
        <w:rPr>
          <w:rFonts w:ascii="Times New Roman" w:hAnsi="Times New Roman" w:cs="Times New Roman"/>
          <w:sz w:val="36"/>
          <w:szCs w:val="36"/>
        </w:rPr>
      </w:pPr>
      <w:r>
        <w:rPr>
          <w:rFonts w:ascii="Times New Roman" w:hAnsi="Times New Roman" w:cs="Times New Roman"/>
          <w:sz w:val="36"/>
          <w:szCs w:val="36"/>
        </w:rPr>
        <w:t>по МДК 03.01 Технология продаж потребительских товаров и координация работы с клиентами</w:t>
      </w:r>
    </w:p>
    <w:p w14:paraId="5CAED306">
      <w:pPr>
        <w:jc w:val="center"/>
        <w:rPr>
          <w:rFonts w:ascii="Times New Roman" w:hAnsi="Times New Roman"/>
          <w:b w:val="0"/>
          <w:bCs/>
          <w:sz w:val="32"/>
          <w:szCs w:val="32"/>
        </w:rPr>
      </w:pPr>
      <w:r>
        <w:rPr>
          <w:rFonts w:ascii="Times New Roman" w:hAnsi="Times New Roman"/>
          <w:b w:val="0"/>
          <w:bCs/>
          <w:sz w:val="32"/>
          <w:szCs w:val="32"/>
        </w:rPr>
        <w:t>Предпринимательские риски и успех на примере ИП «Чуд</w:t>
      </w:r>
      <w:r>
        <w:rPr>
          <w:rFonts w:hint="default" w:ascii="Times New Roman" w:hAnsi="Times New Roman"/>
          <w:b w:val="0"/>
          <w:bCs/>
          <w:sz w:val="32"/>
          <w:szCs w:val="32"/>
          <w:lang w:val="ru-RU"/>
        </w:rPr>
        <w:t>и</w:t>
      </w:r>
      <w:bookmarkStart w:id="16" w:name="_GoBack"/>
      <w:bookmarkEnd w:id="16"/>
      <w:r>
        <w:rPr>
          <w:rFonts w:ascii="Times New Roman" w:hAnsi="Times New Roman"/>
          <w:b w:val="0"/>
          <w:bCs/>
          <w:sz w:val="32"/>
          <w:szCs w:val="32"/>
        </w:rPr>
        <w:t>нова К.Е.</w:t>
      </w:r>
    </w:p>
    <w:p w14:paraId="41ED5303">
      <w:pPr>
        <w:jc w:val="center"/>
        <w:rPr>
          <w:rFonts w:ascii="Times New Roman" w:hAnsi="Times New Roman"/>
          <w:b w:val="0"/>
          <w:bCs/>
          <w:sz w:val="32"/>
          <w:szCs w:val="32"/>
        </w:rPr>
      </w:pPr>
      <w:r>
        <w:rPr>
          <w:rFonts w:ascii="Times New Roman" w:hAnsi="Times New Roman"/>
          <w:b w:val="0"/>
          <w:bCs/>
          <w:sz w:val="32"/>
          <w:szCs w:val="32"/>
        </w:rPr>
        <w:t xml:space="preserve"> «Сoffee machine», г. Владивосток</w:t>
      </w:r>
    </w:p>
    <w:p w14:paraId="0750974F">
      <w:pPr>
        <w:jc w:val="center"/>
        <w:rPr>
          <w:rFonts w:ascii="Times New Roman" w:hAnsi="Times New Roman" w:cs="Times New Roman"/>
          <w:sz w:val="40"/>
          <w:szCs w:val="40"/>
        </w:rPr>
      </w:pPr>
      <w:r>
        <w:rPr>
          <w:rFonts w:ascii="Times New Roman" w:hAnsi="Times New Roman" w:cs="Times New Roman"/>
          <w:sz w:val="40"/>
          <w:szCs w:val="40"/>
        </w:rPr>
        <w:t>КД-Сп-КМ-24-85</w:t>
      </w:r>
      <w:r>
        <w:rPr>
          <w:rFonts w:hint="default" w:ascii="Times New Roman" w:hAnsi="Times New Roman" w:cs="Times New Roman"/>
          <w:sz w:val="40"/>
          <w:szCs w:val="40"/>
          <w:lang w:val="ru-RU"/>
        </w:rPr>
        <w:t>1912</w:t>
      </w:r>
      <w:r>
        <w:rPr>
          <w:rFonts w:ascii="Times New Roman" w:hAnsi="Times New Roman" w:cs="Times New Roman"/>
          <w:sz w:val="40"/>
          <w:szCs w:val="40"/>
        </w:rPr>
        <w:t>.2229-а.05.00</w:t>
      </w:r>
      <w:r>
        <w:rPr>
          <w:rFonts w:hint="default" w:ascii="Times New Roman" w:hAnsi="Times New Roman" w:cs="Times New Roman"/>
          <w:sz w:val="40"/>
          <w:szCs w:val="40"/>
          <w:lang w:val="ru-RU"/>
        </w:rPr>
        <w:t>4</w:t>
      </w:r>
      <w:r>
        <w:rPr>
          <w:rFonts w:ascii="Times New Roman" w:hAnsi="Times New Roman" w:cs="Times New Roman"/>
          <w:sz w:val="40"/>
          <w:szCs w:val="40"/>
        </w:rPr>
        <w:t>. КР</w:t>
      </w:r>
    </w:p>
    <w:p w14:paraId="0B4CF637">
      <w:pPr>
        <w:spacing w:line="240" w:lineRule="auto"/>
        <w:jc w:val="center"/>
        <w:rPr>
          <w:rFonts w:ascii="Times New Roman" w:hAnsi="Times New Roman" w:cs="Times New Roman"/>
        </w:rPr>
      </w:pPr>
    </w:p>
    <w:p w14:paraId="77F08DC7">
      <w:pPr>
        <w:spacing w:line="240" w:lineRule="auto"/>
        <w:jc w:val="center"/>
      </w:pPr>
    </w:p>
    <w:p w14:paraId="60185EFF">
      <w:pPr>
        <w:spacing w:line="240" w:lineRule="auto"/>
        <w:jc w:val="center"/>
      </w:pPr>
    </w:p>
    <w:p w14:paraId="684785DC">
      <w:pPr>
        <w:spacing w:line="240" w:lineRule="auto"/>
        <w:jc w:val="center"/>
      </w:pPr>
    </w:p>
    <w:p w14:paraId="1B452EAB">
      <w:pPr>
        <w:spacing w:line="240" w:lineRule="auto"/>
        <w:jc w:val="center"/>
      </w:pPr>
    </w:p>
    <w:p w14:paraId="12A93C41">
      <w:pPr>
        <w:spacing w:line="240" w:lineRule="auto"/>
        <w:ind w:right="-365"/>
        <w:jc w:val="right"/>
        <w:rPr>
          <w:rFonts w:ascii="Times New Roman" w:hAnsi="Times New Roman"/>
        </w:rPr>
      </w:pPr>
      <w:r>
        <w:rPr>
          <w:rFonts w:ascii="Times New Roman" w:hAnsi="Times New Roman"/>
        </w:rPr>
        <w:t>Студент</w:t>
      </w:r>
    </w:p>
    <w:p w14:paraId="2415226D">
      <w:pPr>
        <w:wordWrap w:val="0"/>
        <w:spacing w:line="240" w:lineRule="auto"/>
        <w:ind w:right="-363"/>
        <w:jc w:val="right"/>
        <w:rPr>
          <w:rFonts w:hint="default" w:ascii="Times New Roman" w:hAnsi="Times New Roman"/>
          <w:lang w:val="ru-RU"/>
        </w:rPr>
      </w:pPr>
      <w:r>
        <w:rPr>
          <w:rFonts w:ascii="Times New Roman" w:hAnsi="Times New Roman"/>
        </w:rPr>
        <w:t xml:space="preserve">Гр. СпТД-24-КМ1   ____________________ </w:t>
      </w:r>
      <w:r>
        <w:rPr>
          <w:rFonts w:ascii="Times New Roman" w:hAnsi="Times New Roman"/>
          <w:lang w:val="ru-RU"/>
        </w:rPr>
        <w:t>В</w:t>
      </w:r>
      <w:r>
        <w:rPr>
          <w:rFonts w:hint="default" w:ascii="Times New Roman" w:hAnsi="Times New Roman"/>
          <w:lang w:val="ru-RU"/>
        </w:rPr>
        <w:t>.В. Деревенских</w:t>
      </w:r>
    </w:p>
    <w:p w14:paraId="59D669F7">
      <w:pPr>
        <w:spacing w:line="240" w:lineRule="auto"/>
        <w:ind w:right="-365"/>
        <w:jc w:val="right"/>
        <w:rPr>
          <w:rFonts w:ascii="Times New Roman" w:hAnsi="Times New Roman"/>
        </w:rPr>
      </w:pPr>
      <w:r>
        <w:rPr>
          <w:rFonts w:ascii="Times New Roman" w:hAnsi="Times New Roman"/>
        </w:rPr>
        <w:t>Руководитель</w:t>
      </w:r>
    </w:p>
    <w:p w14:paraId="71C5C57B">
      <w:pPr>
        <w:spacing w:line="240" w:lineRule="auto"/>
        <w:jc w:val="right"/>
      </w:pPr>
      <w:r>
        <w:rPr>
          <w:rFonts w:ascii="Times New Roman" w:hAnsi="Times New Roman"/>
        </w:rPr>
        <w:t xml:space="preserve">преподаватель  </w:t>
      </w:r>
      <w:bookmarkStart w:id="0" w:name="_Hlk212018769"/>
      <w:r>
        <w:rPr>
          <w:rFonts w:ascii="Times New Roman" w:hAnsi="Times New Roman"/>
        </w:rPr>
        <w:t xml:space="preserve">  ____________________</w:t>
      </w:r>
      <w:bookmarkEnd w:id="0"/>
      <w:r>
        <w:t xml:space="preserve"> </w:t>
      </w:r>
      <w:r>
        <w:rPr>
          <w:rFonts w:ascii="Times New Roman" w:hAnsi="Times New Roman"/>
        </w:rPr>
        <w:t xml:space="preserve">Э.А. Береговенко </w:t>
      </w:r>
    </w:p>
    <w:p w14:paraId="5C6120D8">
      <w:pPr>
        <w:spacing w:line="240" w:lineRule="auto"/>
        <w:jc w:val="center"/>
      </w:pPr>
    </w:p>
    <w:p w14:paraId="0C0877C4">
      <w:pPr>
        <w:spacing w:line="240" w:lineRule="auto"/>
        <w:jc w:val="center"/>
      </w:pPr>
    </w:p>
    <w:p w14:paraId="6B4E518A">
      <w:pPr>
        <w:spacing w:line="240" w:lineRule="auto"/>
        <w:jc w:val="center"/>
      </w:pPr>
      <w:r>
        <w:rPr>
          <w:rFonts w:ascii="Times New Roman" w:hAnsi="Times New Roman"/>
        </w:rPr>
        <w:t>Владивосток 2025</w:t>
      </w:r>
    </w:p>
    <w:p w14:paraId="5B464051">
      <w:pPr>
        <w:jc w:val="center"/>
        <w:rPr>
          <w:rFonts w:ascii="Arial" w:hAnsi="Arial" w:eastAsia="Calibri" w:cs="Arial"/>
          <w:sz w:val="28"/>
          <w:szCs w:val="28"/>
        </w:rPr>
        <w:sectPr>
          <w:footerReference r:id="rId5" w:type="first"/>
          <w:pgSz w:w="11906" w:h="16838"/>
          <w:pgMar w:top="1134" w:right="567" w:bottom="1134" w:left="1134" w:header="709" w:footer="709" w:gutter="0"/>
          <w:pgNumType w:fmt="decimal" w:start="1"/>
          <w:cols w:space="708" w:num="1"/>
          <w:titlePg/>
          <w:docGrid w:linePitch="360" w:charSpace="0"/>
        </w:sectPr>
      </w:pPr>
    </w:p>
    <w:p w14:paraId="7BD6EC4B">
      <w:pPr>
        <w:jc w:val="center"/>
      </w:pPr>
      <w:r>
        <w:rPr>
          <w:rFonts w:ascii="Arial" w:hAnsi="Arial" w:eastAsia="Calibri" w:cs="Arial"/>
          <w:sz w:val="28"/>
          <w:szCs w:val="28"/>
        </w:rPr>
        <w:t>Содержание</w:t>
      </w:r>
    </w:p>
    <w:sdt>
      <w:sdtPr>
        <w:rPr>
          <w:rFonts w:hint="default" w:ascii="Times New Roman" w:hAnsi="Times New Roman" w:eastAsia="SimSun" w:cs="Times New Roman"/>
          <w:kern w:val="2"/>
          <w:sz w:val="24"/>
          <w:szCs w:val="24"/>
          <w:lang w:val="ru-RU" w:eastAsia="en-US" w:bidi="ar-SA"/>
          <w14:ligatures w14:val="standardContextual"/>
        </w:rPr>
        <w:id w:val="147473408"/>
        <w15:color w:val="DBDBDB"/>
        <w:docPartObj>
          <w:docPartGallery w:val="Table of Contents"/>
          <w:docPartUnique/>
        </w:docPartObj>
      </w:sdtPr>
      <w:sdtEndPr>
        <w:rPr>
          <w:rFonts w:hint="default" w:ascii="Times New Roman" w:hAnsi="Times New Roman" w:eastAsia="Calibri" w:cs="Times New Roman"/>
          <w:kern w:val="2"/>
          <w:sz w:val="24"/>
          <w:szCs w:val="24"/>
          <w:lang w:val="ru-RU" w:eastAsia="en-US" w:bidi="ar-SA"/>
          <w14:ligatures w14:val="standardContextual"/>
        </w:rPr>
      </w:sdtEndPr>
      <w:sdtContent>
        <w:p w14:paraId="3E528FE8">
          <w:pPr>
            <w:spacing w:before="0" w:beforeLines="0" w:after="0" w:afterLines="0" w:line="240" w:lineRule="auto"/>
            <w:ind w:left="0" w:leftChars="0" w:right="0" w:rightChars="0" w:firstLine="0" w:firstLineChars="0"/>
            <w:jc w:val="center"/>
            <w:rPr>
              <w:rFonts w:hint="default" w:ascii="Times New Roman" w:hAnsi="Times New Roman" w:cs="Times New Roman"/>
              <w:sz w:val="24"/>
              <w:szCs w:val="24"/>
            </w:rPr>
          </w:pPr>
        </w:p>
        <w:p w14:paraId="6C3EEBA9">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 w:val="24"/>
              <w:szCs w:val="24"/>
            </w:rPr>
            <w:fldChar w:fldCharType="begin"/>
          </w:r>
          <w:r>
            <w:rPr>
              <w:rFonts w:hint="default" w:ascii="Times New Roman" w:hAnsi="Times New Roman" w:eastAsia="Calibri" w:cs="Times New Roman"/>
              <w:sz w:val="24"/>
              <w:szCs w:val="24"/>
            </w:rPr>
            <w:instrText xml:space="preserve">TOC \o "1-1" \h \u </w:instrText>
          </w:r>
          <w:r>
            <w:rPr>
              <w:rFonts w:hint="default" w:ascii="Times New Roman" w:hAnsi="Times New Roman" w:eastAsia="Calibri" w:cs="Times New Roman"/>
              <w:sz w:val="24"/>
              <w:szCs w:val="24"/>
            </w:rPr>
            <w:fldChar w:fldCharType="separate"/>
          </w: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_Toc21239 </w:instrText>
          </w:r>
          <w:r>
            <w:rPr>
              <w:rFonts w:hint="default" w:ascii="Times New Roman" w:hAnsi="Times New Roman" w:eastAsia="Calibri" w:cs="Times New Roman"/>
              <w:szCs w:val="24"/>
            </w:rPr>
            <w:fldChar w:fldCharType="separate"/>
          </w:r>
          <w:r>
            <w:rPr>
              <w:rFonts w:hint="default" w:ascii="Times New Roman" w:hAnsi="Times New Roman" w:cs="Times New Roman"/>
              <w:szCs w:val="28"/>
            </w:rPr>
            <w:t>Введение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_Toc21239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604079D1">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_Toc9857 </w:instrText>
          </w:r>
          <w:r>
            <w:rPr>
              <w:rFonts w:hint="default" w:ascii="Times New Roman" w:hAnsi="Times New Roman" w:eastAsia="Calibri" w:cs="Times New Roman"/>
              <w:szCs w:val="24"/>
            </w:rPr>
            <w:fldChar w:fldCharType="separate"/>
          </w:r>
          <w:r>
            <w:rPr>
              <w:rFonts w:hint="default" w:ascii="Times New Roman" w:hAnsi="Times New Roman" w:cs="Times New Roman"/>
              <w:szCs w:val="28"/>
            </w:rPr>
            <w:t xml:space="preserve">1 </w:t>
          </w:r>
          <w:r>
            <w:rPr>
              <w:rFonts w:hint="default" w:ascii="Times New Roman" w:hAnsi="Times New Roman" w:cs="Times New Roman"/>
              <w:szCs w:val="28"/>
              <w:lang w:eastAsia="ru-RU"/>
            </w:rPr>
            <w:t>Теоретическая часть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_Toc9857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7C0FABC8">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_Toc23143 </w:instrText>
          </w:r>
          <w:r>
            <w:rPr>
              <w:rFonts w:hint="default" w:ascii="Times New Roman" w:hAnsi="Times New Roman" w:eastAsia="Calibri" w:cs="Times New Roman"/>
              <w:szCs w:val="24"/>
            </w:rPr>
            <w:fldChar w:fldCharType="separate"/>
          </w:r>
          <w:r>
            <w:rPr>
              <w:rFonts w:hint="default" w:ascii="Times New Roman" w:hAnsi="Times New Roman" w:cs="Times New Roman"/>
              <w:szCs w:val="28"/>
            </w:rPr>
            <w:t>1.</w:t>
          </w:r>
          <w:r>
            <w:rPr>
              <w:rFonts w:hint="default" w:ascii="Times New Roman" w:hAnsi="Times New Roman" w:cs="Times New Roman"/>
              <w:szCs w:val="26"/>
            </w:rPr>
            <w:t xml:space="preserve">1 </w:t>
          </w:r>
          <w:r>
            <w:rPr>
              <w:rFonts w:hint="default" w:ascii="Times New Roman" w:hAnsi="Times New Roman" w:cs="Times New Roman"/>
              <w:bCs w:val="0"/>
              <w:szCs w:val="26"/>
              <w:lang w:eastAsia="ru-RU"/>
            </w:rPr>
            <w:t>Классификация рисков</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_Toc23143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478E47CE">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_Toc10517 </w:instrText>
          </w:r>
          <w:r>
            <w:rPr>
              <w:rFonts w:hint="default" w:ascii="Times New Roman" w:hAnsi="Times New Roman" w:eastAsia="Calibri" w:cs="Times New Roman"/>
              <w:szCs w:val="24"/>
            </w:rPr>
            <w:fldChar w:fldCharType="separate"/>
          </w:r>
          <w:r>
            <w:rPr>
              <w:rFonts w:hint="default" w:ascii="Times New Roman" w:hAnsi="Times New Roman" w:cs="Times New Roman"/>
              <w:szCs w:val="26"/>
            </w:rPr>
            <w:t xml:space="preserve">1.2 </w:t>
          </w:r>
          <w:r>
            <w:rPr>
              <w:rFonts w:hint="default" w:ascii="Times New Roman" w:hAnsi="Times New Roman" w:cs="Times New Roman"/>
              <w:szCs w:val="26"/>
              <w:lang w:eastAsia="ru-RU"/>
            </w:rPr>
            <w:t>Определение вероятности наступления риска и масштаб возможных последствий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_Toc10517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2F17752D">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_Toc23575 </w:instrText>
          </w:r>
          <w:r>
            <w:rPr>
              <w:rFonts w:hint="default" w:ascii="Times New Roman" w:hAnsi="Times New Roman" w:eastAsia="Calibri" w:cs="Times New Roman"/>
              <w:szCs w:val="24"/>
            </w:rPr>
            <w:fldChar w:fldCharType="separate"/>
          </w:r>
          <w:r>
            <w:rPr>
              <w:rFonts w:hint="default" w:ascii="Times New Roman" w:hAnsi="Times New Roman" w:cs="Times New Roman"/>
              <w:szCs w:val="26"/>
            </w:rPr>
            <w:t xml:space="preserve">1.3 </w:t>
          </w:r>
          <w:r>
            <w:rPr>
              <w:rFonts w:hint="default" w:ascii="Times New Roman" w:hAnsi="Times New Roman" w:cs="Times New Roman"/>
              <w:szCs w:val="26"/>
              <w:lang w:eastAsia="ru-RU"/>
            </w:rPr>
            <w:t>Ключевые компоненты успеха</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_Toc23575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38607FC0">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_Toc2914 </w:instrText>
          </w:r>
          <w:r>
            <w:rPr>
              <w:rFonts w:hint="default" w:ascii="Times New Roman" w:hAnsi="Times New Roman" w:eastAsia="Calibri" w:cs="Times New Roman"/>
              <w:szCs w:val="24"/>
            </w:rPr>
            <w:fldChar w:fldCharType="separate"/>
          </w:r>
          <w:r>
            <w:rPr>
              <w:rFonts w:hint="default" w:ascii="Times New Roman" w:hAnsi="Times New Roman" w:cs="Times New Roman"/>
              <w:szCs w:val="28"/>
            </w:rPr>
            <w:t>2 Практическая часть.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_Toc2914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788EBADA">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_Toc29760 </w:instrText>
          </w:r>
          <w:r>
            <w:rPr>
              <w:rFonts w:hint="default" w:ascii="Times New Roman" w:hAnsi="Times New Roman" w:eastAsia="Calibri" w:cs="Times New Roman"/>
              <w:szCs w:val="24"/>
            </w:rPr>
            <w:fldChar w:fldCharType="separate"/>
          </w:r>
          <w:r>
            <w:rPr>
              <w:rFonts w:hint="default" w:ascii="Times New Roman" w:hAnsi="Times New Roman" w:eastAsia="Times New Roman" w:cs="Times New Roman"/>
              <w:kern w:val="0"/>
              <w:szCs w:val="26"/>
              <w:lang w:eastAsia="ru-RU"/>
              <w14:ligatures w14:val="none"/>
            </w:rPr>
            <w:t xml:space="preserve">2.1. </w:t>
          </w:r>
          <w:r>
            <w:rPr>
              <w:rFonts w:hint="default" w:ascii="Times New Roman" w:hAnsi="Times New Roman" w:cs="Times New Roman"/>
              <w:bCs w:val="0"/>
              <w:szCs w:val="26"/>
              <w:lang w:eastAsia="ru-RU"/>
            </w:rPr>
            <w:t>Бизнес-идея и бизнес-модель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_Toc29760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23925D59">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_Toc9816 </w:instrText>
          </w:r>
          <w:r>
            <w:rPr>
              <w:rFonts w:hint="default" w:ascii="Times New Roman" w:hAnsi="Times New Roman" w:eastAsia="Calibri" w:cs="Times New Roman"/>
              <w:szCs w:val="24"/>
            </w:rPr>
            <w:fldChar w:fldCharType="separate"/>
          </w:r>
          <w:r>
            <w:rPr>
              <w:rFonts w:hint="default" w:ascii="Times New Roman" w:hAnsi="Times New Roman" w:cs="Times New Roman"/>
              <w:szCs w:val="26"/>
              <w:lang w:eastAsia="ru-RU"/>
            </w:rPr>
            <w:t>2.2. Необходимые меры для уменьшения вероятности рисков и их последствий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_Toc9816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5AD813D5">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_Toc5929 </w:instrText>
          </w:r>
          <w:r>
            <w:rPr>
              <w:rFonts w:hint="default" w:ascii="Times New Roman" w:hAnsi="Times New Roman" w:eastAsia="Calibri" w:cs="Times New Roman"/>
              <w:szCs w:val="24"/>
            </w:rPr>
            <w:fldChar w:fldCharType="separate"/>
          </w:r>
          <w:r>
            <w:rPr>
              <w:rFonts w:hint="default" w:ascii="Times New Roman" w:hAnsi="Times New Roman" w:cs="Times New Roman"/>
              <w:szCs w:val="26"/>
              <w:lang w:eastAsia="ru-RU"/>
            </w:rPr>
            <w:t xml:space="preserve">2.3. </w:t>
          </w:r>
          <w:r>
            <w:rPr>
              <w:rFonts w:hint="default" w:ascii="Times New Roman" w:hAnsi="Times New Roman" w:cs="Times New Roman"/>
              <w:szCs w:val="26"/>
              <w:lang w:val="ru-RU"/>
            </w:rPr>
            <w:t>Расчет рентабельности и меры по снижению рисков</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_Toc5929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57CDC1EA">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_Toc2005 </w:instrText>
          </w:r>
          <w:r>
            <w:rPr>
              <w:rFonts w:hint="default" w:ascii="Times New Roman" w:hAnsi="Times New Roman" w:eastAsia="Calibri" w:cs="Times New Roman"/>
              <w:szCs w:val="24"/>
            </w:rPr>
            <w:fldChar w:fldCharType="separate"/>
          </w:r>
          <w:r>
            <w:rPr>
              <w:rFonts w:hint="default" w:ascii="Times New Roman" w:hAnsi="Times New Roman" w:cs="Times New Roman"/>
              <w:szCs w:val="36"/>
            </w:rPr>
            <w:t>Заключение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_Toc2005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37EABA0A">
          <w:pPr>
            <w:pStyle w:val="15"/>
            <w:tabs>
              <w:tab w:val="right" w:leader="dot" w:pos="10205"/>
            </w:tabs>
            <w:rPr>
              <w:rFonts w:hint="default" w:ascii="Times New Roman" w:hAnsi="Times New Roman" w:cs="Times New Roman"/>
            </w:rPr>
          </w:pPr>
          <w:r>
            <w:rPr>
              <w:rFonts w:hint="default" w:ascii="Times New Roman" w:hAnsi="Times New Roman" w:eastAsia="Calibri" w:cs="Times New Roman"/>
              <w:szCs w:val="24"/>
            </w:rPr>
            <w:fldChar w:fldCharType="begin"/>
          </w:r>
          <w:r>
            <w:rPr>
              <w:rFonts w:hint="default" w:ascii="Times New Roman" w:hAnsi="Times New Roman" w:eastAsia="Calibri" w:cs="Times New Roman"/>
              <w:szCs w:val="24"/>
            </w:rPr>
            <w:instrText xml:space="preserve"> HYPERLINK \l _Toc8998 </w:instrText>
          </w:r>
          <w:r>
            <w:rPr>
              <w:rFonts w:hint="default" w:ascii="Times New Roman" w:hAnsi="Times New Roman" w:eastAsia="Calibri" w:cs="Times New Roman"/>
              <w:szCs w:val="24"/>
            </w:rPr>
            <w:fldChar w:fldCharType="separate"/>
          </w:r>
          <w:r>
            <w:rPr>
              <w:rFonts w:hint="default" w:ascii="Times New Roman" w:hAnsi="Times New Roman" w:cs="Times New Roman"/>
              <w:szCs w:val="32"/>
            </w:rPr>
            <w:t>Список использованной источников</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_Toc8998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eastAsia="Calibri" w:cs="Times New Roman"/>
              <w:szCs w:val="24"/>
            </w:rPr>
            <w:fldChar w:fldCharType="end"/>
          </w:r>
        </w:p>
        <w:p w14:paraId="14EDB29F">
          <w:pPr>
            <w:tabs>
              <w:tab w:val="right" w:leader="dot" w:pos="9639"/>
            </w:tabs>
            <w:spacing w:after="0" w:line="360" w:lineRule="auto"/>
            <w:ind w:left="697"/>
            <w:jc w:val="both"/>
            <w:rPr>
              <w:rFonts w:ascii="Times New Roman" w:hAnsi="Times New Roman" w:eastAsia="Calibri" w:cs="Times New Roman"/>
              <w:kern w:val="2"/>
              <w:sz w:val="24"/>
              <w:szCs w:val="24"/>
              <w:lang w:val="ru-RU" w:eastAsia="en-US" w:bidi="ar-SA"/>
              <w14:ligatures w14:val="standardContextual"/>
            </w:rPr>
          </w:pPr>
          <w:r>
            <w:rPr>
              <w:rFonts w:hint="default" w:ascii="Times New Roman" w:hAnsi="Times New Roman" w:eastAsia="Calibri" w:cs="Times New Roman"/>
              <w:szCs w:val="24"/>
            </w:rPr>
            <w:fldChar w:fldCharType="end"/>
          </w:r>
        </w:p>
      </w:sdtContent>
    </w:sdt>
    <w:p w14:paraId="7B29A372">
      <w:pPr>
        <w:tabs>
          <w:tab w:val="right" w:leader="dot" w:pos="9639"/>
        </w:tabs>
        <w:spacing w:after="0" w:line="360" w:lineRule="auto"/>
        <w:ind w:left="697"/>
        <w:jc w:val="both"/>
        <w:rPr>
          <w:rFonts w:ascii="Times New Roman" w:hAnsi="Times New Roman" w:eastAsia="Calibri" w:cs="Times New Roman"/>
          <w:kern w:val="2"/>
          <w:sz w:val="24"/>
          <w:szCs w:val="24"/>
          <w:lang w:val="ru-RU" w:eastAsia="en-US" w:bidi="ar-SA"/>
          <w14:ligatures w14:val="standardContextual"/>
        </w:rPr>
      </w:pPr>
    </w:p>
    <w:p w14:paraId="25C2A6CC">
      <w:pPr>
        <w:spacing w:after="0" w:line="360" w:lineRule="auto"/>
        <w:ind w:firstLine="709"/>
        <w:jc w:val="center"/>
        <w:rPr>
          <w:rFonts w:ascii="Arial" w:hAnsi="Arial" w:cs="Arial"/>
          <w:sz w:val="28"/>
          <w:szCs w:val="28"/>
        </w:rPr>
        <w:sectPr>
          <w:footerReference r:id="rId7" w:type="first"/>
          <w:footerReference r:id="rId6" w:type="default"/>
          <w:pgSz w:w="11906" w:h="16838"/>
          <w:pgMar w:top="1134" w:right="567" w:bottom="1134" w:left="1134" w:header="709" w:footer="709" w:gutter="0"/>
          <w:pgNumType w:fmt="decimal" w:start="1"/>
          <w:cols w:space="708" w:num="1"/>
          <w:docGrid w:linePitch="360" w:charSpace="0"/>
        </w:sectPr>
      </w:pPr>
    </w:p>
    <w:p w14:paraId="3209C44E">
      <w:pPr>
        <w:spacing w:after="0" w:line="360" w:lineRule="auto"/>
        <w:ind w:firstLine="709"/>
        <w:jc w:val="center"/>
        <w:outlineLvl w:val="0"/>
        <w:rPr>
          <w:rFonts w:ascii="Arial" w:hAnsi="Arial" w:cs="Arial"/>
          <w:sz w:val="28"/>
          <w:szCs w:val="28"/>
        </w:rPr>
      </w:pPr>
      <w:bookmarkStart w:id="1" w:name="_Toc21239"/>
      <w:r>
        <w:rPr>
          <w:rFonts w:ascii="Arial" w:hAnsi="Arial" w:cs="Arial"/>
          <w:sz w:val="28"/>
          <w:szCs w:val="28"/>
        </w:rPr>
        <w:t>Введение</w:t>
      </w:r>
      <w:bookmarkEnd w:id="1"/>
    </w:p>
    <w:p w14:paraId="4B634C49">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 xml:space="preserve">Современный рынок общественного питания представляет собой динамичную и высококонкурентную среду, где традиционные бизнес-модели постоянно подвергаются проверке на прочность. </w:t>
      </w:r>
      <w:r>
        <w:rPr>
          <w:rFonts w:hint="default" w:ascii="Times New Roman" w:hAnsi="Times New Roman"/>
          <w:sz w:val="24"/>
          <w:szCs w:val="24"/>
          <w:lang w:val="ru-RU"/>
        </w:rPr>
        <w:t>Цифровизацию</w:t>
      </w:r>
      <w:r>
        <w:rPr>
          <w:rFonts w:hint="default" w:ascii="Times New Roman" w:hAnsi="Times New Roman"/>
          <w:sz w:val="24"/>
          <w:szCs w:val="24"/>
        </w:rPr>
        <w:t xml:space="preserve">, изменение потребительских привычек, растущие требования к качеству и экологичности, а также экономическая волатильность сформировали новый ландшафт, который требует от предпринимателей не просто операционной эффективности, а стратегической гибкости, умения прогнозировать и управлять многогранными рисками. Успех в этих условиях достигается не столько за </w:t>
      </w:r>
      <w:r>
        <w:rPr>
          <w:rFonts w:hint="default" w:ascii="Times New Roman" w:hAnsi="Times New Roman"/>
          <w:sz w:val="24"/>
          <w:szCs w:val="24"/>
          <w:lang w:val="ru-RU"/>
        </w:rPr>
        <w:t>счёт</w:t>
      </w:r>
      <w:r>
        <w:rPr>
          <w:rFonts w:hint="default" w:ascii="Times New Roman" w:hAnsi="Times New Roman"/>
          <w:sz w:val="24"/>
          <w:szCs w:val="24"/>
        </w:rPr>
        <w:t xml:space="preserve"> следования устоявшимся трендам, сколько благодаря созданию уникального ценностного предложения, широкой диверсификации ассортимента и способности бизнеса к постоянной трансформации. В этой связи особый интерес представляют предприятия, которые демонстрируют устойчивость и рост за </w:t>
      </w:r>
      <w:r>
        <w:rPr>
          <w:rFonts w:hint="default" w:ascii="Times New Roman" w:hAnsi="Times New Roman"/>
          <w:sz w:val="24"/>
          <w:szCs w:val="24"/>
          <w:lang w:val="ru-RU"/>
        </w:rPr>
        <w:t>счёт</w:t>
      </w:r>
      <w:r>
        <w:rPr>
          <w:rFonts w:hint="default" w:ascii="Times New Roman" w:hAnsi="Times New Roman"/>
          <w:sz w:val="24"/>
          <w:szCs w:val="24"/>
        </w:rPr>
        <w:t xml:space="preserve"> комплексного подхода к развитию, выходя за рамки узкой специализации.</w:t>
      </w:r>
    </w:p>
    <w:p w14:paraId="493DD235">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 xml:space="preserve">Ярким примером такой успешной трансформации является индивидуальное предпринимательство «Coffee machine» под руководством ИП Чудиновой К.Е. Изначально позиционируя себя как классическое автокафе, ориентированное на быстрое обслуживание и стандартный набор кофейных напитков, предприятие совершило стратегический переход, превратившись в многофункциональный гастрономический хаб. Этот качественный скачок был обеспечен созданием собственной производственной базы и запуском развитой линейки </w:t>
      </w:r>
      <w:r>
        <w:rPr>
          <w:rFonts w:hint="default" w:ascii="Times New Roman" w:hAnsi="Times New Roman"/>
          <w:sz w:val="24"/>
          <w:szCs w:val="24"/>
          <w:lang w:val="ru-RU"/>
        </w:rPr>
        <w:t>субтрендов</w:t>
      </w:r>
      <w:r>
        <w:rPr>
          <w:rFonts w:hint="default" w:ascii="Times New Roman" w:hAnsi="Times New Roman"/>
          <w:sz w:val="24"/>
          <w:szCs w:val="24"/>
        </w:rPr>
        <w:t xml:space="preserve"> (субтрендов). Сегодня объект исследования — ИП «Coffee machine» — представляет собой синтез нескольких форматов: это и кофейня премиум-класса, и мини-кондитерская с авторской выпечкой, и цех по производству полезного питания (снеков, смузи, обедов), и точка розничной торговли сопутствующими товарами. Ключевой отличительной чертой предприятия стало формирование обширного и инновационного меню, которое выходит далеко за пределы ожидаемого от кофейни ассортимента, тем самым создавая принципиально новое рыночное предложение.</w:t>
      </w:r>
    </w:p>
    <w:p w14:paraId="0D19B6C2">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Предметом исследования в данной работе выступает сложная и взаимосвязанная совокупность предпринимательских рисков и ключевых факторов успеха, которые возникают и видоизменяются в процессе активной диверсификации и последующего масштабирования гибридной бизнес-модели ИП «Coffee machine». Диверсификация, будучи мощным инструментом снижения зависимости от одного рынка или продукта, сама по себе порождает новые вызовы: риски распыления ресурсов, усложнения логистики и управления качеством, повышенные операционные издержки. В то же время, именно грамотное выявление и использование факторов успеха (таких как сильный бренд, лояльность клиентов, операционная эффективность и инновационность) позволяет нивелировать эти угрозы и извлечь максимальную выгоду из расширения деятельности.</w:t>
      </w:r>
    </w:p>
    <w:p w14:paraId="4F9668D3">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Целью данной работы является проведение комплексного анализа всей системы предпринимательских рисков и детерминант успеха ИП «Coffee machine» с последующей разработкой конкретных, практико-ориентированных рекомендаций по оптимизации системы риск-менеджмента. Достижение этой цели направлено на обеспечение долгосрочной устойчивости и дальнейшего динамичного развития предприятия в условиях нестабильной внешней среды. Для реализации поставленной цели в работе последовательно решается ряд взаимосвязанных задач:</w:t>
      </w:r>
    </w:p>
    <w:p w14:paraId="6575886B">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1. Рассмотреть и систематизировать теоретические аспекты классификации предпринимательских рисков применительно к сфере общественного питания.</w:t>
      </w:r>
    </w:p>
    <w:p w14:paraId="57E1DF7A">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2. Изучить современные методики и инструменты для определения вероятности наступления рисковых событий и оценки масштаба их возможных последствий для бизнеса.</w:t>
      </w:r>
    </w:p>
    <w:p w14:paraId="38E05A00">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3. Выявить и проанализировать ключевые компоненты успеха (как внутренние, так и внешние), которые обеспечивают конкурентное преимущество ИП «Coffee machine» на текущем этапе его развития.</w:t>
      </w:r>
    </w:p>
    <w:p w14:paraId="2755F140">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4. На основе проведенного анализа осуществить детальный разбор действующей бизнес-модели предприятия, предложить комплекс мер по минимизации наиболее значимых рисков и дать оценку рентабельности компании с учетом ее расширенного, диверсифицированного ассортимента.</w:t>
      </w:r>
    </w:p>
    <w:p w14:paraId="34BC1E74">
      <w:pPr>
        <w:spacing w:after="0" w:line="360" w:lineRule="auto"/>
        <w:ind w:firstLine="709"/>
        <w:jc w:val="both"/>
        <w:rPr>
          <w:rFonts w:hint="default" w:ascii="Times New Roman" w:hAnsi="Times New Roman"/>
          <w:sz w:val="24"/>
          <w:szCs w:val="24"/>
        </w:rPr>
      </w:pPr>
      <w:r>
        <w:rPr>
          <w:rFonts w:hint="default" w:ascii="Times New Roman" w:hAnsi="Times New Roman"/>
          <w:sz w:val="24"/>
          <w:szCs w:val="24"/>
        </w:rPr>
        <w:t>Актуальность данного исследования не вызывает сомнений. Она обусловлена острой практической необходимостью в поиске и изучении эффективных моделей управления сложным, многопрофильным малым бизнесом в секторе. В условиях, когда конкуренция достигает своего пика, а потребитель становится все более разборчивым, успех предприятия напрямую зависит от его способности находить тонкий баланс между внедрением инноваций, бескомпромиссным качеством продукции и услуг, контролем над операционными рисками и финансовой стабильностью. Опыт ИП «Coffee machine» служит ценным кейсом, анализ которого позволяет вывести универсальные принципы и практические решения, применимые для широкого круга субъектов малого и среднего предпринимательства, стремящихся к устойчивому развитию через стратегическую диверсификацию.</w:t>
      </w:r>
    </w:p>
    <w:p w14:paraId="43D1C23B">
      <w:pPr>
        <w:jc w:val="both"/>
        <w:rPr>
          <w:rFonts w:ascii="Arial" w:hAnsi="Arial" w:cs="Arial"/>
          <w:sz w:val="28"/>
          <w:szCs w:val="28"/>
        </w:rPr>
      </w:pPr>
      <w:r>
        <w:rPr>
          <w:rFonts w:ascii="Arial" w:hAnsi="Arial" w:cs="Arial"/>
          <w:sz w:val="28"/>
          <w:szCs w:val="28"/>
        </w:rPr>
        <w:br w:type="page"/>
      </w:r>
    </w:p>
    <w:p w14:paraId="420B6664">
      <w:pPr>
        <w:spacing w:after="0" w:line="240" w:lineRule="auto"/>
        <w:ind w:firstLine="709"/>
        <w:jc w:val="both"/>
        <w:outlineLvl w:val="0"/>
        <w:rPr>
          <w:rStyle w:val="20"/>
          <w:rFonts w:hint="default" w:ascii="Arial" w:hAnsi="Arial" w:cs="Arial"/>
          <w:color w:val="auto"/>
          <w:sz w:val="28"/>
          <w:szCs w:val="28"/>
          <w:lang w:eastAsia="ru-RU"/>
        </w:rPr>
      </w:pPr>
      <w:r>
        <w:rPr>
          <w:rFonts w:ascii="Arial" w:hAnsi="Arial" w:cs="Arial"/>
          <w:color w:val="auto"/>
          <w:sz w:val="28"/>
          <w:szCs w:val="28"/>
        </w:rPr>
        <w:t xml:space="preserve"> </w:t>
      </w:r>
      <w:bookmarkStart w:id="2" w:name="_Toc9857"/>
      <w:r>
        <w:rPr>
          <w:rFonts w:ascii="Arial" w:hAnsi="Arial" w:cs="Arial"/>
          <w:color w:val="auto"/>
          <w:sz w:val="28"/>
          <w:szCs w:val="28"/>
        </w:rPr>
        <w:t xml:space="preserve">1 </w:t>
      </w:r>
      <w:r>
        <w:rPr>
          <w:rStyle w:val="20"/>
          <w:rFonts w:hint="default" w:ascii="Arial" w:hAnsi="Arial" w:cs="Arial"/>
          <w:color w:val="auto"/>
          <w:sz w:val="28"/>
          <w:szCs w:val="28"/>
          <w:lang w:eastAsia="ru-RU"/>
        </w:rPr>
        <w:t>Теоретическая часть</w:t>
      </w:r>
      <w:bookmarkEnd w:id="2"/>
    </w:p>
    <w:p w14:paraId="20220370">
      <w:pPr>
        <w:pStyle w:val="2"/>
        <w:bidi w:val="0"/>
        <w:spacing w:line="240" w:lineRule="auto"/>
        <w:ind w:firstLine="708" w:firstLineChars="0"/>
        <w:jc w:val="both"/>
        <w:rPr>
          <w:rFonts w:hint="default" w:ascii="Arial" w:hAnsi="Arial" w:cs="Arial"/>
          <w:color w:val="auto"/>
        </w:rPr>
      </w:pPr>
      <w:bookmarkStart w:id="3" w:name="_Toc23143"/>
      <w:r>
        <w:rPr>
          <w:rStyle w:val="20"/>
          <w:rFonts w:hint="default" w:ascii="Arial" w:hAnsi="Arial" w:cs="Arial"/>
          <w:color w:val="auto"/>
          <w:sz w:val="28"/>
          <w:szCs w:val="28"/>
        </w:rPr>
        <w:t>1.</w:t>
      </w:r>
      <w:r>
        <w:rPr>
          <w:rFonts w:ascii="Arial" w:hAnsi="Arial" w:cs="Arial"/>
          <w:color w:val="auto"/>
          <w:sz w:val="26"/>
          <w:szCs w:val="26"/>
        </w:rPr>
        <w:t xml:space="preserve">1 </w:t>
      </w:r>
      <w:r>
        <w:rPr>
          <w:rFonts w:hint="default" w:ascii="Arial" w:hAnsi="Arial" w:cs="Arial"/>
          <w:b w:val="0"/>
          <w:bCs w:val="0"/>
          <w:color w:val="auto"/>
          <w:sz w:val="26"/>
          <w:szCs w:val="26"/>
          <w:lang w:eastAsia="ru-RU"/>
        </w:rPr>
        <w:t>Классификация рисков</w:t>
      </w:r>
      <w:bookmarkEnd w:id="3"/>
    </w:p>
    <w:p w14:paraId="47C0F4C9">
      <w:pPr>
        <w:shd w:val="clear" w:color="auto" w:fill="FFFFFF"/>
        <w:spacing w:after="0"/>
        <w:ind w:firstLine="708" w:firstLineChars="0"/>
        <w:jc w:val="both"/>
        <w:rPr>
          <w:rFonts w:hint="default" w:ascii="Times New Roman" w:hAnsi="Times New Roman" w:eastAsia="Times New Roman"/>
          <w:color w:val="000000"/>
          <w:sz w:val="24"/>
          <w:szCs w:val="28"/>
          <w:lang w:eastAsia="ru-RU"/>
        </w:rPr>
      </w:pPr>
      <w:bookmarkStart w:id="4" w:name="_Hlk210916632"/>
      <w:r>
        <w:rPr>
          <w:rFonts w:hint="default" w:ascii="Times New Roman" w:hAnsi="Times New Roman" w:eastAsia="Times New Roman"/>
          <w:color w:val="000000"/>
          <w:sz w:val="24"/>
          <w:szCs w:val="28"/>
          <w:lang w:eastAsia="ru-RU"/>
        </w:rPr>
        <w:t>Предпринимательский риск – это вероятность возникновения неблагоприятных событий, ведущих к потерям ресурсов, недополучению доходов или появлению дополнительных расходов в процессе деятельности предприятия.</w:t>
      </w:r>
    </w:p>
    <w:p w14:paraId="07C7E043">
      <w:pPr>
        <w:shd w:val="clear" w:color="auto" w:fill="FFFFFF"/>
        <w:spacing w:after="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Риски можно классифицировать по различным признакам. Применительно к бизнесу «Coffee machine» наиболее релевантна следующая классификация:</w:t>
      </w:r>
    </w:p>
    <w:p w14:paraId="3C7502D2">
      <w:pPr>
        <w:bidi w:val="0"/>
        <w:ind w:firstLine="708" w:firstLineChars="0"/>
        <w:jc w:val="both"/>
        <w:rPr>
          <w:rFonts w:hint="default" w:ascii="Times New Roman" w:hAnsi="Times New Roman" w:cs="Times New Roman"/>
          <w:sz w:val="24"/>
          <w:szCs w:val="24"/>
          <w:lang w:eastAsia="ru-RU"/>
        </w:rPr>
      </w:pPr>
      <w:bookmarkStart w:id="5" w:name="_Toc17270"/>
      <w:r>
        <w:rPr>
          <w:rFonts w:hint="default" w:ascii="Times New Roman" w:hAnsi="Times New Roman" w:cs="Times New Roman"/>
          <w:sz w:val="24"/>
          <w:szCs w:val="24"/>
          <w:lang w:eastAsia="ru-RU"/>
        </w:rPr>
        <w:t>1. По источнику возникновения:</w:t>
      </w:r>
      <w:bookmarkEnd w:id="5"/>
    </w:p>
    <w:p w14:paraId="60FA3837">
      <w:pPr>
        <w:numPr>
          <w:ilvl w:val="0"/>
          <w:numId w:val="1"/>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Внешние (системные): Не зависят от деятельности предприятия.</w:t>
      </w:r>
    </w:p>
    <w:p w14:paraId="26454962">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Политические: Изменение законодательства в сфере торговли, налогообложения ИП, требований к качеству продукции.</w:t>
      </w:r>
    </w:p>
    <w:p w14:paraId="06065C2A">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Экономические: Инфляция, рост цен на кофе, сахар и другие сырьевые товары, колебания курсов валют (импорт оборудования и зёрен), снижение покупательной способности населения.</w:t>
      </w:r>
    </w:p>
    <w:p w14:paraId="4B5FCA0D">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Социальные: Изменение потребительских привычек, рост популярности здорового образа жизни (снижение потребления кофеина).</w:t>
      </w:r>
    </w:p>
    <w:p w14:paraId="5F24D5A5">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Природно-климатические: Особенно актуально для точки во Владивостоке – тайфуны, штормовые предупреждения, которые могут парализовать работу.</w:t>
      </w:r>
    </w:p>
    <w:p w14:paraId="492FC2F6">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Внутренние (несистемные): Связаны с непосредственной деятельностью предприятия.</w:t>
      </w:r>
    </w:p>
    <w:p w14:paraId="067D5929">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Производственные: Поломка кофемашины, отсутствие воды или электроэнергии в точке, нарушение технологического процесса приготовления напитков.</w:t>
      </w:r>
    </w:p>
    <w:p w14:paraId="19D2920E">
      <w:pPr>
        <w:numPr>
          <w:ilvl w:val="0"/>
          <w:numId w:val="3"/>
        </w:numPr>
        <w:shd w:val="clear" w:color="auto" w:fill="FFFFFF"/>
        <w:tabs>
          <w:tab w:val="clear" w:pos="840"/>
        </w:tabs>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Кадровые: Текучесть персонала, ошибки сотрудников, низкая квалификация бариста, хищения, сложности с контролем работы в ночную смену.</w:t>
      </w:r>
    </w:p>
    <w:p w14:paraId="096FCB35">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Финансовые: Неэффективное управление денежными потоками, кассовые разрывы, проблемы с ликвидностью.</w:t>
      </w:r>
    </w:p>
    <w:p w14:paraId="03EBF0D1">
      <w:pPr>
        <w:numPr>
          <w:ilvl w:val="0"/>
          <w:numId w:val="2"/>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Маркетинговые: Неверная ценовая политика, неудачные маркетинговые акции, падение лояльности клиентов.</w:t>
      </w:r>
    </w:p>
    <w:p w14:paraId="171B3C54">
      <w:pPr>
        <w:bidi w:val="0"/>
        <w:ind w:firstLine="708" w:firstLineChars="0"/>
        <w:jc w:val="both"/>
        <w:rPr>
          <w:rFonts w:hint="default" w:ascii="Times New Roman" w:hAnsi="Times New Roman" w:cs="Times New Roman"/>
          <w:sz w:val="24"/>
          <w:szCs w:val="24"/>
          <w:lang w:eastAsia="ru-RU"/>
        </w:rPr>
      </w:pPr>
      <w:bookmarkStart w:id="6" w:name="_Toc15475"/>
      <w:r>
        <w:rPr>
          <w:rFonts w:hint="default" w:ascii="Times New Roman" w:hAnsi="Times New Roman" w:cs="Times New Roman"/>
          <w:sz w:val="24"/>
          <w:szCs w:val="24"/>
          <w:lang w:eastAsia="ru-RU"/>
        </w:rPr>
        <w:t>2. По возможности предвидения:</w:t>
      </w:r>
      <w:bookmarkEnd w:id="6"/>
    </w:p>
    <w:p w14:paraId="50B0E1C6">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Предсказуемые: Рост арендной платы, сезонное изменение спроса (летом спрос на холодные напитки выше).</w:t>
      </w:r>
    </w:p>
    <w:p w14:paraId="3D9C5852">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Непредсказуемые: Внезапные проверки контролирующих органов, пандемия, введение режима самоизоляции.</w:t>
      </w:r>
    </w:p>
    <w:p w14:paraId="2C481CC2">
      <w:pPr>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Предпринимательский успех — это не просто получение прибыли в краткосрочной перспективе. Это устойчивое достижение стратегических целей компании, которое характеризуется:</w:t>
      </w:r>
    </w:p>
    <w:p w14:paraId="61EA8311">
      <w:pPr>
        <w:numPr>
          <w:ilvl w:val="0"/>
          <w:numId w:val="4"/>
        </w:numPr>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Стабильностью и ростом финансовых показателей (выручка, прибыль, рентабельность).</w:t>
      </w:r>
    </w:p>
    <w:p w14:paraId="0576C798">
      <w:pPr>
        <w:numPr>
          <w:ilvl w:val="0"/>
          <w:numId w:val="4"/>
        </w:numPr>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Укреплением конкурентных преимуществ и завоеванием устойчивой позиции на рынке.</w:t>
      </w:r>
    </w:p>
    <w:p w14:paraId="5359ED8D">
      <w:pPr>
        <w:numPr>
          <w:ilvl w:val="0"/>
          <w:numId w:val="4"/>
        </w:numPr>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Формированием сильного бренда и высокой лояльности клиентов.</w:t>
      </w:r>
    </w:p>
    <w:p w14:paraId="6ABF6F96">
      <w:pPr>
        <w:numPr>
          <w:ilvl w:val="0"/>
          <w:numId w:val="4"/>
        </w:numPr>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Созданием эффективной и масштабируемой бизнес-модели.</w:t>
      </w:r>
    </w:p>
    <w:p w14:paraId="3602331E">
      <w:pPr>
        <w:numPr>
          <w:ilvl w:val="0"/>
          <w:numId w:val="4"/>
        </w:numPr>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Способностью к инновациям и адаптации к изменениям рыночной среды.</w:t>
      </w:r>
    </w:p>
    <w:p w14:paraId="57FD839A">
      <w:pPr>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Таким образом, управление рисками — это не устранение угроз, а их систематическая идентификация, оценка и принятие мер, направленных на максимизацию вероятности успеха и минимизацию потенциальных потерь.</w:t>
      </w:r>
    </w:p>
    <w:p w14:paraId="3820C73E">
      <w:pPr>
        <w:pStyle w:val="2"/>
        <w:bidi w:val="0"/>
        <w:ind w:firstLine="708" w:firstLineChars="0"/>
        <w:jc w:val="both"/>
        <w:rPr>
          <w:rFonts w:hint="default" w:ascii="Arial" w:hAnsi="Arial" w:cs="Arial"/>
          <w:color w:val="auto"/>
          <w:sz w:val="26"/>
          <w:szCs w:val="26"/>
        </w:rPr>
      </w:pPr>
      <w:bookmarkStart w:id="7" w:name="_Toc10517"/>
      <w:r>
        <w:rPr>
          <w:rFonts w:hint="default" w:ascii="Arial" w:hAnsi="Arial" w:cs="Arial"/>
          <w:color w:val="auto"/>
          <w:sz w:val="26"/>
          <w:szCs w:val="26"/>
        </w:rPr>
        <w:t xml:space="preserve">1.2 </w:t>
      </w:r>
      <w:r>
        <w:rPr>
          <w:rFonts w:hint="default" w:ascii="Arial" w:hAnsi="Arial" w:cs="Arial"/>
          <w:color w:val="auto"/>
          <w:sz w:val="26"/>
          <w:szCs w:val="26"/>
          <w:lang w:eastAsia="ru-RU"/>
        </w:rPr>
        <w:t>Определение вероятности наступления риска и масштаб возможных последствий</w:t>
      </w:r>
      <w:bookmarkEnd w:id="7"/>
    </w:p>
    <w:bookmarkEnd w:id="4"/>
    <w:p w14:paraId="44223399">
      <w:pPr>
        <w:shd w:val="clear" w:color="auto" w:fill="FFFFFF"/>
        <w:spacing w:after="0"/>
        <w:ind w:firstLine="708" w:firstLineChars="0"/>
        <w:jc w:val="both"/>
        <w:rPr>
          <w:rFonts w:hint="default" w:ascii="Times New Roman" w:hAnsi="Times New Roman" w:eastAsia="Times New Roman"/>
          <w:color w:val="000000"/>
          <w:sz w:val="24"/>
          <w:szCs w:val="28"/>
          <w:lang w:eastAsia="ru-RU"/>
        </w:rPr>
      </w:pPr>
      <w:bookmarkStart w:id="8" w:name="_Hlk210915346"/>
      <w:r>
        <w:rPr>
          <w:rFonts w:hint="default" w:ascii="Times New Roman" w:hAnsi="Times New Roman" w:eastAsia="Times New Roman"/>
          <w:color w:val="000000"/>
          <w:sz w:val="24"/>
          <w:szCs w:val="28"/>
          <w:lang w:eastAsia="ru-RU"/>
        </w:rPr>
        <w:t>Вероятность наступления риска — это количественная или качественная оценка возможности реализации рискового события.</w:t>
      </w:r>
    </w:p>
    <w:p w14:paraId="5903F4DC">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Масштаб возможных последствий — это оценка ущерба, который может быть нанесён бизнесу в случае реализации риска.</w:t>
      </w:r>
    </w:p>
    <w:p w14:paraId="6FF92B6E">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Оценка риска включает в себя два ключевых параметра: вероятность его наступления и тяжесть возможных последствий.</w:t>
      </w:r>
    </w:p>
    <w:p w14:paraId="3EB6B404">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Вероятность наступления (P) – это возможность того, что неблагоприятное событие произойдёт. Оценивается по шкале от 0 (невозможно) до 1 (достоверно) или в качественных категориях: Низкая, Средняя, Высокая.</w:t>
      </w:r>
    </w:p>
    <w:p w14:paraId="516B4923">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Масштаб последствий (I) – это финансовый, репутационный или операционный ущерб от реализации риска. Оценивается также по шкале: Низкий, Средний, Высокий.</w:t>
      </w:r>
    </w:p>
    <w:p w14:paraId="7EAB6F44">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Формула количественной оценки:</w:t>
      </w:r>
      <w:r>
        <w:rPr>
          <w:rFonts w:hint="default" w:ascii="Times New Roman" w:hAnsi="Times New Roman" w:eastAsia="Times New Roman"/>
          <w:color w:val="000000"/>
          <w:sz w:val="24"/>
          <w:szCs w:val="28"/>
          <w:lang w:val="en-US" w:eastAsia="ru-RU"/>
        </w:rPr>
        <w:t xml:space="preserve"> </w:t>
      </w:r>
      <w:r>
        <w:rPr>
          <w:rFonts w:hint="default" w:ascii="Times New Roman" w:hAnsi="Times New Roman" w:eastAsia="Times New Roman"/>
          <w:color w:val="000000"/>
          <w:sz w:val="24"/>
          <w:szCs w:val="28"/>
          <w:lang w:eastAsia="ru-RU"/>
        </w:rPr>
        <w:t>R = P × I</w:t>
      </w:r>
      <w:r>
        <w:rPr>
          <w:rFonts w:hint="default" w:ascii="Times New Roman" w:hAnsi="Times New Roman" w:eastAsia="Times New Roman"/>
          <w:color w:val="000000"/>
          <w:sz w:val="24"/>
          <w:szCs w:val="28"/>
          <w:lang w:val="en-US" w:eastAsia="ru-RU"/>
        </w:rPr>
        <w:t xml:space="preserve"> </w:t>
      </w:r>
      <w:r>
        <w:rPr>
          <w:rFonts w:hint="default" w:ascii="Times New Roman" w:hAnsi="Times New Roman" w:eastAsia="Times New Roman"/>
          <w:color w:val="000000"/>
          <w:sz w:val="24"/>
          <w:szCs w:val="28"/>
          <w:lang w:eastAsia="ru-RU"/>
        </w:rPr>
        <w:t>где:</w:t>
      </w:r>
    </w:p>
    <w:p w14:paraId="2DFA5245">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R - величина риска</w:t>
      </w:r>
    </w:p>
    <w:p w14:paraId="7AD338F3">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P - вероятность наступления</w:t>
      </w:r>
    </w:p>
    <w:p w14:paraId="750EF04B">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I - масштаб последствий (в денежном выражении)</w:t>
      </w:r>
      <w:r>
        <w:rPr>
          <w:rFonts w:hint="default" w:ascii="Times New Roman" w:hAnsi="Times New Roman" w:eastAsia="Times New Roman"/>
          <w:color w:val="000000"/>
          <w:sz w:val="24"/>
          <w:szCs w:val="28"/>
          <w:lang w:val="en-US" w:eastAsia="ru-RU"/>
        </w:rPr>
        <w:t xml:space="preserve"> </w:t>
      </w:r>
      <w:r>
        <w:rPr>
          <w:rFonts w:hint="default" w:ascii="Times New Roman" w:hAnsi="Times New Roman" w:eastAsia="Times New Roman"/>
          <w:color w:val="000000"/>
          <w:sz w:val="24"/>
          <w:szCs w:val="28"/>
          <w:lang w:eastAsia="ru-RU"/>
        </w:rPr>
        <w:t>Пример расчёта:</w:t>
      </w:r>
    </w:p>
    <w:p w14:paraId="3FA3BBA7">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Для риска срыва поставок:</w:t>
      </w:r>
    </w:p>
    <w:p w14:paraId="190A791E">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P = 0,3 (средняя вероятность)</w:t>
      </w:r>
    </w:p>
    <w:p w14:paraId="2E62F696">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I = 300 000 руб. (потерянная выручка + штрафы)</w:t>
      </w:r>
    </w:p>
    <w:p w14:paraId="25886C45">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R = 0,3 × 300 000 = 90 000 руб. (ожидаемые потери)</w:t>
      </w:r>
    </w:p>
    <w:p w14:paraId="3C104D1E">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На основе этих параметров строится матрица рисков, которая позволяет определить приоритеты в управлении:</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6"/>
        <w:gridCol w:w="2238"/>
        <w:gridCol w:w="2222"/>
        <w:gridCol w:w="2225"/>
      </w:tblGrid>
      <w:tr w14:paraId="37161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6" w:type="dxa"/>
          </w:tcPr>
          <w:p w14:paraId="5E5FE81E">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Вероятность/Последствия</w:t>
            </w:r>
          </w:p>
        </w:tc>
        <w:tc>
          <w:tcPr>
            <w:tcW w:w="2238" w:type="dxa"/>
          </w:tcPr>
          <w:p w14:paraId="39A34CC2">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Низкие</w:t>
            </w:r>
          </w:p>
        </w:tc>
        <w:tc>
          <w:tcPr>
            <w:tcW w:w="2222" w:type="dxa"/>
          </w:tcPr>
          <w:p w14:paraId="0D89891E">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Средние</w:t>
            </w:r>
          </w:p>
        </w:tc>
        <w:tc>
          <w:tcPr>
            <w:tcW w:w="2225" w:type="dxa"/>
          </w:tcPr>
          <w:p w14:paraId="1A3FA164">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Высокие</w:t>
            </w:r>
          </w:p>
        </w:tc>
      </w:tr>
      <w:tr w14:paraId="6541C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6" w:type="dxa"/>
          </w:tcPr>
          <w:p w14:paraId="0565191A">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 xml:space="preserve">Высокая </w:t>
            </w:r>
          </w:p>
        </w:tc>
        <w:tc>
          <w:tcPr>
            <w:tcW w:w="2238" w:type="dxa"/>
          </w:tcPr>
          <w:p w14:paraId="3B61DF6F">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внимания</w:t>
            </w:r>
          </w:p>
        </w:tc>
        <w:tc>
          <w:tcPr>
            <w:tcW w:w="2222" w:type="dxa"/>
          </w:tcPr>
          <w:p w14:paraId="645C9CCC">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 xml:space="preserve"> Зона высокого риска</w:t>
            </w:r>
          </w:p>
        </w:tc>
        <w:tc>
          <w:tcPr>
            <w:tcW w:w="2225" w:type="dxa"/>
          </w:tcPr>
          <w:p w14:paraId="40D4B148">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критического риска</w:t>
            </w:r>
          </w:p>
        </w:tc>
      </w:tr>
      <w:tr w14:paraId="385CF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6" w:type="dxa"/>
          </w:tcPr>
          <w:p w14:paraId="36A45E15">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 xml:space="preserve">Средняя </w:t>
            </w:r>
          </w:p>
        </w:tc>
        <w:tc>
          <w:tcPr>
            <w:tcW w:w="2238" w:type="dxa"/>
          </w:tcPr>
          <w:p w14:paraId="26B2B272">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принятия</w:t>
            </w:r>
          </w:p>
        </w:tc>
        <w:tc>
          <w:tcPr>
            <w:tcW w:w="2222" w:type="dxa"/>
          </w:tcPr>
          <w:p w14:paraId="1931EC1C">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 xml:space="preserve"> Зона внимания</w:t>
            </w:r>
          </w:p>
        </w:tc>
        <w:tc>
          <w:tcPr>
            <w:tcW w:w="2225" w:type="dxa"/>
          </w:tcPr>
          <w:p w14:paraId="38EBA6FD">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высокого риска</w:t>
            </w:r>
          </w:p>
        </w:tc>
      </w:tr>
      <w:tr w14:paraId="7956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6" w:type="dxa"/>
          </w:tcPr>
          <w:p w14:paraId="39F296C9">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Низкая</w:t>
            </w:r>
          </w:p>
        </w:tc>
        <w:tc>
          <w:tcPr>
            <w:tcW w:w="2238" w:type="dxa"/>
          </w:tcPr>
          <w:p w14:paraId="6C0A35FE">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принятия</w:t>
            </w:r>
          </w:p>
        </w:tc>
        <w:tc>
          <w:tcPr>
            <w:tcW w:w="2222" w:type="dxa"/>
          </w:tcPr>
          <w:p w14:paraId="30DE2FF7">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принятия</w:t>
            </w:r>
          </w:p>
        </w:tc>
        <w:tc>
          <w:tcPr>
            <w:tcW w:w="2225" w:type="dxa"/>
          </w:tcPr>
          <w:p w14:paraId="4D1714D4">
            <w:pPr>
              <w:widowControl w:val="0"/>
              <w:spacing w:after="0"/>
              <w:jc w:val="both"/>
              <w:rPr>
                <w:rFonts w:hint="default" w:ascii="Times New Roman" w:hAnsi="Times New Roman" w:eastAsia="Times New Roman"/>
                <w:color w:val="000000"/>
                <w:sz w:val="22"/>
                <w:szCs w:val="24"/>
                <w:vertAlign w:val="baseline"/>
                <w:lang w:eastAsia="ru-RU"/>
              </w:rPr>
            </w:pPr>
            <w:r>
              <w:rPr>
                <w:rFonts w:hint="default" w:ascii="Times New Roman" w:hAnsi="Times New Roman" w:eastAsia="Times New Roman"/>
                <w:color w:val="000000"/>
                <w:sz w:val="22"/>
                <w:szCs w:val="24"/>
                <w:lang w:eastAsia="ru-RU"/>
              </w:rPr>
              <w:t>Зона внимания</w:t>
            </w:r>
          </w:p>
        </w:tc>
      </w:tr>
    </w:tbl>
    <w:p w14:paraId="58ACF62E">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Шкала оценки вероятности:</w:t>
      </w:r>
    </w:p>
    <w:p w14:paraId="7A5865AF">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Высокая (0,7-1,0) - событие может произойти несколько раз в год</w:t>
      </w:r>
    </w:p>
    <w:p w14:paraId="2129F9B0">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Средняя (0,3-0,7) - событие может произойти раз в 1-2 года</w:t>
      </w:r>
    </w:p>
    <w:p w14:paraId="6E6E2553">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Низкая (0,0-0,3) - событие маловероятно (раз в 3+ года)</w:t>
      </w:r>
    </w:p>
    <w:p w14:paraId="3ED476D7">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Шкала оценки последствий:</w:t>
      </w:r>
    </w:p>
    <w:p w14:paraId="5772EC3F">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Катастрофические - угроза существованию бизнеса</w:t>
      </w:r>
    </w:p>
    <w:p w14:paraId="126FFA84">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Критические - значительные финансовые потери</w:t>
      </w:r>
    </w:p>
    <w:p w14:paraId="5C350697">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Умеренные - временное снижение эффективности</w:t>
      </w:r>
    </w:p>
    <w:p w14:paraId="65C127CF">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Незначительные - минимальное влияние на бизнес</w:t>
      </w:r>
    </w:p>
    <w:p w14:paraId="6B934FB7">
      <w:pPr>
        <w:numPr>
          <w:ilvl w:val="0"/>
          <w:numId w:val="0"/>
        </w:numPr>
        <w:shd w:val="clear" w:color="auto" w:fill="FFFFFF"/>
        <w:spacing w:after="0"/>
        <w:ind w:left="420" w:leftChars="0" w:firstLine="704"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Для ИП Чудинова точное определение вероятности и последствий рисков является основой эффективного риск-менеджмента. Комбинация качественных и количественных методов оценки позволяет выстроить приоритеты в управлении рисками и оптимально распределить ресурсы для их минимизации. Регулярный пересмотр оценок в условиях динамично развивающегося бизнеса обеспечивает актуальность риск-ориентированных решений.</w:t>
      </w:r>
    </w:p>
    <w:p w14:paraId="3902DAD1">
      <w:pPr>
        <w:pStyle w:val="2"/>
        <w:bidi w:val="0"/>
        <w:ind w:firstLine="708" w:firstLineChars="0"/>
        <w:jc w:val="both"/>
        <w:rPr>
          <w:rFonts w:hint="default" w:ascii="Arial" w:hAnsi="Arial" w:cs="Arial"/>
          <w:color w:val="auto"/>
          <w:sz w:val="26"/>
          <w:szCs w:val="26"/>
          <w:lang w:eastAsia="ru-RU"/>
        </w:rPr>
      </w:pPr>
      <w:bookmarkStart w:id="9" w:name="_Toc23575"/>
      <w:r>
        <w:rPr>
          <w:rFonts w:hint="default" w:ascii="Arial" w:hAnsi="Arial" w:cs="Arial"/>
          <w:color w:val="auto"/>
          <w:sz w:val="26"/>
          <w:szCs w:val="26"/>
        </w:rPr>
        <w:t xml:space="preserve">1.3 </w:t>
      </w:r>
      <w:bookmarkEnd w:id="8"/>
      <w:r>
        <w:rPr>
          <w:rFonts w:hint="default" w:ascii="Arial" w:hAnsi="Arial" w:cs="Arial"/>
          <w:color w:val="auto"/>
          <w:sz w:val="26"/>
          <w:szCs w:val="26"/>
          <w:lang w:eastAsia="ru-RU"/>
        </w:rPr>
        <w:t>Ключевые компоненты успеха</w:t>
      </w:r>
      <w:bookmarkEnd w:id="9"/>
    </w:p>
    <w:p w14:paraId="6B9FA3B3">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Ключевые компоненты успеха (ККУ) — это ограниченное число факторов, определяющих конкурентоспособность и долгосрочный успех компании на конкретном рынке. Это те области деятельности, где предприятие должно добиться высоких результатов для обеспечения конкурентных преимуществ.</w:t>
      </w:r>
    </w:p>
    <w:p w14:paraId="19ADF830">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Успех малого бизнеса, особенно в конкурентной нише, зависит от комбинации нескольких факторов:</w:t>
      </w:r>
    </w:p>
    <w:p w14:paraId="3C9A12AD">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1. Качество продукта и сервиса: Это фундамент. Вкусный кофе, стабильное качество в каждой точке, независимо от смены и региона, вежливый и профессиональный персонал.</w:t>
      </w:r>
    </w:p>
    <w:p w14:paraId="7CA8FA1A">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2. Удобство и доступность: Круглосуточный режим работы удовлетворяет потребность клиентов в любое время суток. Мобильное приложение с предзаказом экономит время клиентов, что является мощным конкурентным преимуществом.</w:t>
      </w:r>
    </w:p>
    <w:p w14:paraId="4A445820">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3. Эффективная маркетинговая и клиентская политика: Бонусная система (1 бонус = 1 рубль) напрямую стимулирует повторные покупки и повышает лояльность. Приложение является также каналом коммуникации (push-уведомления о акциях).</w:t>
      </w:r>
    </w:p>
    <w:p w14:paraId="62601C1A">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4. Операционная эффективность и управление рисками: Отлаженные логистические цепочки снабжения точек в разных регионах, эффективное управление персоналом (графики смен, мотивация), минимизация простоев оборудования.</w:t>
      </w:r>
    </w:p>
    <w:p w14:paraId="200EFDA7">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5. Адаптивность и инновации: Способность быстро реагировать на изменения рынка, например, ввод новых напитков в меню, проведение тематических акций, улучшение функционала приложения.</w:t>
      </w:r>
    </w:p>
    <w:p w14:paraId="4B023958">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Анализ ИП Чудинова К.Е. «Coffee machine»</w:t>
      </w:r>
    </w:p>
    <w:p w14:paraId="1F8EABBC">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Управление рисками в «Coffee machine»:</w:t>
      </w:r>
    </w:p>
    <w:p w14:paraId="6A255553">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1. Географическая диверсификация (точки в разных регионах):</w:t>
      </w:r>
    </w:p>
    <w:p w14:paraId="38F25AF1">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Риск: Региональный экономический спад, неблагоприятная погода в одном из регионов.</w:t>
      </w:r>
    </w:p>
    <w:p w14:paraId="7FF5489D">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Снижение риска: Доходы от точек в других регионах компенсируют возможные потери в одном. Например, пока во Владивостоке сезон тайфунов, точки в центральной России работают в штатном режиме.</w:t>
      </w:r>
    </w:p>
    <w:p w14:paraId="5B446AE1">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2. Использование мобильного приложения:</w:t>
      </w:r>
    </w:p>
    <w:p w14:paraId="1CA93284">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Риск, который оно снижает: «Человеческий фактор» при приеме заказов, ошибки в расчётах, длинные очереди в пиковые часы, ведущие к потере клиентов.</w:t>
      </w:r>
    </w:p>
    <w:p w14:paraId="37020A3B">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Дополнительное преимущество: Сбор данных о покупательском поведении, что позволяет точно оценивать спрос, планировать закупки и персонализировать маркетинг.</w:t>
      </w:r>
    </w:p>
    <w:p w14:paraId="1C0A8341">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3. Круглосуточный режим работы с дневными и ночными сменами:</w:t>
      </w:r>
    </w:p>
    <w:p w14:paraId="0B8B8442">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Риски: Повышенные операционные риски (безопасность, контроль ночного персонала), повышенные расходы на оплату труда в ночное время.</w:t>
      </w:r>
    </w:p>
    <w:p w14:paraId="5AC84856">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Управление рисками: Чёткие регламенты работы, система видеонаблюдения, мотивация ночных сотрудников (надбавки), разграничение ответственности.</w:t>
      </w:r>
    </w:p>
    <w:p w14:paraId="47473C9F">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4. Бонусная система:</w:t>
      </w:r>
    </w:p>
    <w:p w14:paraId="4310A18A">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Риск: Финансовые затраты на программу лояльности.</w:t>
      </w:r>
    </w:p>
    <w:p w14:paraId="42300031">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Снижение риска оттока клиентов: Система «привязывает» клиента к бренду, повышая частоту визитов и создавая барьер для ухода к конкурентам.</w:t>
      </w:r>
    </w:p>
    <w:p w14:paraId="3FDF1B10">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Ключевые компоненты успеха «Coffee machine»:</w:t>
      </w:r>
    </w:p>
    <w:p w14:paraId="09C98466">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Удобство: Сочетание круглосуточной доступности физических точек и цифрового сервиса (предзаказ) полностью отвечает запросам современного потребителя.</w:t>
      </w:r>
    </w:p>
    <w:p w14:paraId="4BC3DE56">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Технологичность: Мобильное приложение – это не просто касса, а инструмент анализа, маркетинга и удержания клиента.</w:t>
      </w:r>
    </w:p>
    <w:p w14:paraId="173300F8">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Масштабируемость: Формат автокафе и используемые технологии позволяют относительно легко тиражировать бизнес-модель в новых регионах.</w:t>
      </w:r>
    </w:p>
    <w:p w14:paraId="45C625EB">
      <w:pPr>
        <w:numPr>
          <w:ilvl w:val="0"/>
          <w:numId w:val="4"/>
        </w:numPr>
        <w:shd w:val="clear" w:color="auto" w:fill="FFFFFF"/>
        <w:spacing w:after="0"/>
        <w:ind w:left="840" w:leftChars="0" w:hanging="420"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Лояльность: Простая и понятная бонусная система напрямую влияет на финансовую выгоду клиента, что является самым сильным стимулом.</w:t>
      </w:r>
    </w:p>
    <w:p w14:paraId="78AF7323">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На примере ИП «Coffee machine» наглядно видно, что современный предпринимательский успех – это результат не столько отсутствия рисков, сколько их грамотного управления и превращения в конкурентные преимущества.</w:t>
      </w:r>
    </w:p>
    <w:p w14:paraId="525D6F72">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Компания сталкивается с широким спектром рисков: от макроэкономических и региональных до внутренних операционных и кадровых. Однако такие решения, как географическая диверсификация, внедрение мобильного приложения и продуманная система лояльности, не только снижают воздействие этих рисков, но и напрямую способствуют достижению успеха.</w:t>
      </w:r>
    </w:p>
    <w:p w14:paraId="3EBC7C19">
      <w:pPr>
        <w:shd w:val="clear" w:color="auto" w:fill="FFFFFF"/>
        <w:spacing w:after="0"/>
        <w:ind w:firstLine="708" w:firstLineChars="0"/>
        <w:jc w:val="both"/>
        <w:rPr>
          <w:rFonts w:hint="default" w:ascii="Times New Roman" w:hAnsi="Times New Roman" w:eastAsia="Times New Roman"/>
          <w:color w:val="000000"/>
          <w:sz w:val="24"/>
          <w:szCs w:val="28"/>
          <w:lang w:eastAsia="ru-RU"/>
        </w:rPr>
      </w:pPr>
      <w:r>
        <w:rPr>
          <w:rFonts w:hint="default" w:ascii="Times New Roman" w:hAnsi="Times New Roman" w:eastAsia="Times New Roman"/>
          <w:color w:val="000000"/>
          <w:sz w:val="24"/>
          <w:szCs w:val="28"/>
          <w:lang w:eastAsia="ru-RU"/>
        </w:rPr>
        <w:t>Ключевыми компонентами успеха «Coffee machine» являются ориентация на максимальное удобство для клиента (круглосуточно, быстро, с предзаказом), использование цифровых технологий для повышения эффективности и удержания клиентов, а также создание масштабируемой и адаптивной бизнес-модели. Таким образом, активная риск-ориентированная стратегия управления является для малого бизнеса не дополнительной опцией, а необходимым условием для устойчивого развития и долгосрочного процветания.</w:t>
      </w:r>
    </w:p>
    <w:p w14:paraId="601DC890">
      <w:pPr>
        <w:spacing w:after="0" w:line="360" w:lineRule="auto"/>
        <w:ind w:firstLine="709"/>
        <w:jc w:val="both"/>
        <w:rPr>
          <w:rFonts w:ascii="Times New Roman" w:hAnsi="Times New Roman" w:cs="Times New Roman"/>
          <w:iCs/>
        </w:rPr>
      </w:pPr>
      <w:r>
        <w:rPr>
          <w:rFonts w:ascii="Times New Roman" w:hAnsi="Times New Roman" w:cs="Times New Roman"/>
          <w:iCs/>
        </w:rPr>
        <w:br w:type="page"/>
      </w:r>
    </w:p>
    <w:p w14:paraId="49E6FF54">
      <w:pPr>
        <w:spacing w:after="0" w:line="240" w:lineRule="auto"/>
        <w:ind w:firstLine="709"/>
        <w:jc w:val="both"/>
        <w:outlineLvl w:val="0"/>
        <w:rPr>
          <w:rFonts w:ascii="Arial" w:hAnsi="Arial" w:cs="Arial"/>
          <w:sz w:val="28"/>
          <w:szCs w:val="28"/>
        </w:rPr>
      </w:pPr>
      <w:r>
        <w:rPr>
          <w:rFonts w:ascii="Arial" w:hAnsi="Arial" w:cs="Arial"/>
          <w:sz w:val="28"/>
          <w:szCs w:val="28"/>
        </w:rPr>
        <w:t xml:space="preserve"> </w:t>
      </w:r>
      <w:bookmarkStart w:id="10" w:name="_Toc2914"/>
      <w:r>
        <w:rPr>
          <w:rFonts w:ascii="Arial" w:hAnsi="Arial" w:cs="Arial"/>
          <w:sz w:val="28"/>
          <w:szCs w:val="28"/>
        </w:rPr>
        <w:t>2 Практическая часть.</w:t>
      </w:r>
      <w:bookmarkEnd w:id="10"/>
    </w:p>
    <w:p w14:paraId="1D61634A">
      <w:pPr>
        <w:pStyle w:val="2"/>
        <w:bidi w:val="0"/>
        <w:spacing w:line="240" w:lineRule="auto"/>
        <w:ind w:firstLine="708" w:firstLineChars="0"/>
        <w:jc w:val="both"/>
        <w:rPr>
          <w:rFonts w:hint="default"/>
          <w:b w:val="0"/>
          <w:bCs w:val="0"/>
          <w:sz w:val="26"/>
          <w:szCs w:val="26"/>
          <w:lang w:eastAsia="ru-RU"/>
        </w:rPr>
      </w:pPr>
      <w:bookmarkStart w:id="11" w:name="_Toc29760"/>
      <w:r>
        <w:rPr>
          <w:rFonts w:ascii="Arial" w:hAnsi="Arial" w:eastAsia="Times New Roman" w:cs="Arial"/>
          <w:color w:val="0F1115"/>
          <w:kern w:val="0"/>
          <w:sz w:val="26"/>
          <w:szCs w:val="26"/>
          <w:lang w:eastAsia="ru-RU"/>
          <w14:ligatures w14:val="none"/>
        </w:rPr>
        <w:t xml:space="preserve">2.1. </w:t>
      </w:r>
      <w:r>
        <w:rPr>
          <w:rFonts w:hint="default" w:ascii="Arial" w:hAnsi="Arial" w:cs="Arial"/>
          <w:b w:val="0"/>
          <w:bCs w:val="0"/>
          <w:color w:val="auto"/>
          <w:sz w:val="26"/>
          <w:szCs w:val="26"/>
          <w:lang w:eastAsia="ru-RU"/>
        </w:rPr>
        <w:t>Бизнес-идея и бизнес-модель</w:t>
      </w:r>
      <w:bookmarkEnd w:id="11"/>
    </w:p>
    <w:p w14:paraId="3CB7AD76">
      <w:pPr>
        <w:spacing w:line="240" w:lineRule="auto"/>
        <w:ind w:firstLine="708" w:firstLineChars="0"/>
        <w:jc w:val="both"/>
        <w:rPr>
          <w:rFonts w:hint="default" w:ascii="Times New Roman" w:hAnsi="Times New Roman" w:cs="Times New Roman"/>
          <w:sz w:val="24"/>
          <w:szCs w:val="24"/>
          <w:lang w:eastAsia="ru-RU"/>
        </w:rPr>
      </w:pPr>
      <w:r>
        <w:rPr>
          <w:rFonts w:hint="default" w:ascii="Times New Roman" w:hAnsi="Times New Roman" w:cs="Times New Roman"/>
          <w:sz w:val="24"/>
          <w:szCs w:val="24"/>
          <w:lang w:eastAsia="ru-RU"/>
        </w:rPr>
        <w:t>Бизнес-идея— это концепция или замысел, который описывает основную суть предпринимательской деятельности. Это первоначальная, часто интуитивная концепция того, как можно удовлетворить определенную потребность рынка и получить прибыль.</w:t>
      </w:r>
    </w:p>
    <w:p w14:paraId="0B37F77C">
      <w:pPr>
        <w:spacing w:line="240" w:lineRule="auto"/>
        <w:ind w:firstLine="708" w:firstLineChars="0"/>
        <w:jc w:val="both"/>
        <w:rPr>
          <w:rFonts w:hint="default" w:ascii="Times New Roman" w:hAnsi="Times New Roman"/>
          <w:sz w:val="24"/>
          <w:szCs w:val="24"/>
        </w:rPr>
      </w:pPr>
      <w:r>
        <w:rPr>
          <w:rFonts w:hint="default" w:ascii="Times New Roman" w:hAnsi="Times New Roman"/>
          <w:sz w:val="24"/>
          <w:szCs w:val="24"/>
        </w:rPr>
        <w:t xml:space="preserve">Бизнес-идея ИП «Coffee machine» эволюционировала в концепцию «гастрономического автокафе», где акцент </w:t>
      </w:r>
      <w:r>
        <w:rPr>
          <w:rFonts w:hint="default" w:ascii="Times New Roman" w:hAnsi="Times New Roman"/>
          <w:sz w:val="24"/>
          <w:szCs w:val="24"/>
          <w:lang w:val="ru-RU"/>
        </w:rPr>
        <w:t>смещён</w:t>
      </w:r>
      <w:r>
        <w:rPr>
          <w:rFonts w:hint="default" w:ascii="Times New Roman" w:hAnsi="Times New Roman"/>
          <w:sz w:val="24"/>
          <w:szCs w:val="24"/>
        </w:rPr>
        <w:t xml:space="preserve"> с скорости на качество, разнообразие и персонализацию. Компания позиционирует себя не просто как точка продажи кофе, а как место, где можно получить полноценный перекус, полезный завтрак или десерт ресторанного уровня в формате «на вынос».</w:t>
      </w:r>
    </w:p>
    <w:p w14:paraId="4320558A">
      <w:pPr>
        <w:spacing w:line="240" w:lineRule="auto"/>
        <w:ind w:firstLine="708" w:firstLineChars="0"/>
        <w:jc w:val="both"/>
        <w:rPr>
          <w:rFonts w:hint="default" w:ascii="Times New Roman" w:hAnsi="Times New Roman"/>
          <w:sz w:val="24"/>
          <w:szCs w:val="24"/>
        </w:rPr>
      </w:pPr>
      <w:r>
        <w:rPr>
          <w:rFonts w:hint="default" w:ascii="Times New Roman" w:hAnsi="Times New Roman"/>
          <w:sz w:val="24"/>
          <w:szCs w:val="24"/>
        </w:rPr>
        <w:t>Ключевые элементы идеи:</w:t>
      </w:r>
    </w:p>
    <w:p w14:paraId="19C6E70B">
      <w:pPr>
        <w:numPr>
          <w:ilvl w:val="0"/>
          <w:numId w:val="4"/>
        </w:numPr>
        <w:spacing w:line="240" w:lineRule="auto"/>
        <w:ind w:left="840" w:leftChars="0" w:hanging="420" w:firstLineChars="0"/>
        <w:jc w:val="both"/>
        <w:rPr>
          <w:rFonts w:hint="default" w:ascii="Times New Roman" w:hAnsi="Times New Roman"/>
          <w:sz w:val="24"/>
          <w:szCs w:val="24"/>
        </w:rPr>
      </w:pPr>
      <w:r>
        <w:rPr>
          <w:rFonts w:hint="default" w:ascii="Times New Roman" w:hAnsi="Times New Roman"/>
          <w:sz w:val="24"/>
          <w:szCs w:val="24"/>
        </w:rPr>
        <w:t>Широкая гастрономическая линейка: Помимо уникальных завертонов, в меню представлены круассаны, салаты, панини, десерты в баночках (собственного производства), что позволяет конкурировать с кофейнями и ресторанами.</w:t>
      </w:r>
    </w:p>
    <w:p w14:paraId="06F6A26A">
      <w:pPr>
        <w:numPr>
          <w:ilvl w:val="0"/>
          <w:numId w:val="4"/>
        </w:numPr>
        <w:spacing w:line="240" w:lineRule="auto"/>
        <w:ind w:left="840" w:leftChars="0" w:hanging="420" w:firstLineChars="0"/>
        <w:jc w:val="both"/>
        <w:rPr>
          <w:rFonts w:hint="default" w:ascii="Times New Roman" w:hAnsi="Times New Roman"/>
          <w:sz w:val="24"/>
          <w:szCs w:val="24"/>
        </w:rPr>
      </w:pPr>
      <w:r>
        <w:rPr>
          <w:rFonts w:hint="default" w:ascii="Times New Roman" w:hAnsi="Times New Roman"/>
          <w:sz w:val="24"/>
          <w:szCs w:val="24"/>
        </w:rPr>
        <w:t>Персонализация и инклюзивность: Предложение широкого спектра альтернативных видов молока (кокосовое, банановое, миндальное, безлактозное) и возможность кастомизации коктейлей (добавление пюре, фруктов, выбор основы) позволяет охватить аудиторию с разными вкусами и диетическими потребностями.</w:t>
      </w:r>
    </w:p>
    <w:p w14:paraId="0525F102">
      <w:pPr>
        <w:numPr>
          <w:ilvl w:val="0"/>
          <w:numId w:val="4"/>
        </w:numPr>
        <w:ind w:left="840" w:leftChars="0" w:hanging="420" w:firstLineChars="0"/>
        <w:jc w:val="both"/>
        <w:rPr>
          <w:rFonts w:hint="default" w:ascii="Times New Roman" w:hAnsi="Times New Roman"/>
          <w:sz w:val="24"/>
          <w:szCs w:val="24"/>
        </w:rPr>
      </w:pPr>
      <w:r>
        <w:rPr>
          <w:rFonts w:hint="default" w:ascii="Times New Roman" w:hAnsi="Times New Roman"/>
          <w:sz w:val="24"/>
          <w:szCs w:val="24"/>
        </w:rPr>
        <w:t xml:space="preserve">Здоровый образ жизни (ЗОЖ): Наличие смузи, матчи, </w:t>
      </w:r>
      <w:r>
        <w:rPr>
          <w:rFonts w:hint="default" w:ascii="Times New Roman" w:hAnsi="Times New Roman"/>
          <w:sz w:val="24"/>
          <w:szCs w:val="24"/>
          <w:lang w:val="ru-RU"/>
        </w:rPr>
        <w:t>чаёв</w:t>
      </w:r>
      <w:r>
        <w:rPr>
          <w:rFonts w:hint="default" w:ascii="Times New Roman" w:hAnsi="Times New Roman"/>
          <w:sz w:val="24"/>
          <w:szCs w:val="24"/>
        </w:rPr>
        <w:t xml:space="preserve"> и полезных десертов соответствует современным трендам.</w:t>
      </w:r>
    </w:p>
    <w:p w14:paraId="2BF7885F">
      <w:pPr>
        <w:numPr>
          <w:ilvl w:val="0"/>
          <w:numId w:val="4"/>
        </w:numPr>
        <w:ind w:left="840" w:leftChars="0" w:hanging="420" w:firstLineChars="0"/>
        <w:jc w:val="both"/>
        <w:rPr>
          <w:rFonts w:hint="default" w:ascii="Times New Roman" w:hAnsi="Times New Roman"/>
          <w:sz w:val="24"/>
          <w:szCs w:val="24"/>
        </w:rPr>
      </w:pPr>
      <w:r>
        <w:rPr>
          <w:rFonts w:hint="default" w:ascii="Times New Roman" w:hAnsi="Times New Roman"/>
          <w:sz w:val="24"/>
          <w:szCs w:val="24"/>
        </w:rPr>
        <w:t>Сезонность и обновление: Сезонное меню и разнообразие напитков (4 вида молочных коктейлей, чаи, смузи) стимулируют повторные посещения.</w:t>
      </w:r>
    </w:p>
    <w:p w14:paraId="26E45490">
      <w:pPr>
        <w:ind w:firstLine="708" w:firstLineChars="0"/>
        <w:jc w:val="both"/>
        <w:rPr>
          <w:rFonts w:hint="default" w:ascii="Times New Roman" w:hAnsi="Times New Roman"/>
          <w:sz w:val="24"/>
          <w:szCs w:val="24"/>
        </w:rPr>
      </w:pPr>
      <w:r>
        <w:rPr>
          <w:rFonts w:hint="default" w:ascii="Times New Roman" w:hAnsi="Times New Roman"/>
          <w:sz w:val="24"/>
          <w:szCs w:val="24"/>
        </w:rPr>
        <w:t>Миссия компании: «Мы делаем хороший кофе», которая является фундаментом, но дополняется неявной миссией «…и отличную еду для любого настроения и потребности».</w:t>
      </w:r>
    </w:p>
    <w:p w14:paraId="57643B44">
      <w:pPr>
        <w:spacing w:line="240" w:lineRule="auto"/>
        <w:ind w:firstLine="708" w:firstLineChars="0"/>
        <w:jc w:val="both"/>
        <w:rPr>
          <w:rFonts w:hint="default" w:ascii="Times New Roman" w:hAnsi="Times New Roman" w:cs="Times New Roman"/>
          <w:sz w:val="24"/>
          <w:szCs w:val="24"/>
        </w:rPr>
      </w:pPr>
      <w:r>
        <w:rPr>
          <w:rFonts w:hint="default" w:ascii="Times New Roman" w:hAnsi="Times New Roman" w:cs="Times New Roman"/>
          <w:sz w:val="24"/>
          <w:szCs w:val="24"/>
        </w:rPr>
        <w:t>Бизнес-модель компании (на основе Business Model Canvas)</w:t>
      </w:r>
    </w:p>
    <w:p w14:paraId="6BB45788">
      <w:pPr>
        <w:spacing w:line="240" w:lineRule="auto"/>
        <w:ind w:firstLine="708" w:firstLineChars="0"/>
        <w:jc w:val="both"/>
        <w:rPr>
          <w:rFonts w:hint="default" w:ascii="Times New Roman" w:hAnsi="Times New Roman" w:cs="Times New Roman"/>
          <w:sz w:val="24"/>
          <w:szCs w:val="24"/>
          <w:lang w:val="ru-RU"/>
        </w:rPr>
      </w:pPr>
      <w:r>
        <w:rPr>
          <w:rFonts w:hint="default" w:ascii="Times New Roman" w:hAnsi="Times New Roman" w:cs="Times New Roman"/>
          <w:sz w:val="24"/>
          <w:szCs w:val="24"/>
          <w:lang w:val="ru-RU"/>
        </w:rPr>
        <w:t>Бизнес-модель— это системное описание того, как компания создает, доставляет и захватывает ценность. Это логическая схема организации бизнеса, показывающая взаимосвязи между различными элементами предпринимательской деятельности.</w:t>
      </w:r>
    </w:p>
    <w:p w14:paraId="1DF8C469">
      <w:pPr>
        <w:spacing w:line="240" w:lineRule="auto"/>
        <w:ind w:firstLine="708" w:firstLineChars="0"/>
        <w:jc w:val="both"/>
        <w:rPr>
          <w:rFonts w:hint="default" w:ascii="Times New Roman" w:hAnsi="Times New Roman" w:cs="Times New Roman"/>
          <w:sz w:val="24"/>
          <w:szCs w:val="24"/>
        </w:rPr>
      </w:pPr>
      <w:r>
        <w:rPr>
          <w:rFonts w:hint="default" w:ascii="Times New Roman" w:hAnsi="Times New Roman" w:cs="Times New Roman"/>
          <w:sz w:val="24"/>
          <w:szCs w:val="24"/>
        </w:rPr>
        <w:t xml:space="preserve">За период 2022-2024 гг. бизнес-модель ИП «Coffee machine» претерпела значительную эволюцию, перейдя от реактивной адаптации к постпандемийным условиям к </w:t>
      </w:r>
      <w:r>
        <w:rPr>
          <w:rFonts w:hint="default" w:ascii="Times New Roman" w:hAnsi="Times New Roman" w:cs="Times New Roman"/>
          <w:sz w:val="24"/>
          <w:szCs w:val="24"/>
          <w:lang w:val="en-US"/>
        </w:rPr>
        <w:t>проективной</w:t>
      </w:r>
      <w:r>
        <w:rPr>
          <w:rFonts w:hint="default" w:ascii="Times New Roman" w:hAnsi="Times New Roman" w:cs="Times New Roman"/>
          <w:sz w:val="24"/>
          <w:szCs w:val="24"/>
        </w:rPr>
        <w:t xml:space="preserve"> стратегии роста и диверсификации.</w:t>
      </w:r>
    </w:p>
    <w:p w14:paraId="7E84096C">
      <w:pPr>
        <w:spacing w:line="240" w:lineRule="auto"/>
        <w:ind w:firstLine="708" w:firstLineChars="0"/>
        <w:jc w:val="both"/>
        <w:rPr>
          <w:rFonts w:hint="default" w:ascii="Times New Roman" w:hAnsi="Times New Roman"/>
          <w:sz w:val="24"/>
          <w:szCs w:val="24"/>
        </w:rPr>
      </w:pPr>
      <w:r>
        <w:rPr>
          <w:rFonts w:hint="default" w:ascii="Times New Roman" w:hAnsi="Times New Roman"/>
          <w:sz w:val="24"/>
          <w:szCs w:val="24"/>
        </w:rPr>
        <w:t>Успешный бизнес требует как сильной бизнес-идеи, так и продуманной бизнес-модели. Идея без работоспособной модели остается нереализованным потенциалом, в то время как модель без перспективной идеи обречена на неэффективность. В случае ИП Чудинова наблюдается успешная эволюция от простой идеи к сложной, многоуровневой бизнес-модели, что и обусловило предпринимательский успех.</w:t>
      </w:r>
    </w:p>
    <w:p w14:paraId="0FA0FC13">
      <w:pPr>
        <w:spacing w:line="240" w:lineRule="auto"/>
        <w:ind w:firstLine="708" w:firstLineChars="0"/>
        <w:jc w:val="both"/>
        <w:rPr>
          <w:rFonts w:hint="default" w:ascii="Times New Roman" w:hAnsi="Times New Roman" w:cs="Times New Roman"/>
          <w:sz w:val="24"/>
          <w:szCs w:val="24"/>
          <w:lang w:val="ru-RU"/>
        </w:rPr>
      </w:pPr>
      <w:r>
        <w:rPr>
          <w:rFonts w:hint="default" w:ascii="Times New Roman" w:hAnsi="Times New Roman" w:cs="Times New Roman"/>
          <w:sz w:val="24"/>
          <w:szCs w:val="24"/>
          <w:lang w:val="ru-RU"/>
        </w:rPr>
        <w:t>Таблица 1.</w:t>
      </w:r>
      <w:r>
        <w:rPr>
          <w:rFonts w:hint="default" w:ascii="Times New Roman" w:hAnsi="Times New Roman" w:cs="Times New Roman"/>
          <w:sz w:val="24"/>
          <w:szCs w:val="24"/>
        </w:rPr>
        <w:t>Ключевые изменения в бизнес-модели (2022-2024):</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4587"/>
      </w:tblGrid>
      <w:tr w14:paraId="607E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373FBBE">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Аспект бизнес-модели</w:t>
            </w:r>
          </w:p>
        </w:tc>
        <w:tc>
          <w:tcPr>
            <w:tcW w:w="2841" w:type="dxa"/>
          </w:tcPr>
          <w:p w14:paraId="5EC6AD60">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 xml:space="preserve">(Пост-ковидное восстановление) </w:t>
            </w:r>
          </w:p>
        </w:tc>
        <w:tc>
          <w:tcPr>
            <w:tcW w:w="4587" w:type="dxa"/>
          </w:tcPr>
          <w:p w14:paraId="712581AF">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2023-2024 годы (Стратегический рост и диверсификация)</w:t>
            </w:r>
          </w:p>
        </w:tc>
      </w:tr>
      <w:tr w14:paraId="4CE63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6757EEDF">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Ключевые виды деятельности</w:t>
            </w:r>
          </w:p>
        </w:tc>
        <w:tc>
          <w:tcPr>
            <w:tcW w:w="2841" w:type="dxa"/>
          </w:tcPr>
          <w:p w14:paraId="71C0174F">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 xml:space="preserve">Фокус на стабилизации работы автокафе, восстановлении потока клиентов. Запуск онлайн-продаж дрип-пакетов кофе. </w:t>
            </w:r>
          </w:p>
        </w:tc>
        <w:tc>
          <w:tcPr>
            <w:tcW w:w="4587" w:type="dxa"/>
          </w:tcPr>
          <w:p w14:paraId="7C246FDE">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Активное развитие суббрендов (Svarenn, Grizzly Grill, «Сытозавр»). Расширение производственных мощностей для готовой еды и полуфабрикатов.</w:t>
            </w:r>
          </w:p>
        </w:tc>
      </w:tr>
      <w:tr w14:paraId="2BB34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97AC46C">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Ценностное предложение</w:t>
            </w:r>
          </w:p>
        </w:tc>
        <w:tc>
          <w:tcPr>
            <w:tcW w:w="2841" w:type="dxa"/>
          </w:tcPr>
          <w:p w14:paraId="36F15BEE">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 xml:space="preserve"> «Безопасный и качественный кофе с собой». Акцент на удобство предзаказа через приложение. </w:t>
            </w:r>
          </w:p>
        </w:tc>
        <w:tc>
          <w:tcPr>
            <w:tcW w:w="4587" w:type="dxa"/>
          </w:tcPr>
          <w:p w14:paraId="3E758198">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«Гастрономическое автокафе». Широкий ассортимент (еда, десерты, напитки), персонализация, упор на локальные продукты и здоровое питание (смузи, матча).</w:t>
            </w:r>
          </w:p>
        </w:tc>
      </w:tr>
      <w:tr w14:paraId="4C3AC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2213A057">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Клиентские сегменты</w:t>
            </w:r>
          </w:p>
        </w:tc>
        <w:tc>
          <w:tcPr>
            <w:tcW w:w="2841" w:type="dxa"/>
          </w:tcPr>
          <w:p w14:paraId="09A97178">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Лояльная база клиентов, ищущих привычный сервис.</w:t>
            </w:r>
          </w:p>
        </w:tc>
        <w:tc>
          <w:tcPr>
            <w:tcW w:w="4587" w:type="dxa"/>
          </w:tcPr>
          <w:p w14:paraId="1E0C03E4">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Расширение аудитории: ценители гастрономии, приверженцы ЗОЖ, семьи, покупатели полуфабрикатов через розницу.</w:t>
            </w:r>
          </w:p>
        </w:tc>
      </w:tr>
      <w:tr w14:paraId="7D10D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25B122A">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Потоки поступления доходов</w:t>
            </w:r>
          </w:p>
        </w:tc>
        <w:tc>
          <w:tcPr>
            <w:tcW w:w="2841" w:type="dxa"/>
          </w:tcPr>
          <w:p w14:paraId="412AB797">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 xml:space="preserve">Продажи кофе и снэков в автокафе. </w:t>
            </w:r>
          </w:p>
        </w:tc>
        <w:tc>
          <w:tcPr>
            <w:tcW w:w="4587" w:type="dxa"/>
          </w:tcPr>
          <w:p w14:paraId="5D2338E0">
            <w:pPr>
              <w:widowControl w:val="0"/>
              <w:jc w:val="both"/>
              <w:rPr>
                <w:rFonts w:hint="default" w:ascii="Times New Roman" w:hAnsi="Times New Roman" w:cs="Times New Roman"/>
                <w:sz w:val="21"/>
                <w:szCs w:val="21"/>
                <w:vertAlign w:val="baseline"/>
              </w:rPr>
            </w:pPr>
            <w:r>
              <w:rPr>
                <w:rFonts w:hint="default" w:ascii="Times New Roman" w:hAnsi="Times New Roman"/>
                <w:sz w:val="21"/>
                <w:szCs w:val="21"/>
                <w:vertAlign w:val="baseline"/>
              </w:rPr>
              <w:t>Диверсификация доходов: Розничные продажи кофе, полуфабрикатов, готовых обедов; оптовые продажи суббрендов.</w:t>
            </w:r>
          </w:p>
        </w:tc>
      </w:tr>
    </w:tbl>
    <w:p w14:paraId="1EC44481">
      <w:pPr>
        <w:spacing w:line="240" w:lineRule="auto"/>
        <w:ind w:firstLine="708" w:firstLineChars="0"/>
        <w:jc w:val="both"/>
        <w:rPr>
          <w:rFonts w:hint="default" w:ascii="Times New Roman" w:hAnsi="Times New Roman"/>
          <w:sz w:val="24"/>
          <w:szCs w:val="24"/>
        </w:rPr>
      </w:pPr>
      <w:r>
        <w:rPr>
          <w:rFonts w:hint="default" w:ascii="Times New Roman" w:hAnsi="Times New Roman"/>
          <w:sz w:val="24"/>
          <w:szCs w:val="24"/>
        </w:rPr>
        <w:t>Анализ показывает переход от простой модели к сложной,многопрофильной. Компания успешно использовала свою клиентскую базу и инфраструктуру для запуска новых продуктовых линеек, создав несколько независимых потоков доходов. Это снизило зависимость от формата автокафе и позволило захватить новые рыночные ниши.</w:t>
      </w:r>
    </w:p>
    <w:p w14:paraId="7875BE7B">
      <w:pPr>
        <w:pStyle w:val="2"/>
        <w:bidi w:val="0"/>
        <w:ind w:firstLine="708" w:firstLineChars="0"/>
        <w:jc w:val="both"/>
        <w:rPr>
          <w:rFonts w:hint="default" w:ascii="Arial" w:hAnsi="Arial" w:cs="Arial"/>
          <w:color w:val="auto"/>
          <w:sz w:val="26"/>
          <w:szCs w:val="26"/>
          <w:lang w:eastAsia="ru-RU"/>
        </w:rPr>
      </w:pPr>
      <w:bookmarkStart w:id="12" w:name="_Toc9816"/>
      <w:r>
        <w:rPr>
          <w:rFonts w:hint="default" w:ascii="Arial" w:hAnsi="Arial" w:cs="Arial"/>
          <w:color w:val="auto"/>
          <w:sz w:val="26"/>
          <w:szCs w:val="26"/>
          <w:lang w:eastAsia="ru-RU"/>
        </w:rPr>
        <w:t>2.2. Необходимые меры для уменьшения вероятности рисков и их последствий</w:t>
      </w:r>
      <w:bookmarkEnd w:id="12"/>
      <w:r>
        <w:rPr>
          <w:rFonts w:hint="default" w:ascii="Arial" w:hAnsi="Arial" w:cs="Arial"/>
          <w:color w:val="auto"/>
          <w:sz w:val="26"/>
          <w:szCs w:val="26"/>
        </w:rPr>
        <w:t xml:space="preserve"> </w:t>
      </w:r>
    </w:p>
    <w:p w14:paraId="37452750">
      <w:pPr>
        <w:ind w:firstLine="708" w:firstLineChars="0"/>
        <w:jc w:val="both"/>
        <w:rPr>
          <w:rFonts w:hint="default" w:ascii="Times New Roman" w:hAnsi="Times New Roman"/>
          <w:sz w:val="24"/>
          <w:szCs w:val="24"/>
        </w:rPr>
      </w:pPr>
      <w:r>
        <w:rPr>
          <w:rFonts w:hint="default" w:ascii="Times New Roman" w:hAnsi="Times New Roman"/>
          <w:sz w:val="24"/>
          <w:szCs w:val="24"/>
        </w:rPr>
        <w:t>Меры по уменьшению вероятности рисков и их последствий — это комплекс организационных, технических, экономических и управленческих мероприятий, направленных на:</w:t>
      </w:r>
    </w:p>
    <w:p w14:paraId="59D9AFDD">
      <w:pPr>
        <w:numPr>
          <w:ilvl w:val="0"/>
          <w:numId w:val="4"/>
        </w:numPr>
        <w:ind w:left="840" w:leftChars="0" w:hanging="420" w:firstLineChars="0"/>
        <w:jc w:val="both"/>
        <w:rPr>
          <w:rFonts w:hint="default" w:ascii="Times New Roman" w:hAnsi="Times New Roman"/>
          <w:sz w:val="24"/>
          <w:szCs w:val="24"/>
        </w:rPr>
      </w:pPr>
      <w:r>
        <w:rPr>
          <w:rFonts w:hint="default" w:ascii="Times New Roman" w:hAnsi="Times New Roman"/>
          <w:sz w:val="24"/>
          <w:szCs w:val="24"/>
        </w:rPr>
        <w:t>Снижение вероятности наступления рискового события</w:t>
      </w:r>
    </w:p>
    <w:p w14:paraId="0A7BE1EE">
      <w:pPr>
        <w:numPr>
          <w:ilvl w:val="0"/>
          <w:numId w:val="4"/>
        </w:numPr>
        <w:ind w:left="840" w:leftChars="0" w:hanging="420" w:firstLineChars="0"/>
        <w:jc w:val="both"/>
        <w:rPr>
          <w:rFonts w:hint="default" w:ascii="Times New Roman" w:hAnsi="Times New Roman"/>
          <w:sz w:val="24"/>
          <w:szCs w:val="24"/>
        </w:rPr>
      </w:pPr>
      <w:r>
        <w:rPr>
          <w:rFonts w:hint="default" w:ascii="Times New Roman" w:hAnsi="Times New Roman"/>
          <w:sz w:val="24"/>
          <w:szCs w:val="24"/>
        </w:rPr>
        <w:t>Минимизацию негативных последствий в случае реализации риска</w:t>
      </w:r>
    </w:p>
    <w:p w14:paraId="1B995119">
      <w:pPr>
        <w:numPr>
          <w:ilvl w:val="0"/>
          <w:numId w:val="4"/>
        </w:numPr>
        <w:ind w:left="840" w:leftChars="0" w:hanging="420" w:firstLineChars="0"/>
        <w:jc w:val="both"/>
        <w:rPr>
          <w:rFonts w:hint="default" w:ascii="Times New Roman" w:hAnsi="Times New Roman"/>
          <w:sz w:val="24"/>
          <w:szCs w:val="24"/>
        </w:rPr>
      </w:pPr>
      <w:r>
        <w:rPr>
          <w:rFonts w:hint="default" w:ascii="Times New Roman" w:hAnsi="Times New Roman"/>
          <w:sz w:val="24"/>
          <w:szCs w:val="24"/>
        </w:rPr>
        <w:t>Создание механизмов быстрого восстановления нормальной деятельности</w:t>
      </w:r>
    </w:p>
    <w:p w14:paraId="05128258">
      <w:pPr>
        <w:numPr>
          <w:ilvl w:val="0"/>
          <w:numId w:val="0"/>
        </w:numPr>
        <w:ind w:left="420" w:leftChars="0" w:firstLine="704" w:firstLineChars="0"/>
        <w:jc w:val="both"/>
        <w:rPr>
          <w:rFonts w:hint="default" w:ascii="Times New Roman" w:hAnsi="Times New Roman"/>
          <w:sz w:val="24"/>
          <w:szCs w:val="24"/>
        </w:rPr>
      </w:pPr>
      <w:r>
        <w:rPr>
          <w:rFonts w:hint="default" w:ascii="Times New Roman" w:hAnsi="Times New Roman"/>
          <w:sz w:val="24"/>
          <w:szCs w:val="24"/>
        </w:rPr>
        <w:t>Эффективная система мер по уменьшению вероятности рисков и их последствий является ключевым элементом устойчивого развития бизнеса. Для ИП Чудинова особое значение имеют меры, направленные на управление операционными рисками, связанными со сложной производственной цепочкой и широким ассортиментом скоропортящейся продукции.</w:t>
      </w:r>
    </w:p>
    <w:p w14:paraId="5EAEA6DB">
      <w:pPr>
        <w:ind w:firstLine="708" w:firstLineChars="0"/>
        <w:jc w:val="both"/>
        <w:rPr>
          <w:rFonts w:hint="default" w:ascii="Times New Roman" w:hAnsi="Times New Roman"/>
          <w:sz w:val="24"/>
          <w:szCs w:val="24"/>
          <w:lang w:val="ru-RU"/>
        </w:rPr>
      </w:pPr>
      <w:r>
        <w:rPr>
          <w:rFonts w:hint="default" w:ascii="Times New Roman" w:hAnsi="Times New Roman"/>
          <w:sz w:val="24"/>
          <w:szCs w:val="24"/>
        </w:rPr>
        <w:t xml:space="preserve">Таблица </w:t>
      </w:r>
      <w:r>
        <w:rPr>
          <w:rFonts w:hint="default" w:ascii="Times New Roman" w:hAnsi="Times New Roman"/>
          <w:sz w:val="24"/>
          <w:szCs w:val="24"/>
          <w:lang w:val="ru-RU"/>
        </w:rPr>
        <w:t>2.</w:t>
      </w:r>
      <w:r>
        <w:rPr>
          <w:rFonts w:hint="default" w:ascii="Times New Roman" w:hAnsi="Times New Roman"/>
          <w:sz w:val="24"/>
          <w:szCs w:val="24"/>
        </w:rPr>
        <w:t>Динамика показателей управления товарными запасами</w:t>
      </w:r>
      <w:r>
        <w:rPr>
          <w:rFonts w:hint="default" w:ascii="Times New Roman" w:hAnsi="Times New Roman"/>
          <w:sz w:val="24"/>
          <w:szCs w:val="24"/>
          <w:lang w:val="ru-RU"/>
        </w:rPr>
        <w:t>:</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3424"/>
      </w:tblGrid>
      <w:tr w14:paraId="46FE9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0C337B2">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Показатель</w:t>
            </w:r>
          </w:p>
        </w:tc>
        <w:tc>
          <w:tcPr>
            <w:tcW w:w="1704" w:type="dxa"/>
          </w:tcPr>
          <w:p w14:paraId="7E0FA9C3">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2022 год</w:t>
            </w:r>
          </w:p>
        </w:tc>
        <w:tc>
          <w:tcPr>
            <w:tcW w:w="1704" w:type="dxa"/>
          </w:tcPr>
          <w:p w14:paraId="15F1E458">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2023 год</w:t>
            </w:r>
          </w:p>
        </w:tc>
        <w:tc>
          <w:tcPr>
            <w:tcW w:w="1705" w:type="dxa"/>
          </w:tcPr>
          <w:p w14:paraId="5DE315B6">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2024 год (план)</w:t>
            </w:r>
          </w:p>
        </w:tc>
        <w:tc>
          <w:tcPr>
            <w:tcW w:w="3424" w:type="dxa"/>
          </w:tcPr>
          <w:p w14:paraId="2EAE8BF7">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Анализ и выводы</w:t>
            </w:r>
          </w:p>
        </w:tc>
      </w:tr>
      <w:tr w14:paraId="4770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25210398">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Оборачиваемость запасов, (оборотов/год)</w:t>
            </w:r>
          </w:p>
        </w:tc>
        <w:tc>
          <w:tcPr>
            <w:tcW w:w="1704" w:type="dxa"/>
          </w:tcPr>
          <w:p w14:paraId="08138148">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25</w:t>
            </w:r>
          </w:p>
        </w:tc>
        <w:tc>
          <w:tcPr>
            <w:tcW w:w="1704" w:type="dxa"/>
          </w:tcPr>
          <w:p w14:paraId="1D002BAA">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22</w:t>
            </w:r>
          </w:p>
        </w:tc>
        <w:tc>
          <w:tcPr>
            <w:tcW w:w="1705" w:type="dxa"/>
          </w:tcPr>
          <w:p w14:paraId="2831CAE5">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20</w:t>
            </w:r>
          </w:p>
        </w:tc>
        <w:tc>
          <w:tcPr>
            <w:tcW w:w="3424" w:type="dxa"/>
          </w:tcPr>
          <w:p w14:paraId="4A112C1A">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Наблюдается замедление оборачиваемости. Анализ: Связано с расширением ассортимента (скоропортящиеся салаты, десерты) и созданием страховых запасов для суббрендов. Вывод: Необходимо внедрить более точные системы прогнозирования спроса по каждой категории товаров для оптимизации уровня запасов.</w:t>
            </w:r>
          </w:p>
        </w:tc>
      </w:tr>
      <w:tr w14:paraId="03A62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0CF9BA83">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Товарные потери, (% от оборота)</w:t>
            </w:r>
          </w:p>
        </w:tc>
        <w:tc>
          <w:tcPr>
            <w:tcW w:w="1704" w:type="dxa"/>
          </w:tcPr>
          <w:p w14:paraId="4BE535C6">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3.5%</w:t>
            </w:r>
          </w:p>
        </w:tc>
        <w:tc>
          <w:tcPr>
            <w:tcW w:w="1704" w:type="dxa"/>
          </w:tcPr>
          <w:p w14:paraId="0E3117D0">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4.8%</w:t>
            </w:r>
          </w:p>
        </w:tc>
        <w:tc>
          <w:tcPr>
            <w:tcW w:w="1705" w:type="dxa"/>
          </w:tcPr>
          <w:p w14:paraId="7988C5A9">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4.5%</w:t>
            </w:r>
          </w:p>
        </w:tc>
        <w:tc>
          <w:tcPr>
            <w:tcW w:w="3424" w:type="dxa"/>
          </w:tcPr>
          <w:p w14:paraId="4F6D224D">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Рост потерь в 2023 году. Анализ: Прямое следствие увеличения доли скоропортящейся продукции (свежие салаты, молочные коктейльные основы). Вывод: В 2024 году запланировано снижение за счет внедрения системы флэш-скидок через мобильное приложение и переработки нереализованной продукции (например, основы для смузи в соусы).</w:t>
            </w:r>
          </w:p>
        </w:tc>
      </w:tr>
      <w:tr w14:paraId="032B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038FC690">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Уровень сервиса (доступность товара), %</w:t>
            </w:r>
          </w:p>
        </w:tc>
        <w:tc>
          <w:tcPr>
            <w:tcW w:w="1704" w:type="dxa"/>
          </w:tcPr>
          <w:p w14:paraId="161DED05">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97%</w:t>
            </w:r>
          </w:p>
        </w:tc>
        <w:tc>
          <w:tcPr>
            <w:tcW w:w="1704" w:type="dxa"/>
          </w:tcPr>
          <w:p w14:paraId="31FFB82E">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95%</w:t>
            </w:r>
          </w:p>
        </w:tc>
        <w:tc>
          <w:tcPr>
            <w:tcW w:w="1705" w:type="dxa"/>
          </w:tcPr>
          <w:p w14:paraId="4E0ED61C">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96.5% (план)</w:t>
            </w:r>
          </w:p>
        </w:tc>
        <w:tc>
          <w:tcPr>
            <w:tcW w:w="3424" w:type="dxa"/>
          </w:tcPr>
          <w:p w14:paraId="640A33FE">
            <w:pPr>
              <w:widowControl w:val="0"/>
              <w:jc w:val="both"/>
              <w:rPr>
                <w:rFonts w:hint="default" w:ascii="Times New Roman" w:hAnsi="Times New Roman"/>
                <w:sz w:val="22"/>
                <w:szCs w:val="22"/>
                <w:vertAlign w:val="baseline"/>
                <w:lang w:val="ru-RU"/>
              </w:rPr>
            </w:pPr>
            <w:r>
              <w:rPr>
                <w:rFonts w:hint="default" w:ascii="Times New Roman" w:hAnsi="Times New Roman"/>
                <w:sz w:val="22"/>
                <w:szCs w:val="22"/>
                <w:vertAlign w:val="baseline"/>
                <w:lang w:val="ru-RU"/>
              </w:rPr>
              <w:t>Незначительное снижение в 2023 году. Анализ: Сложности в управлении широкой номенклатурой привели к учащению случаев отсутствия нужных ингредиентов. Вывод: Планируется повышение уровня сервиса за счет улучшения логистики и использования ПО для управления заказами.</w:t>
            </w:r>
          </w:p>
        </w:tc>
      </w:tr>
    </w:tbl>
    <w:p w14:paraId="3CCC6692">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Динамика показателей управления товарными запасами — это анализ изменений в эффективности использования запасов за определённый период (месяц, квартал, полугодие, год). Цель — оценить, насколько система управления запасами обеспечивает наличие товаров, отсутствие излишков и устаревание запасов. </w:t>
      </w:r>
    </w:p>
    <w:p w14:paraId="7B63A989">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Динамика показателей отслеживается по разным объектам: магазинам, товарным группам, регионам и т. д.. </w:t>
      </w:r>
    </w:p>
    <w:p w14:paraId="4855D4A5">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Показатели для анализа динамики управления товарными запасами используют, например:</w:t>
      </w:r>
    </w:p>
    <w:p w14:paraId="2886E6A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Коэффициент товарооборачиваемости (скорость оборачиваемости) — показывает, сколько раз за определённый период обновлялся средний запас товаров. Высокий коэффициент свидетельствует о эффективном управлении запасами, низкий — может указывать на затоваривание склада или замедление продаж. </w:t>
      </w:r>
    </w:p>
    <w:p w14:paraId="45DA4EE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Уровень устаревания запасов — рассчитывается на основе данных о длительности нахождения товаров на полке, ежемесячного объёма денежных средств, израсходованных на приобретение списываемых товаров. </w:t>
      </w:r>
    </w:p>
    <w:p w14:paraId="49F34613">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Коэффициент соотношения темпов роста товарных запасов и товарооборота — для эффективного развития темп роста товарооборота должен превышать темп роста запасов. </w:t>
      </w:r>
    </w:p>
    <w:p w14:paraId="2414165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Темп изменения товарных запасов на 1 рубль товарооборота (запасоёмкость) — для оценки эффективности коммерческой деятельности этот показатель в динамике должен снижаться. </w:t>
      </w:r>
    </w:p>
    <w:p w14:paraId="59FE1581">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Методы расчёта для анализа динамики показателей используют, например:</w:t>
      </w:r>
    </w:p>
    <w:p w14:paraId="262EF3A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Индексный метод — позволяет констатировать наличие изменений и оценить влияние на них различных факторов. Например, индекс среднего времени обращения товарных запасов отражает, насколько изменилась оборачиваемость по сравнению с прошлым периодом.</w:t>
      </w:r>
    </w:p>
    <w:p w14:paraId="3847CB73">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Индекс структурных сдвигов — отражает изменение оборачиваемости по магазину в целом в зависимости от изменений долей групп с разной оборачиваемостью.</w:t>
      </w:r>
    </w:p>
    <w:p w14:paraId="3C46F546">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Анализ динамики показателей помогает:</w:t>
      </w:r>
    </w:p>
    <w:p w14:paraId="37EA406E">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Выявить причины изменения — например, за счёт ускорения оборачиваемости отдельных товаров или товарных групп или в связи с изменением структуры товарных запасов. </w:t>
      </w:r>
    </w:p>
    <w:p w14:paraId="53B4C71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Определить тенденции — например, рост товарооборота на X% по сравнению с прошлым годом, преобладание продаж по каналу Y, снижение продаж товара Z. </w:t>
      </w:r>
    </w:p>
    <w:p w14:paraId="264FCF4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Сравнить фактические показатели с нормативными — это помогает выявить отклонения и разработать мероприятия по их улучшению. </w:t>
      </w:r>
    </w:p>
    <w:p w14:paraId="36CB57F1">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Оптимизация на основе анализа динамики показателей управления товарными запасами разрабатывают, например:</w:t>
      </w:r>
    </w:p>
    <w:p w14:paraId="04A37CC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Оптимизацию закупок — использование точных методов прогнозирования спроса, внедрение систем «точно в срок» (just-in-time) для снижения складских запасов.</w:t>
      </w:r>
    </w:p>
    <w:p w14:paraId="790DCDC5">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Управление ассортиментом — регулярный анализ SKU (артикулов), вывод из ассортимента неликвидных товаров и расширение позиций с высоким спросом.</w:t>
      </w:r>
    </w:p>
    <w:p w14:paraId="6D902EB1">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Оптимизацию логистики и выкладки — ускорение перемещения товаров от поставщика до полки, грамотная мерчандайзинговая выкладка для увеличения импульсных покупок.</w:t>
      </w:r>
    </w:p>
    <w:p w14:paraId="621D935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За трехлетний период ИП Чудинова удалось трансформировать подход к управлению рисками от фрагментарного к системному, что позволило существенно повысить устойчивость бизнеса и создать основу для дальнейшего роста.</w:t>
      </w:r>
    </w:p>
    <w:p w14:paraId="5317672C">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Таблица 3.Изменение структуры поставок сырья (2022-2024 гг.):</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1"/>
        <w:gridCol w:w="1704"/>
        <w:gridCol w:w="1704"/>
        <w:gridCol w:w="1705"/>
        <w:gridCol w:w="3004"/>
      </w:tblGrid>
      <w:tr w14:paraId="01493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1" w:type="dxa"/>
          </w:tcPr>
          <w:p w14:paraId="41CE5E2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Категория поставщиков</w:t>
            </w:r>
          </w:p>
        </w:tc>
        <w:tc>
          <w:tcPr>
            <w:tcW w:w="1704" w:type="dxa"/>
          </w:tcPr>
          <w:p w14:paraId="68DD17AB">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2022 год, %</w:t>
            </w:r>
          </w:p>
        </w:tc>
        <w:tc>
          <w:tcPr>
            <w:tcW w:w="1704" w:type="dxa"/>
          </w:tcPr>
          <w:p w14:paraId="337FF0CB">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2023 год, %</w:t>
            </w:r>
          </w:p>
        </w:tc>
        <w:tc>
          <w:tcPr>
            <w:tcW w:w="1705" w:type="dxa"/>
          </w:tcPr>
          <w:p w14:paraId="0FE167E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2024 год (план), %</w:t>
            </w:r>
          </w:p>
        </w:tc>
        <w:tc>
          <w:tcPr>
            <w:tcW w:w="3004" w:type="dxa"/>
          </w:tcPr>
          <w:p w14:paraId="1E41F19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и выводы</w:t>
            </w:r>
          </w:p>
        </w:tc>
      </w:tr>
      <w:tr w14:paraId="67962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1" w:type="dxa"/>
          </w:tcPr>
          <w:p w14:paraId="53F2C236">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Местные (дальневосточные) производители</w:t>
            </w:r>
          </w:p>
        </w:tc>
        <w:tc>
          <w:tcPr>
            <w:tcW w:w="1704" w:type="dxa"/>
          </w:tcPr>
          <w:p w14:paraId="1C2D784E">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25%</w:t>
            </w:r>
          </w:p>
        </w:tc>
        <w:tc>
          <w:tcPr>
            <w:tcW w:w="1704" w:type="dxa"/>
          </w:tcPr>
          <w:p w14:paraId="4A6C48B4">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35%</w:t>
            </w:r>
          </w:p>
        </w:tc>
        <w:tc>
          <w:tcPr>
            <w:tcW w:w="1705" w:type="dxa"/>
          </w:tcPr>
          <w:p w14:paraId="1B83CA08">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40%</w:t>
            </w:r>
          </w:p>
        </w:tc>
        <w:tc>
          <w:tcPr>
            <w:tcW w:w="3004" w:type="dxa"/>
          </w:tcPr>
          <w:p w14:paraId="76F81E1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Устойчивый рост доли локальных поставщиков. Вывод: Это является ключевым элементом стратегии, усиливая уникальность предложения (завертоны с гребешком, минтаем) и снижая логистические риски и издержки.</w:t>
            </w:r>
          </w:p>
        </w:tc>
      </w:tr>
      <w:tr w14:paraId="3B05D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1" w:type="dxa"/>
          </w:tcPr>
          <w:p w14:paraId="41EBF363">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Федеральные поставщики (кофе, упаковка, оборудование) </w:t>
            </w:r>
          </w:p>
        </w:tc>
        <w:tc>
          <w:tcPr>
            <w:tcW w:w="1704" w:type="dxa"/>
          </w:tcPr>
          <w:p w14:paraId="63394A0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60%</w:t>
            </w:r>
          </w:p>
        </w:tc>
        <w:tc>
          <w:tcPr>
            <w:tcW w:w="1704" w:type="dxa"/>
          </w:tcPr>
          <w:p w14:paraId="0E4D9ACE">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50%</w:t>
            </w:r>
          </w:p>
        </w:tc>
        <w:tc>
          <w:tcPr>
            <w:tcW w:w="1705" w:type="dxa"/>
          </w:tcPr>
          <w:p w14:paraId="5FE248AE">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45%</w:t>
            </w:r>
          </w:p>
        </w:tc>
        <w:tc>
          <w:tcPr>
            <w:tcW w:w="3004" w:type="dxa"/>
          </w:tcPr>
          <w:p w14:paraId="6E4D0CCE">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Доля сокращается в рамках стратегии импортозамещения и локализации. Вывод: Компания диверсифицирует риски, снижая зависимость от федеральных сетей поставок.</w:t>
            </w:r>
          </w:p>
        </w:tc>
      </w:tr>
      <w:tr w14:paraId="671C9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1" w:type="dxa"/>
          </w:tcPr>
          <w:p w14:paraId="31814675">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Импортные поставщики (сиропы, альтернативное молоко) </w:t>
            </w:r>
          </w:p>
        </w:tc>
        <w:tc>
          <w:tcPr>
            <w:tcW w:w="1704" w:type="dxa"/>
          </w:tcPr>
          <w:p w14:paraId="0A9E00D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15%</w:t>
            </w:r>
          </w:p>
        </w:tc>
        <w:tc>
          <w:tcPr>
            <w:tcW w:w="1704" w:type="dxa"/>
          </w:tcPr>
          <w:p w14:paraId="4658C21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15%</w:t>
            </w:r>
          </w:p>
        </w:tc>
        <w:tc>
          <w:tcPr>
            <w:tcW w:w="1705" w:type="dxa"/>
          </w:tcPr>
          <w:p w14:paraId="1989564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15%</w:t>
            </w:r>
          </w:p>
        </w:tc>
        <w:tc>
          <w:tcPr>
            <w:tcW w:w="3004" w:type="dxa"/>
          </w:tcPr>
          <w:p w14:paraId="27400B5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Доля стабильна. Вывод: Данная категория критична для обеспечения уникальности напитков (альтернативное молоко) и пока не имеет полноценных локальных аналогов сопоставимого качества.</w:t>
            </w:r>
          </w:p>
        </w:tc>
      </w:tr>
    </w:tbl>
    <w:p w14:paraId="466F30E9">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Изменение структуры поставок сырья в логистике (управление цепью поставок, Supply Chain Management, SCM) — это процесс оптимизации и координации всех этапов движения сырья от поставщиков до конечных потребителей. Цель — минимизировать издержки, связанные с производством, транспортировкой, хранением и распределением товаров, и обеспечить гибкость системы, способной адаптироваться к изменению спроса или кризисам. </w:t>
      </w:r>
    </w:p>
    <w:p w14:paraId="0E0D6B19">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Структура цепи поставок включает, например:</w:t>
      </w:r>
    </w:p>
    <w:p w14:paraId="5767A0F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Закупка сырья — обеспечение предприятия исходными материалами, комплектующими и сырьём, необходимыми для производства продукции.</w:t>
      </w:r>
    </w:p>
    <w:p w14:paraId="58592EC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Производственное планирование и контроль — планирование производственных мощностей, расписание работ, распределение сырья и материалов по производственным линиям.</w:t>
      </w:r>
    </w:p>
    <w:p w14:paraId="3132792D">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Управление запасами — поддержание оптимального уровня товарных запасов, который обеспечивает непрерывность производства и продаж без значительных излишков.</w:t>
      </w:r>
    </w:p>
    <w:p w14:paraId="2580516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Причины на изменение структуры поставок сырья влияют, например:</w:t>
      </w:r>
    </w:p>
    <w:p w14:paraId="67F28C7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Сезонность — например, для поддержания наличия части ассортиментных позиций требуется менять логистику в зависимости от времени года. </w:t>
      </w:r>
    </w:p>
    <w:p w14:paraId="55D03DD0">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Изменения в спросе — понимание реальной и потенциальной клиентской потребности позволяет избегать избытка запасов и дефицита на складе. </w:t>
      </w:r>
    </w:p>
    <w:p w14:paraId="5518FD32">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Доступность поставщиков — пересмотр логистических маршрутов для уменьшения расстояний и времени поставки. </w:t>
      </w:r>
    </w:p>
    <w:p w14:paraId="2E0EBE2C">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Колебания цен на рынке — заблаговременная информация о возможных перебоях в поставках позволяет подготовиться к ним заранее и не допустить отклонений от графика производства. </w:t>
      </w:r>
    </w:p>
    <w:p w14:paraId="780C0036">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Стратегии некоторые подходы к управлению изменением структуры поставок сырья:</w:t>
      </w:r>
    </w:p>
    <w:p w14:paraId="3641726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Централизованная модель — закупки и поставки контролируются из единого центра, что повышает контроль, но снижает гибкость.</w:t>
      </w:r>
    </w:p>
    <w:p w14:paraId="639CF71D">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Децентрализованная модель — локальные подразделения ведут самостоятельную работу с поставщиками, что ускоряет реакции на изменение спроса.</w:t>
      </w:r>
    </w:p>
    <w:p w14:paraId="4A4BE79E">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Гибридная стратегия — сочетается централизованный контроль с локальными возможностями подразделений.</w:t>
      </w:r>
    </w:p>
    <w:p w14:paraId="5AC1275A">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Также в стратегию включается контроль цепочки поставок: отслеживание KPI, управление рисками, аудит поставщиков. </w:t>
      </w:r>
    </w:p>
    <w:p w14:paraId="1F6210F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Методы для оптимизации структуры поставок сырья используются, например:</w:t>
      </w:r>
    </w:p>
    <w:p w14:paraId="35F26AF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Централизованное планирование спроса и предложения (S&amp;OP) — согласование прогнозов продаж, производства и логистики на единой платформе позволяет избежать дисбалансов.</w:t>
      </w:r>
    </w:p>
    <w:p w14:paraId="053C04B5">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Внедрение сквозной автоматизации — использование систем управления складом (WMS) для управления складом и систем управления транспортными процессами (TMS) для транспорта обеспечивает сквозную видимость и контроль.</w:t>
      </w:r>
    </w:p>
    <w:p w14:paraId="7934E80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Анализ данных и прогнозная аналитика — машинное обучение помогает предсказывать спрос, выявлять узкие места и моделировать сценарии развития событий.</w:t>
      </w:r>
    </w:p>
    <w:p w14:paraId="6DCFB93F">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Управление по принципу «точно в срок» (Just-in-Time) — минимизация запасов за счёт синхронизации поставок с производственными или торговыми циклами.</w:t>
      </w:r>
    </w:p>
    <w:p w14:paraId="4308A8BC">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Оценка эффективность управления изменением структуры поставок сырья оценивается по разным показателям, например:</w:t>
      </w:r>
    </w:p>
    <w:p w14:paraId="0482D3E7">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Общая стоимость логистики — включает затраты на транспортировку, складирование, упаковку и другие операции, связанные с перемещением товаров от поставщиков к потребителям.</w:t>
      </w:r>
    </w:p>
    <w:p w14:paraId="49D2C593">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Продолжительность логистического цикла — среднее время на выполнение одного заказа (доставки).</w:t>
      </w:r>
    </w:p>
    <w:p w14:paraId="4B9F6492">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Качество сервиса — субъективный параметр, который может оцениваться на основании обратной связи от заказчиков, клиентов, участников процесса.</w:t>
      </w:r>
    </w:p>
    <w:p w14:paraId="4195E171">
      <w:pPr>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Таблица 4.Динамика финансово-экономических показателей:</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3464"/>
      </w:tblGrid>
      <w:tr w14:paraId="5CA93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26DC680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Показатель </w:t>
            </w:r>
          </w:p>
        </w:tc>
        <w:tc>
          <w:tcPr>
            <w:tcW w:w="1704" w:type="dxa"/>
          </w:tcPr>
          <w:p w14:paraId="6A50D42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2022 год</w:t>
            </w:r>
          </w:p>
        </w:tc>
        <w:tc>
          <w:tcPr>
            <w:tcW w:w="1704" w:type="dxa"/>
          </w:tcPr>
          <w:p w14:paraId="72E13DFB">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2023 год</w:t>
            </w:r>
          </w:p>
        </w:tc>
        <w:tc>
          <w:tcPr>
            <w:tcW w:w="1705" w:type="dxa"/>
          </w:tcPr>
          <w:p w14:paraId="42AF2B6B">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2024 год (план)</w:t>
            </w:r>
          </w:p>
        </w:tc>
        <w:tc>
          <w:tcPr>
            <w:tcW w:w="3464" w:type="dxa"/>
          </w:tcPr>
          <w:p w14:paraId="6A91A77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и выводы</w:t>
            </w:r>
          </w:p>
        </w:tc>
      </w:tr>
      <w:tr w14:paraId="16D61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E589614">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Выручка, млн руб.</w:t>
            </w:r>
          </w:p>
        </w:tc>
        <w:tc>
          <w:tcPr>
            <w:tcW w:w="1704" w:type="dxa"/>
          </w:tcPr>
          <w:p w14:paraId="3A0DC4D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45.2</w:t>
            </w:r>
          </w:p>
        </w:tc>
        <w:tc>
          <w:tcPr>
            <w:tcW w:w="1704" w:type="dxa"/>
          </w:tcPr>
          <w:p w14:paraId="5ECC7F2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68.5</w:t>
            </w:r>
          </w:p>
        </w:tc>
        <w:tc>
          <w:tcPr>
            <w:tcW w:w="1705" w:type="dxa"/>
          </w:tcPr>
          <w:p w14:paraId="7B65878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92.0</w:t>
            </w:r>
          </w:p>
        </w:tc>
        <w:tc>
          <w:tcPr>
            <w:tcW w:w="3464" w:type="dxa"/>
          </w:tcPr>
          <w:p w14:paraId="64532616">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Темпы роста превышают 50% в год, что свидетельствует об успешной стратегии диверсификации и захвата рынка. Вывод: Рост обусловлен как открытием новых точек, так и увеличением среднего чека за счет продажи еды и полуфабрикатов.</w:t>
            </w:r>
          </w:p>
        </w:tc>
      </w:tr>
      <w:tr w14:paraId="5C3AF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6308015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Чистая прибыль, млн руб</w:t>
            </w:r>
          </w:p>
        </w:tc>
        <w:tc>
          <w:tcPr>
            <w:tcW w:w="1704" w:type="dxa"/>
          </w:tcPr>
          <w:p w14:paraId="3CC0F434">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4.1</w:t>
            </w:r>
          </w:p>
        </w:tc>
        <w:tc>
          <w:tcPr>
            <w:tcW w:w="1704" w:type="dxa"/>
          </w:tcPr>
          <w:p w14:paraId="2927DAD8">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5.8</w:t>
            </w:r>
          </w:p>
        </w:tc>
        <w:tc>
          <w:tcPr>
            <w:tcW w:w="1705" w:type="dxa"/>
          </w:tcPr>
          <w:p w14:paraId="66264EC6">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8.5</w:t>
            </w:r>
          </w:p>
        </w:tc>
        <w:tc>
          <w:tcPr>
            <w:tcW w:w="3464" w:type="dxa"/>
          </w:tcPr>
          <w:p w14:paraId="6578731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 Анализ: Прибыль растет, но темпы роста (41%) отстают от роста выручки (52% в 2023 г.). Вывод: Это указывает на рост операционных издержек, связанных со сложностью управления расширенным бизнесом.</w:t>
            </w:r>
          </w:p>
        </w:tc>
      </w:tr>
      <w:tr w14:paraId="48522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18389A7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Рентабельность по чистой прибыли (ROS), %</w:t>
            </w:r>
          </w:p>
        </w:tc>
        <w:tc>
          <w:tcPr>
            <w:tcW w:w="1704" w:type="dxa"/>
          </w:tcPr>
          <w:p w14:paraId="17EBA1E3">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9.1%</w:t>
            </w:r>
          </w:p>
        </w:tc>
        <w:tc>
          <w:tcPr>
            <w:tcW w:w="1704" w:type="dxa"/>
          </w:tcPr>
          <w:p w14:paraId="06AEC49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8.5%</w:t>
            </w:r>
          </w:p>
        </w:tc>
        <w:tc>
          <w:tcPr>
            <w:tcW w:w="1705" w:type="dxa"/>
          </w:tcPr>
          <w:p w14:paraId="0B9E53C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9.2%</w:t>
            </w:r>
          </w:p>
        </w:tc>
        <w:tc>
          <w:tcPr>
            <w:tcW w:w="3464" w:type="dxa"/>
          </w:tcPr>
          <w:p w14:paraId="55EBF22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Незначительное падение рентабельности в 2023 году. Вывод: Подтверждает вывод о росте издержек. План на 2024 год по повышению рентабельности связан с ожидаемым эффектом от масштабирования суббрендов и оптимизации логистики.</w:t>
            </w:r>
          </w:p>
        </w:tc>
      </w:tr>
      <w:tr w14:paraId="45416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549FF01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Средний чек, руб.</w:t>
            </w:r>
          </w:p>
        </w:tc>
        <w:tc>
          <w:tcPr>
            <w:tcW w:w="1704" w:type="dxa"/>
          </w:tcPr>
          <w:p w14:paraId="463059B3">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320</w:t>
            </w:r>
          </w:p>
        </w:tc>
        <w:tc>
          <w:tcPr>
            <w:tcW w:w="1704" w:type="dxa"/>
          </w:tcPr>
          <w:p w14:paraId="252A2BA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390</w:t>
            </w:r>
          </w:p>
        </w:tc>
        <w:tc>
          <w:tcPr>
            <w:tcW w:w="1705" w:type="dxa"/>
          </w:tcPr>
          <w:p w14:paraId="33F10FA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430</w:t>
            </w:r>
          </w:p>
        </w:tc>
        <w:tc>
          <w:tcPr>
            <w:tcW w:w="3464" w:type="dxa"/>
          </w:tcPr>
          <w:p w14:paraId="2A469E2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Уверенный рост. Вывод: Прямое следствие расширения ассортимента и смещения акцента на гастрономию, где цена позиций выше, чем у кофе.</w:t>
            </w:r>
          </w:p>
        </w:tc>
      </w:tr>
    </w:tbl>
    <w:p w14:paraId="25BC4FE7">
      <w:pPr>
        <w:bidi w:val="0"/>
        <w:spacing w:line="240" w:lineRule="auto"/>
        <w:ind w:firstLine="708" w:firstLineChars="0"/>
        <w:rPr>
          <w:rFonts w:hint="default" w:ascii="Times New Roman" w:hAnsi="Times New Roman"/>
          <w:lang w:eastAsia="ru-RU"/>
        </w:rPr>
      </w:pPr>
      <w:bookmarkStart w:id="13" w:name="_Toc5929"/>
      <w:r>
        <w:rPr>
          <w:rFonts w:hint="default" w:ascii="Times New Roman" w:hAnsi="Times New Roman"/>
          <w:lang w:eastAsia="ru-RU"/>
        </w:rPr>
        <w:t xml:space="preserve">Динамика финансово-экономических показателей — это изменение показателей во времени, определяемое путём составления и анализа рядов таких показателей. </w:t>
      </w:r>
    </w:p>
    <w:p w14:paraId="4EDC39EF">
      <w:pPr>
        <w:bidi w:val="0"/>
        <w:spacing w:line="240" w:lineRule="auto"/>
        <w:ind w:firstLine="708" w:firstLineChars="0"/>
        <w:rPr>
          <w:rFonts w:hint="default" w:ascii="Times New Roman" w:hAnsi="Times New Roman"/>
          <w:lang w:eastAsia="ru-RU"/>
        </w:rPr>
      </w:pPr>
      <w:r>
        <w:rPr>
          <w:rFonts w:hint="default" w:ascii="Times New Roman" w:hAnsi="Times New Roman"/>
          <w:lang w:eastAsia="ru-RU"/>
        </w:rPr>
        <w:t xml:space="preserve">В процессе анализа временного ряда отдельные значения одной и той же переменной, взятые в разные периоды времени, сравнивают между собой и выявляют тенденцию к росту или, наоборот, к уменьшению показателя. </w:t>
      </w:r>
    </w:p>
    <w:p w14:paraId="78969067">
      <w:pPr>
        <w:bidi w:val="0"/>
        <w:spacing w:line="240" w:lineRule="auto"/>
        <w:ind w:firstLine="708" w:firstLineChars="0"/>
        <w:rPr>
          <w:rFonts w:hint="default" w:ascii="Times New Roman" w:hAnsi="Times New Roman" w:cs="Times New Roman"/>
          <w:lang w:eastAsia="ru-RU"/>
        </w:rPr>
      </w:pPr>
      <w:r>
        <w:rPr>
          <w:rFonts w:hint="default" w:ascii="Times New Roman" w:hAnsi="Times New Roman"/>
          <w:lang w:eastAsia="ru-RU"/>
        </w:rPr>
        <w:t>В качестве такой переменной могут выступать различные экономические показатели: товарооборот, прибыль, ВВП, издержки обращения, товарные запасы, численность работников и т.д.</w:t>
      </w:r>
    </w:p>
    <w:p w14:paraId="25DFAC48">
      <w:pPr>
        <w:pStyle w:val="2"/>
        <w:bidi w:val="0"/>
        <w:spacing w:line="240" w:lineRule="auto"/>
        <w:ind w:firstLine="708" w:firstLineChars="0"/>
        <w:jc w:val="both"/>
        <w:rPr>
          <w:rFonts w:hint="default" w:ascii="Arial" w:hAnsi="Arial" w:cs="Arial"/>
          <w:color w:val="auto"/>
          <w:sz w:val="26"/>
          <w:szCs w:val="26"/>
          <w:lang w:val="ru-RU"/>
        </w:rPr>
      </w:pPr>
      <w:r>
        <w:rPr>
          <w:rFonts w:hint="default" w:ascii="Arial" w:hAnsi="Arial" w:cs="Arial"/>
          <w:color w:val="auto"/>
          <w:sz w:val="26"/>
          <w:szCs w:val="26"/>
          <w:lang w:eastAsia="ru-RU"/>
        </w:rPr>
        <w:t>2.3. Расчёт</w:t>
      </w:r>
      <w:r>
        <w:rPr>
          <w:rFonts w:hint="default" w:ascii="Arial" w:hAnsi="Arial" w:cs="Arial"/>
          <w:color w:val="auto"/>
          <w:sz w:val="26"/>
          <w:szCs w:val="26"/>
          <w:lang w:val="ru-RU"/>
        </w:rPr>
        <w:t xml:space="preserve"> рентабельности и меры по снижению рисков</w:t>
      </w:r>
      <w:bookmarkEnd w:id="13"/>
      <w:r>
        <w:rPr>
          <w:rFonts w:hint="default" w:ascii="Arial" w:hAnsi="Arial" w:cs="Arial"/>
          <w:color w:val="auto"/>
          <w:sz w:val="26"/>
          <w:szCs w:val="26"/>
          <w:lang w:val="ru-RU"/>
        </w:rPr>
        <w:t xml:space="preserve"> </w:t>
      </w:r>
    </w:p>
    <w:p w14:paraId="400E6F80">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Рентабельность— это относительный показатель экономической эффективности, характеризующий доходность различных видов деятельности и использования ресурсов.</w:t>
      </w:r>
    </w:p>
    <w:p w14:paraId="36FBAB4C">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Расчёт рентабельности и меры по снижению рисков являются взаимосвязанными элементами системы управления бизнесом. Для ИП Чудинова критически важно поддерживать баланс между достижением целевых показателей рентабельности и минимизацией рисков, возникающих при расширении ассортимента и диверсификации деятельности. Регулярный мониторинг и своевременная корректировка мер позволяют обеспечить устойчивое развитие бизнеса в долгосрочной перспективе.</w:t>
      </w:r>
    </w:p>
    <w:p w14:paraId="1EAEC9A6">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Таблица 5.Сезонная корректировка параметров управления запасами:</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3890"/>
      </w:tblGrid>
      <w:tr w14:paraId="49333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F440FD5">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Параметр / Сезон</w:t>
            </w:r>
          </w:p>
        </w:tc>
        <w:tc>
          <w:tcPr>
            <w:tcW w:w="2130" w:type="dxa"/>
          </w:tcPr>
          <w:p w14:paraId="4C734038">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Лето (Высокий спрос на холодное)</w:t>
            </w:r>
          </w:p>
        </w:tc>
        <w:tc>
          <w:tcPr>
            <w:tcW w:w="2131" w:type="dxa"/>
          </w:tcPr>
          <w:p w14:paraId="5B918BC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Зима (Высокий спрос на горячее)</w:t>
            </w:r>
          </w:p>
        </w:tc>
        <w:tc>
          <w:tcPr>
            <w:tcW w:w="3890" w:type="dxa"/>
          </w:tcPr>
          <w:p w14:paraId="61426405">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и выводы</w:t>
            </w:r>
          </w:p>
        </w:tc>
      </w:tr>
      <w:tr w14:paraId="41F4E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FFB13B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Коэффициент сезонности (К-т к среднему спросу)</w:t>
            </w:r>
          </w:p>
        </w:tc>
        <w:tc>
          <w:tcPr>
            <w:tcW w:w="2130" w:type="dxa"/>
          </w:tcPr>
          <w:p w14:paraId="73AFF3A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1.3</w:t>
            </w:r>
          </w:p>
        </w:tc>
        <w:tc>
          <w:tcPr>
            <w:tcW w:w="2131" w:type="dxa"/>
          </w:tcPr>
          <w:p w14:paraId="5CCD3EA0">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1.1</w:t>
            </w:r>
          </w:p>
        </w:tc>
        <w:tc>
          <w:tcPr>
            <w:tcW w:w="3890" w:type="dxa"/>
          </w:tcPr>
          <w:p w14:paraId="501CD0E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Летом спрос значительно выше. Вывод: Требуется увеличение объема закупок сырья для холодных напитков (овощи/фрукты для смузи, молоко для коктейлей) и страхового запаса.</w:t>
            </w:r>
          </w:p>
        </w:tc>
      </w:tr>
      <w:tr w14:paraId="6EAD8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2031D3B">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Приоритетные категории товаров</w:t>
            </w:r>
          </w:p>
        </w:tc>
        <w:tc>
          <w:tcPr>
            <w:tcW w:w="2130" w:type="dxa"/>
          </w:tcPr>
          <w:p w14:paraId="3897DEA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Смузи, холодные чаи, мороженое, легкие салаты.</w:t>
            </w:r>
          </w:p>
        </w:tc>
        <w:tc>
          <w:tcPr>
            <w:tcW w:w="2131" w:type="dxa"/>
          </w:tcPr>
          <w:p w14:paraId="3AD4F97E">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Горячие шоколады, капучино, панини, супы (в т.ч. розничные). </w:t>
            </w:r>
          </w:p>
        </w:tc>
        <w:tc>
          <w:tcPr>
            <w:tcW w:w="3890" w:type="dxa"/>
          </w:tcPr>
          <w:p w14:paraId="64B018D4">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Структура спроса кардинально меняется. Вывод: Необходимо гибкое планирование меню и закупок, перераспределение рекламного бюджета под сезонные позиции.</w:t>
            </w:r>
          </w:p>
        </w:tc>
      </w:tr>
      <w:tr w14:paraId="65D5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C1617C4">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Уровень страхового запаса</w:t>
            </w:r>
          </w:p>
        </w:tc>
        <w:tc>
          <w:tcPr>
            <w:tcW w:w="2130" w:type="dxa"/>
          </w:tcPr>
          <w:p w14:paraId="3E4558F0">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+20% к норме для сезонных позиций</w:t>
            </w:r>
          </w:p>
        </w:tc>
        <w:tc>
          <w:tcPr>
            <w:tcW w:w="2131" w:type="dxa"/>
          </w:tcPr>
          <w:p w14:paraId="736EDBE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+10% к норме для сезонных позиций</w:t>
            </w:r>
          </w:p>
        </w:tc>
        <w:tc>
          <w:tcPr>
            <w:tcW w:w="3890" w:type="dxa"/>
          </w:tcPr>
          <w:p w14:paraId="6C9CAE08">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Летом риски дефицита и потерь от недоступности товара выше. Вывод: Целесообразно нести более высокие затраты на хранение летом, чтобы не терять продажи.</w:t>
            </w:r>
          </w:p>
        </w:tc>
      </w:tr>
    </w:tbl>
    <w:p w14:paraId="5A527D8D">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Сезонная корректировка параметров управления запасами — это процесс адаптации стратегии управления запасами к сезонным колебаниям спроса на товары или услуги в течение года. Это позволяет: </w:t>
      </w:r>
    </w:p>
    <w:p w14:paraId="2ED9C0E4">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Оптимизировать уровень запасов в зависимости от времени года. </w:t>
      </w:r>
    </w:p>
    <w:p w14:paraId="14A11764">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Минимизировать риски избытка или дефицита продукции при сезонных колебаниях. </w:t>
      </w:r>
    </w:p>
    <w:p w14:paraId="2013F6BA">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Удовлетворять спрос в периоды повышенного спроса, связанные с сезонными факторами или особыми событиями. </w:t>
      </w:r>
    </w:p>
    <w:p w14:paraId="36327104">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Принцип сезонность требует специального подхода к расчёту параметров управления запасами. Вместо использования годовых средних показателей для расчёта среднего дневного спроса следует брать данные за сопоставимые периоды. Например, при планировании запасов на декабрь используют данные за прошлый декабрь, а не среднегодовые показатели. </w:t>
      </w:r>
    </w:p>
    <w:p w14:paraId="469E206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Методы некоторые методы сезонной корректировки:</w:t>
      </w:r>
    </w:p>
    <w:p w14:paraId="515319A0">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Прогнозирование спроса на основе исторических данных, тенденций рынка и сезонных колебаний. Используют методы анализа временных рядов, регрессионный анализ и моделирование. </w:t>
      </w:r>
    </w:p>
    <w:p w14:paraId="0669C2BE">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Разделение заказа на основную и дополнительную. Основной заказ производится при регулярном спросе через фиксированные интервалы времени, в период колебаний спроса — дополнительные заказы. </w:t>
      </w:r>
    </w:p>
    <w:p w14:paraId="6D5D25A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Учёт срока реализации при планировании объёма закупки. Закупают столько, чтобы хватило на весь сезон с небольшим запасом, но не сильно больше. </w:t>
      </w:r>
    </w:p>
    <w:p w14:paraId="5D2373E7">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Стратегии для разных типов сезонности используют разные стратегии управления запасами: </w:t>
      </w:r>
    </w:p>
    <w:p w14:paraId="49DFED4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Товары с ярко выраженной сезонностью (коэффициент &gt;2) — наращивают поставки за 1,5–2 месяца до сезона, поддерживают максимальный объём в «горячие» периоды, постепенно распродавают остатки к окончанию сезона.</w:t>
      </w:r>
    </w:p>
    <w:p w14:paraId="49F7EEC6">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Товары с умеренной сезонностью (коэффициент 1,3–2) — плавно увеличивают запасы перед пиковым периодом, снижают остатки при переходе в низкий сезон.</w:t>
      </w:r>
    </w:p>
    <w:p w14:paraId="4BC8BC2B">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Товары со слабой сезонностью (коэффициент &lt;1,3) — поддерживают стабильные остатки с незначительными корректировками, сосредотачиваются на высокой оборачиваемости и оптимизации процессов, а не на сезонных скачках.</w:t>
      </w:r>
    </w:p>
    <w:p w14:paraId="117D90D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Технологии современные системы управления запасами могут автоматически корректировать параметры на основе фактических данных о продажах и поставках. Например: </w:t>
      </w:r>
    </w:p>
    <w:p w14:paraId="0A699AE8">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Автоматическое обновление рекомендуемых объёмов пополнения и минимальных уровней хранения для каждого продукта на основе фактических данных.</w:t>
      </w:r>
    </w:p>
    <w:p w14:paraId="59F20572">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Генерация предупреждений при достижении критических уровней.</w:t>
      </w:r>
    </w:p>
    <w:p w14:paraId="264E4046">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Таблица 6.Исходные данные для расчета точки заказа и страхового запаса (на примере кофе «эспрессо blend», 2024 г.):</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4600"/>
      </w:tblGrid>
      <w:tr w14:paraId="4C664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F3D1361">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xml:space="preserve">Параметр </w:t>
            </w:r>
          </w:p>
        </w:tc>
        <w:tc>
          <w:tcPr>
            <w:tcW w:w="2841" w:type="dxa"/>
          </w:tcPr>
          <w:p w14:paraId="679BE01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Значение</w:t>
            </w:r>
          </w:p>
        </w:tc>
        <w:tc>
          <w:tcPr>
            <w:tcW w:w="4600" w:type="dxa"/>
          </w:tcPr>
          <w:p w14:paraId="2BDDA740">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и выводы</w:t>
            </w:r>
          </w:p>
        </w:tc>
      </w:tr>
      <w:tr w14:paraId="52E8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870BE1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Среднедневное потребление, кг</w:t>
            </w:r>
          </w:p>
        </w:tc>
        <w:tc>
          <w:tcPr>
            <w:tcW w:w="2841" w:type="dxa"/>
          </w:tcPr>
          <w:p w14:paraId="60FBF433">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5 кг</w:t>
            </w:r>
          </w:p>
        </w:tc>
        <w:tc>
          <w:tcPr>
            <w:tcW w:w="4600" w:type="dxa"/>
          </w:tcPr>
          <w:p w14:paraId="73F58FC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Рассчитывается на основе данных о продажах за предыдущий год.</w:t>
            </w:r>
          </w:p>
        </w:tc>
      </w:tr>
      <w:tr w14:paraId="26C81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741D2E0">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Время выполнения заказа (от поставщика), дней</w:t>
            </w:r>
          </w:p>
        </w:tc>
        <w:tc>
          <w:tcPr>
            <w:tcW w:w="2841" w:type="dxa"/>
          </w:tcPr>
          <w:p w14:paraId="019C7A8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7 дней</w:t>
            </w:r>
          </w:p>
        </w:tc>
        <w:tc>
          <w:tcPr>
            <w:tcW w:w="4600" w:type="dxa"/>
          </w:tcPr>
          <w:p w14:paraId="48064EC0">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Критичный параметр. Увеличение срока из-за логистики во Владивосток. Вывод: Необходимо поддерживать отношения с несколькими поставщиками на случай срыва поставок.</w:t>
            </w:r>
          </w:p>
        </w:tc>
      </w:tr>
      <w:tr w14:paraId="00813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43EFCEF">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Возможная задержка поставки, дней</w:t>
            </w:r>
          </w:p>
        </w:tc>
        <w:tc>
          <w:tcPr>
            <w:tcW w:w="2841" w:type="dxa"/>
          </w:tcPr>
          <w:p w14:paraId="2354D40D">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3 дня</w:t>
            </w:r>
          </w:p>
        </w:tc>
        <w:tc>
          <w:tcPr>
            <w:tcW w:w="4600" w:type="dxa"/>
          </w:tcPr>
          <w:p w14:paraId="42A41FE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Анализ: Учитываются риски таможенного оформления (для импорта) и погодных условий.</w:t>
            </w:r>
          </w:p>
        </w:tc>
      </w:tr>
      <w:tr w14:paraId="76CC4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A90991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Страховой запас, кг</w:t>
            </w:r>
          </w:p>
        </w:tc>
        <w:tc>
          <w:tcPr>
            <w:tcW w:w="2841" w:type="dxa"/>
          </w:tcPr>
          <w:p w14:paraId="4ECB3AF9">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(5 кг/день * 3 дня) = 15 кг</w:t>
            </w:r>
          </w:p>
        </w:tc>
        <w:tc>
          <w:tcPr>
            <w:tcW w:w="4600" w:type="dxa"/>
          </w:tcPr>
          <w:p w14:paraId="21791617">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Вывод: Этот запас защищает бизнес от срыва продаж в случае задержек.</w:t>
            </w:r>
          </w:p>
        </w:tc>
      </w:tr>
      <w:tr w14:paraId="0024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24395CD2">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Точка заказа, кг</w:t>
            </w:r>
          </w:p>
        </w:tc>
        <w:tc>
          <w:tcPr>
            <w:tcW w:w="2841" w:type="dxa"/>
          </w:tcPr>
          <w:p w14:paraId="5E47C6DC">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 (5 кг/день * 7 дней) + 15 кг = 50 кг</w:t>
            </w:r>
          </w:p>
        </w:tc>
        <w:tc>
          <w:tcPr>
            <w:tcW w:w="4600" w:type="dxa"/>
          </w:tcPr>
          <w:p w14:paraId="003EDF8A">
            <w:pPr>
              <w:widowControl w:val="0"/>
              <w:jc w:val="both"/>
              <w:rPr>
                <w:rFonts w:hint="default" w:ascii="Times New Roman" w:hAnsi="Times New Roman"/>
                <w:sz w:val="24"/>
                <w:szCs w:val="24"/>
                <w:vertAlign w:val="baseline"/>
                <w:lang w:val="ru-RU"/>
              </w:rPr>
            </w:pPr>
            <w:r>
              <w:rPr>
                <w:rFonts w:hint="default" w:ascii="Times New Roman" w:hAnsi="Times New Roman"/>
                <w:sz w:val="24"/>
                <w:szCs w:val="24"/>
                <w:vertAlign w:val="baseline"/>
                <w:lang w:val="ru-RU"/>
              </w:rPr>
              <w:t>Вывод: Когда запас на складе достигает 50 кг, необходимо размещать новый заказ. Это предотвращает возникновение дефицита.</w:t>
            </w:r>
          </w:p>
        </w:tc>
      </w:tr>
    </w:tbl>
    <w:p w14:paraId="0DDF74FD">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 xml:space="preserve">Точка заказа определяется как запас, необходимый на срок поставки. Для её расчёта нужно определить срок доставки товара от поставщика и рассчитать среднедневное потребление. Например, если поставки после перезаказа производятся быстро, минимальный запас будет небольшим, а если поставка товара происходит медленно (доставка из другого региона) — минимальный запас будет значительным. </w:t>
      </w:r>
    </w:p>
    <w:p w14:paraId="22846D98">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Страховой запас защищает от дефицита товара в период ожидания пополнения запаса. Для расчёта страхового запаса учитывают, в частности, следующие факторы:</w:t>
      </w:r>
    </w:p>
    <w:p w14:paraId="62647262">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Пределы колебаний спроса. Объём реализации между поставками берётся из текущей отчётности организации. Границы движения спроса определяются по анализу объёма реализации за длительный период (для определения средних и сезонных колебаний), прогнозу эффективности рекламной кампании (если повышенный спрос ожидается по итогам её проведения) или предельному объёму рынка (для подготовки к непрогнозируемому скачку спроса).</w:t>
      </w:r>
    </w:p>
    <w:p w14:paraId="3852EEC5">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Средний объём продаж. Позволяет оценить норму резерва с учётом страхового периода, в течение которого обеспечивается бесперебойность отгрузок. Расчётным периодом может быть один месяц, неделя, день или даже час.</w:t>
      </w:r>
    </w:p>
    <w:p w14:paraId="50C2AEF3">
      <w:pPr>
        <w:numPr>
          <w:ilvl w:val="0"/>
          <w:numId w:val="4"/>
        </w:numPr>
        <w:spacing w:line="240" w:lineRule="auto"/>
        <w:ind w:left="840" w:leftChars="0" w:hanging="420" w:firstLineChars="0"/>
        <w:jc w:val="both"/>
        <w:rPr>
          <w:rFonts w:hint="default" w:ascii="Times New Roman" w:hAnsi="Times New Roman"/>
          <w:sz w:val="24"/>
          <w:szCs w:val="24"/>
          <w:lang w:val="ru-RU"/>
        </w:rPr>
      </w:pPr>
      <w:r>
        <w:rPr>
          <w:rFonts w:hint="default" w:ascii="Times New Roman" w:hAnsi="Times New Roman"/>
          <w:sz w:val="24"/>
          <w:szCs w:val="24"/>
          <w:lang w:val="ru-RU"/>
        </w:rPr>
        <w:t>Среднее отклонение и уровень сервиса. Анализируются прогнозы продаж и фактическая реализация за прошедшие периоды. Если реальная потребность в какой-то период оказалась ниже прогноза, за него данные не учитываются. По остальным периодам определяется среднее отклонение по спросу.</w:t>
      </w:r>
    </w:p>
    <w:p w14:paraId="089D5BD7">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Формула расчёта точки заказа: Точка заказа = (Дневной спрос × Планируемое время выполнения заказа) + Страховой запас.</w:t>
      </w:r>
    </w:p>
    <w:p w14:paraId="565B4F00">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Общие выводы и меры по снижению рисков на 2024 год:</w:t>
      </w:r>
    </w:p>
    <w:p w14:paraId="72FB8C11">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На основе анализа данных за 2022-2024 годы можно сформулировать ключевые меры по снижению рисков:</w:t>
      </w:r>
    </w:p>
    <w:p w14:paraId="40F6D155">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1. Риск роста товарных потерь: Внедрить систему динамического ценообразования и флэш-акций в приложении для управления остатками скоропортящихся товаров.</w:t>
      </w:r>
    </w:p>
    <w:p w14:paraId="5C1D519F">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2. Риск срыва поставок: Формализовать договоры с дублирующими местными поставщиками для ключевых позиций (овощи для салатов, молочная продукция).</w:t>
      </w:r>
    </w:p>
    <w:p w14:paraId="0F6118D1">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3. Риск снижения рентабельности: Провести ABC-XYZ анализ всего ассортимента для определения низкомаржинальных и медленно оборачивающихся позиций с целью их оптимизации или вывода из меню.</w:t>
      </w:r>
    </w:p>
    <w:p w14:paraId="60935F7B">
      <w:pPr>
        <w:spacing w:line="240" w:lineRule="auto"/>
        <w:ind w:firstLine="708" w:firstLineChars="0"/>
        <w:jc w:val="both"/>
        <w:rPr>
          <w:rFonts w:hint="default" w:ascii="Times New Roman" w:hAnsi="Times New Roman"/>
          <w:sz w:val="24"/>
          <w:szCs w:val="24"/>
          <w:lang w:val="ru-RU"/>
        </w:rPr>
      </w:pPr>
      <w:r>
        <w:rPr>
          <w:rFonts w:hint="default" w:ascii="Times New Roman" w:hAnsi="Times New Roman"/>
          <w:sz w:val="24"/>
          <w:szCs w:val="24"/>
          <w:lang w:val="ru-RU"/>
        </w:rPr>
        <w:t>4. Операционный риск: Внедрить WMS (Warehouse Management System) для автоматизации управления запасами по всем точкам и субтрендам, что повысит оборачиваемость и уровень сервиса.</w:t>
      </w:r>
    </w:p>
    <w:p w14:paraId="4280FC09">
      <w:pPr>
        <w:jc w:val="both"/>
        <w:rPr>
          <w:rFonts w:ascii="Times New Roman" w:hAnsi="Times New Roman" w:eastAsia="Times New Roman" w:cs="Times New Roman"/>
          <w:color w:val="0F1115"/>
          <w:kern w:val="0"/>
          <w:lang w:eastAsia="ru-RU"/>
          <w14:ligatures w14:val="none"/>
        </w:rPr>
      </w:pPr>
      <w:r>
        <w:rPr>
          <w:rFonts w:ascii="Times New Roman" w:hAnsi="Times New Roman" w:eastAsia="Times New Roman" w:cs="Times New Roman"/>
          <w:color w:val="0F1115"/>
          <w:kern w:val="0"/>
          <w:lang w:eastAsia="ru-RU"/>
          <w14:ligatures w14:val="none"/>
        </w:rPr>
        <w:br w:type="page"/>
      </w:r>
    </w:p>
    <w:p w14:paraId="7C17EA87">
      <w:pPr>
        <w:pStyle w:val="2"/>
        <w:bidi w:val="0"/>
        <w:jc w:val="center"/>
        <w:rPr>
          <w:rFonts w:ascii="Arial" w:hAnsi="Arial" w:cs="Arial"/>
          <w:szCs w:val="28"/>
        </w:rPr>
      </w:pPr>
      <w:bookmarkStart w:id="14" w:name="_Toc2005"/>
      <w:r>
        <w:rPr>
          <w:rFonts w:hint="default" w:ascii="Arial" w:hAnsi="Arial" w:cs="Arial"/>
          <w:color w:val="auto"/>
          <w:sz w:val="36"/>
          <w:szCs w:val="36"/>
        </w:rPr>
        <w:t>Заключение</w:t>
      </w:r>
      <w:bookmarkEnd w:id="14"/>
    </w:p>
    <w:p w14:paraId="167293AF">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Опыт ИП «Coffee machine» под руководством К.Е. Чудиновой выходит за рамки частного случая успешного автобизнеса. Это комплексная стратегическая модель, демонстрирующая, как малый бизнес может не просто выживать в условиях насыщенного рынка, а формировать новые рыночные ниши и диктовать в них свои правила. Успех компании является прямым следствием эффективного управления треугольником «Инновации — Риски — Операционная эффективность».</w:t>
      </w:r>
    </w:p>
    <w:p w14:paraId="69ED4AE9">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1. От трансформации бизнес-модели к трансформации восприятия.</w:t>
      </w:r>
    </w:p>
    <w:p w14:paraId="790BF9C9">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Фундаментальным достижением«Coffee machine» стала не столько диверсификация ассортимента, сколько успешная смена ценностного предложения для клиента. Компания доказала, что формат </w:t>
      </w:r>
      <w:r>
        <w:rPr>
          <w:rFonts w:hint="default" w:ascii="Times New Roman" w:hAnsi="Times New Roman"/>
          <w:sz w:val="24"/>
          <w:szCs w:val="24"/>
          <w:lang w:val="ru-RU"/>
        </w:rPr>
        <w:t>автокафе</w:t>
      </w:r>
      <w:r>
        <w:rPr>
          <w:rFonts w:hint="default" w:ascii="Times New Roman" w:hAnsi="Times New Roman"/>
          <w:sz w:val="24"/>
          <w:szCs w:val="24"/>
        </w:rPr>
        <w:t xml:space="preserve"> может быть носителем не просто кофе, а целой гастрономической философии, основанной на качестве, свежести и уникальности. Это позволило совершить ключевой переход: от продажи функционального продукта (утолить голод и жажду) к продаже эмоционального опыта (получить удовольствие, сделать себе приятный перерыв, позаботиться о </w:t>
      </w:r>
      <w:r>
        <w:rPr>
          <w:rFonts w:hint="default" w:ascii="Times New Roman" w:hAnsi="Times New Roman"/>
          <w:sz w:val="24"/>
          <w:szCs w:val="24"/>
          <w:lang w:val="ru-RU"/>
        </w:rPr>
        <w:t>своём</w:t>
      </w:r>
      <w:r>
        <w:rPr>
          <w:rFonts w:hint="default" w:ascii="Times New Roman" w:hAnsi="Times New Roman"/>
          <w:sz w:val="24"/>
          <w:szCs w:val="24"/>
        </w:rPr>
        <w:t xml:space="preserve"> вкусе и здоровье). Такой подход кардинально повышает лояльность клиентов и </w:t>
      </w:r>
      <w:r>
        <w:rPr>
          <w:rFonts w:hint="default" w:ascii="Times New Roman" w:hAnsi="Times New Roman"/>
          <w:sz w:val="24"/>
          <w:szCs w:val="24"/>
          <w:lang w:val="ru-RU"/>
        </w:rPr>
        <w:t>создаёт</w:t>
      </w:r>
      <w:r>
        <w:rPr>
          <w:rFonts w:hint="default" w:ascii="Times New Roman" w:hAnsi="Times New Roman"/>
          <w:sz w:val="24"/>
          <w:szCs w:val="24"/>
        </w:rPr>
        <w:t xml:space="preserve"> прочный эмоциональный фундамент для долгосрочных отношений с брендом.</w:t>
      </w:r>
    </w:p>
    <w:p w14:paraId="52DEA1ED">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2. Создание «естественного барьера» для конкуренции через усложнение.</w:t>
      </w:r>
    </w:p>
    <w:p w14:paraId="7ED2E5C5">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Вместо того чтобы вступать в ценовую войну с сетями кофеен,«Coffee machine» сознательно пошла по пути усложнения своей операционной модели. Широкий ассортимент свежей гастрономии, требующий навыков поваров, сложной логистики и строгого контроля качества, создал высокий «естественный барьер» для входа и копирования. Скопировать один рецепт латте — просто. Воспроизвести всю экосистему — от прогнозирования спроса на салаты до выстраивания отношений с локальными поставщиками и управления товарными остатками — крайне сложно для стандартного вендингового оператора. Таким образом, компания защитила себя не юридическими патентами, а собственной операционной сложностью, </w:t>
      </w:r>
      <w:r>
        <w:rPr>
          <w:rFonts w:hint="default" w:ascii="Times New Roman" w:hAnsi="Times New Roman"/>
          <w:sz w:val="24"/>
          <w:szCs w:val="24"/>
          <w:lang w:val="ru-RU"/>
        </w:rPr>
        <w:t>превращённой</w:t>
      </w:r>
      <w:r>
        <w:rPr>
          <w:rFonts w:hint="default" w:ascii="Times New Roman" w:hAnsi="Times New Roman"/>
          <w:sz w:val="24"/>
          <w:szCs w:val="24"/>
        </w:rPr>
        <w:t xml:space="preserve"> в ключевой актив.</w:t>
      </w:r>
    </w:p>
    <w:p w14:paraId="1251378D">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3. Синергия креатива и системного управления как основа финансовой устойчивости.</w:t>
      </w:r>
    </w:p>
    <w:p w14:paraId="00821A63">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Наиболее важный урок заключается в том,что блестящая маркетинговая и продуктовая стратегия бесполезна без столь же блестящего операционного исполнения. «Coffee machine» наглядно показывает, что инновации и рутина — две стороны одной медали. Генерировать идеи новых десертов — это креативная задача. Но именно </w:t>
      </w:r>
      <w:r>
        <w:rPr>
          <w:rFonts w:hint="default" w:ascii="Times New Roman" w:hAnsi="Times New Roman"/>
          <w:sz w:val="24"/>
          <w:szCs w:val="24"/>
          <w:lang w:val="ru-RU"/>
        </w:rPr>
        <w:t>внедрённые</w:t>
      </w:r>
      <w:r>
        <w:rPr>
          <w:rFonts w:hint="default" w:ascii="Times New Roman" w:hAnsi="Times New Roman"/>
          <w:sz w:val="24"/>
          <w:szCs w:val="24"/>
        </w:rPr>
        <w:t xml:space="preserve"> системы (СОПы, прогнозирование, KPI) превращают эти идеи в стабильный денежный поток и минимизируют сопутствующие риски:</w:t>
      </w:r>
    </w:p>
    <w:p w14:paraId="6A5805DD">
      <w:pPr>
        <w:keepNext w:val="0"/>
        <w:keepLines w:val="0"/>
        <w:pageBreakBefore w:val="0"/>
        <w:widowControl/>
        <w:numPr>
          <w:ilvl w:val="0"/>
          <w:numId w:val="4"/>
        </w:numPr>
        <w:kinsoku/>
        <w:wordWrap/>
        <w:overflowPunct/>
        <w:topLinePunct w:val="0"/>
        <w:autoSpaceDE/>
        <w:autoSpaceDN/>
        <w:bidi w:val="0"/>
        <w:adjustRightInd/>
        <w:snapToGrid/>
        <w:spacing w:after="40" w:line="240" w:lineRule="auto"/>
        <w:ind w:left="840" w:leftChars="0" w:hanging="420"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Креатив привлекает клиентов и </w:t>
      </w:r>
      <w:r>
        <w:rPr>
          <w:rFonts w:hint="default" w:ascii="Times New Roman" w:hAnsi="Times New Roman"/>
          <w:sz w:val="24"/>
          <w:szCs w:val="24"/>
          <w:lang w:val="ru-RU"/>
        </w:rPr>
        <w:t>создаёт</w:t>
      </w:r>
      <w:r>
        <w:rPr>
          <w:rFonts w:hint="default" w:ascii="Times New Roman" w:hAnsi="Times New Roman"/>
          <w:sz w:val="24"/>
          <w:szCs w:val="24"/>
        </w:rPr>
        <w:t xml:space="preserve"> ажиотаж.</w:t>
      </w:r>
    </w:p>
    <w:p w14:paraId="46C7A809">
      <w:pPr>
        <w:keepNext w:val="0"/>
        <w:keepLines w:val="0"/>
        <w:pageBreakBefore w:val="0"/>
        <w:widowControl/>
        <w:numPr>
          <w:ilvl w:val="0"/>
          <w:numId w:val="4"/>
        </w:numPr>
        <w:kinsoku/>
        <w:wordWrap/>
        <w:overflowPunct/>
        <w:topLinePunct w:val="0"/>
        <w:autoSpaceDE/>
        <w:autoSpaceDN/>
        <w:bidi w:val="0"/>
        <w:adjustRightInd/>
        <w:snapToGrid/>
        <w:spacing w:after="40" w:line="240" w:lineRule="auto"/>
        <w:ind w:left="840" w:leftChars="0" w:hanging="420" w:firstLineChars="0"/>
        <w:jc w:val="both"/>
        <w:textAlignment w:val="auto"/>
        <w:rPr>
          <w:rFonts w:hint="default" w:ascii="Times New Roman" w:hAnsi="Times New Roman"/>
          <w:sz w:val="24"/>
          <w:szCs w:val="24"/>
        </w:rPr>
      </w:pPr>
      <w:r>
        <w:rPr>
          <w:rFonts w:hint="default" w:ascii="Times New Roman" w:hAnsi="Times New Roman"/>
          <w:sz w:val="24"/>
          <w:szCs w:val="24"/>
        </w:rPr>
        <w:t>Система обеспечивает рентабельность, предотвращая потери и обеспечивая стабильное качество.</w:t>
      </w:r>
    </w:p>
    <w:p w14:paraId="4EED586D">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Именно этот баланс позволил компании не скатиться в положение «гастрономического проекта для избранных», а оставаться финансово здоровым и растущим бизнесом.</w:t>
      </w:r>
    </w:p>
    <w:p w14:paraId="1F31B390">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4. Упреждающее управление рисками как конкурентное преимущество.</w:t>
      </w:r>
    </w:p>
    <w:p w14:paraId="0F05EAFE">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Вместо того чтобы реагировать на проблемы по мере их возникновения,«Coffee machine» выстроила культуру </w:t>
      </w:r>
      <w:r>
        <w:rPr>
          <w:rFonts w:hint="default" w:ascii="Times New Roman" w:hAnsi="Times New Roman"/>
          <w:sz w:val="24"/>
          <w:szCs w:val="24"/>
          <w:lang w:val="ru-RU"/>
        </w:rPr>
        <w:t>проективного</w:t>
      </w:r>
      <w:r>
        <w:rPr>
          <w:rFonts w:hint="default" w:ascii="Times New Roman" w:hAnsi="Times New Roman"/>
          <w:sz w:val="24"/>
          <w:szCs w:val="24"/>
        </w:rPr>
        <w:t xml:space="preserve"> риск-менеджмента. Осознав, что основные угрозы кроются в области логистики, контроля запасов и качества, компания внедрила инструменты для их заблаговременного устранения. Это превратило управление рисками из затратной функции в источник конкурентного преимущества. </w:t>
      </w:r>
      <w:r>
        <w:rPr>
          <w:rFonts w:hint="default" w:ascii="Times New Roman" w:hAnsi="Times New Roman"/>
          <w:sz w:val="24"/>
          <w:szCs w:val="24"/>
          <w:lang w:val="ru-RU"/>
        </w:rPr>
        <w:t>Надёжность</w:t>
      </w:r>
      <w:r>
        <w:rPr>
          <w:rFonts w:hint="default" w:ascii="Times New Roman" w:hAnsi="Times New Roman"/>
          <w:sz w:val="24"/>
          <w:szCs w:val="24"/>
        </w:rPr>
        <w:t xml:space="preserve"> и предсказуемость, обеспеченные этими системами, стали частью бренда, усиливая доверие клиентов.</w:t>
      </w:r>
    </w:p>
    <w:p w14:paraId="2DF8F6BD">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В итоге, кейс ИП «Coffee machine» является эталонной моделью для современного малого и среднего предпринимательства. Он доказывает, что в эпоху, когда товары и базовые услуги становятся товаром, побеждает тот, кто способен:</w:t>
      </w:r>
    </w:p>
    <w:p w14:paraId="20758773">
      <w:pPr>
        <w:keepNext w:val="0"/>
        <w:keepLines w:val="0"/>
        <w:pageBreakBefore w:val="0"/>
        <w:widowControl/>
        <w:numPr>
          <w:ilvl w:val="0"/>
          <w:numId w:val="4"/>
        </w:numPr>
        <w:kinsoku/>
        <w:wordWrap/>
        <w:overflowPunct/>
        <w:topLinePunct w:val="0"/>
        <w:autoSpaceDE/>
        <w:autoSpaceDN/>
        <w:bidi w:val="0"/>
        <w:adjustRightInd/>
        <w:snapToGrid/>
        <w:spacing w:after="40" w:line="240" w:lineRule="auto"/>
        <w:ind w:left="840" w:leftChars="0" w:hanging="420" w:firstLineChars="0"/>
        <w:jc w:val="both"/>
        <w:textAlignment w:val="auto"/>
        <w:rPr>
          <w:rFonts w:hint="default" w:ascii="Times New Roman" w:hAnsi="Times New Roman"/>
          <w:sz w:val="24"/>
          <w:szCs w:val="24"/>
        </w:rPr>
      </w:pPr>
      <w:r>
        <w:rPr>
          <w:rFonts w:hint="default" w:ascii="Times New Roman" w:hAnsi="Times New Roman"/>
          <w:sz w:val="24"/>
          <w:szCs w:val="24"/>
        </w:rPr>
        <w:t>Сформировать уникальное ценностное предложение, меняющее восприятие клиента.</w:t>
      </w:r>
    </w:p>
    <w:p w14:paraId="11E9EB6F">
      <w:pPr>
        <w:keepNext w:val="0"/>
        <w:keepLines w:val="0"/>
        <w:pageBreakBefore w:val="0"/>
        <w:widowControl/>
        <w:numPr>
          <w:ilvl w:val="0"/>
          <w:numId w:val="4"/>
        </w:numPr>
        <w:kinsoku/>
        <w:wordWrap/>
        <w:overflowPunct/>
        <w:topLinePunct w:val="0"/>
        <w:autoSpaceDE/>
        <w:autoSpaceDN/>
        <w:bidi w:val="0"/>
        <w:adjustRightInd/>
        <w:snapToGrid/>
        <w:spacing w:after="40" w:line="240" w:lineRule="auto"/>
        <w:ind w:left="840" w:leftChars="0" w:hanging="420" w:firstLineChars="0"/>
        <w:jc w:val="both"/>
        <w:textAlignment w:val="auto"/>
        <w:rPr>
          <w:rFonts w:hint="default" w:ascii="Times New Roman" w:hAnsi="Times New Roman"/>
          <w:sz w:val="24"/>
          <w:szCs w:val="24"/>
        </w:rPr>
      </w:pPr>
      <w:r>
        <w:rPr>
          <w:rFonts w:hint="default" w:ascii="Times New Roman" w:hAnsi="Times New Roman"/>
          <w:sz w:val="24"/>
          <w:szCs w:val="24"/>
        </w:rPr>
        <w:t>Сознательно усложнить свою модель, создав тем самым барьеры для конкурентов.</w:t>
      </w:r>
    </w:p>
    <w:p w14:paraId="6CB93545">
      <w:pPr>
        <w:keepNext w:val="0"/>
        <w:keepLines w:val="0"/>
        <w:pageBreakBefore w:val="0"/>
        <w:widowControl/>
        <w:numPr>
          <w:ilvl w:val="0"/>
          <w:numId w:val="4"/>
        </w:numPr>
        <w:kinsoku/>
        <w:wordWrap/>
        <w:overflowPunct/>
        <w:topLinePunct w:val="0"/>
        <w:autoSpaceDE/>
        <w:autoSpaceDN/>
        <w:bidi w:val="0"/>
        <w:adjustRightInd/>
        <w:snapToGrid/>
        <w:spacing w:after="40" w:line="240" w:lineRule="auto"/>
        <w:ind w:left="840" w:leftChars="0" w:hanging="420" w:firstLineChars="0"/>
        <w:jc w:val="both"/>
        <w:textAlignment w:val="auto"/>
        <w:rPr>
          <w:rFonts w:hint="default" w:ascii="Times New Roman" w:hAnsi="Times New Roman"/>
          <w:sz w:val="24"/>
          <w:szCs w:val="24"/>
        </w:rPr>
      </w:pPr>
      <w:r>
        <w:rPr>
          <w:rFonts w:hint="default" w:ascii="Times New Roman" w:hAnsi="Times New Roman"/>
          <w:sz w:val="24"/>
          <w:szCs w:val="24"/>
        </w:rPr>
        <w:t>Выстроить бесшовную синергию между генерацией идей и их системной</w:t>
      </w:r>
    </w:p>
    <w:p w14:paraId="4F19EEB6">
      <w:pPr>
        <w:keepNext w:val="0"/>
        <w:keepLines w:val="0"/>
        <w:pageBreakBefore w:val="0"/>
        <w:widowControl/>
        <w:kinsoku/>
        <w:wordWrap/>
        <w:overflowPunct/>
        <w:topLinePunct w:val="0"/>
        <w:autoSpaceDE/>
        <w:autoSpaceDN/>
        <w:bidi w:val="0"/>
        <w:adjustRightInd/>
        <w:snapToGrid/>
        <w:spacing w:after="40" w:line="240" w:lineRule="auto"/>
        <w:ind w:firstLine="708" w:firstLineChars="0"/>
        <w:jc w:val="both"/>
        <w:textAlignment w:val="auto"/>
        <w:rPr>
          <w:rFonts w:hint="default" w:ascii="Times New Roman" w:hAnsi="Times New Roman"/>
          <w:sz w:val="24"/>
          <w:szCs w:val="24"/>
        </w:rPr>
      </w:pPr>
      <w:r>
        <w:rPr>
          <w:rFonts w:hint="default" w:ascii="Times New Roman" w:hAnsi="Times New Roman"/>
          <w:sz w:val="24"/>
          <w:szCs w:val="24"/>
        </w:rPr>
        <w:t xml:space="preserve">История «Coffee machine» — это не история о счастливом случае, а о стратегическом, взвешенном и системном подходе к построению бизнеса, который изначально был готов к вызовам и сумел превратить их в точки своего роста. Этот опыт служит мощным подтверждением тому, что будущее малого бизнеса принадлежит не самым крупным или самым </w:t>
      </w:r>
      <w:r>
        <w:rPr>
          <w:rFonts w:hint="default" w:ascii="Times New Roman" w:hAnsi="Times New Roman"/>
          <w:sz w:val="24"/>
          <w:szCs w:val="24"/>
          <w:lang w:val="ru-RU"/>
        </w:rPr>
        <w:t>дешёвым</w:t>
      </w:r>
      <w:r>
        <w:rPr>
          <w:rFonts w:hint="default" w:ascii="Times New Roman" w:hAnsi="Times New Roman"/>
          <w:sz w:val="24"/>
          <w:szCs w:val="24"/>
        </w:rPr>
        <w:t>, а самым умным, гибким и системно мыслящим игрокам.</w:t>
      </w:r>
    </w:p>
    <w:p w14:paraId="2FF06CD5">
      <w:pPr>
        <w:rPr>
          <w:rFonts w:ascii="Times New Roman" w:hAnsi="Times New Roman" w:eastAsia="Times New Roman" w:cs="Times New Roman"/>
          <w:color w:val="0F1115"/>
          <w:kern w:val="0"/>
          <w:lang w:eastAsia="ru-RU"/>
          <w14:ligatures w14:val="none"/>
        </w:rPr>
      </w:pPr>
      <w:r>
        <w:rPr>
          <w:rFonts w:ascii="Times New Roman" w:hAnsi="Times New Roman" w:eastAsia="Times New Roman" w:cs="Times New Roman"/>
          <w:color w:val="0F1115"/>
          <w:kern w:val="0"/>
          <w:lang w:eastAsia="ru-RU"/>
          <w14:ligatures w14:val="none"/>
        </w:rPr>
        <w:br w:type="page"/>
      </w:r>
    </w:p>
    <w:p w14:paraId="0CB5BE06">
      <w:pPr>
        <w:pStyle w:val="2"/>
        <w:bidi w:val="0"/>
        <w:jc w:val="center"/>
        <w:rPr>
          <w:rFonts w:hint="default" w:ascii="Arial" w:hAnsi="Arial" w:cs="Arial"/>
          <w:color w:val="auto"/>
          <w:sz w:val="32"/>
          <w:szCs w:val="32"/>
        </w:rPr>
      </w:pPr>
      <w:bookmarkStart w:id="15" w:name="_Toc8998"/>
      <w:r>
        <w:rPr>
          <w:rFonts w:hint="default" w:ascii="Arial" w:hAnsi="Arial" w:cs="Arial"/>
          <w:color w:val="auto"/>
          <w:sz w:val="32"/>
          <w:szCs w:val="32"/>
        </w:rPr>
        <w:t>Список использованной источников</w:t>
      </w:r>
      <w:bookmarkEnd w:id="15"/>
    </w:p>
    <w:p w14:paraId="4246CECB">
      <w:pPr>
        <w:spacing w:line="240" w:lineRule="auto"/>
        <w:ind w:firstLine="708"/>
        <w:jc w:val="both"/>
        <w:rPr>
          <w:rFonts w:ascii="Times New Roman" w:hAnsi="Times New Roman"/>
          <w:sz w:val="24"/>
          <w:szCs w:val="24"/>
        </w:rPr>
      </w:pPr>
      <w:r>
        <w:rPr>
          <w:rFonts w:ascii="Times New Roman" w:hAnsi="Times New Roman"/>
          <w:sz w:val="24"/>
          <w:szCs w:val="24"/>
        </w:rPr>
        <w:t>1.Васильев, В. П.  Экономическая политика : учебник для вузов / В. П. Васильев, Ю. А. Холоденко. — 6-е изд., перераб. и доп. — Москва : Издательство Юрайт, 2026. — 159 с. — (Высшее образование). — ISBN 978-5-534-21241-9. — Текст : электронный // Образовательная платформа Юрайт [сайт]. — URL: https://urait.ru/bcode/581694 (дата обращения: 01.09.2025).</w:t>
      </w:r>
    </w:p>
    <w:p w14:paraId="3C610E00">
      <w:pPr>
        <w:spacing w:line="240" w:lineRule="auto"/>
        <w:ind w:firstLine="708"/>
        <w:jc w:val="both"/>
        <w:rPr>
          <w:rFonts w:ascii="Times New Roman" w:hAnsi="Times New Roman"/>
          <w:sz w:val="24"/>
          <w:szCs w:val="24"/>
        </w:rPr>
      </w:pPr>
      <w:r>
        <w:rPr>
          <w:rFonts w:ascii="Times New Roman" w:hAnsi="Times New Roman"/>
          <w:sz w:val="24"/>
          <w:szCs w:val="24"/>
        </w:rPr>
        <w:t xml:space="preserve"> 2.Герасимова, Е. Б., Анализ эффективности бизнеса=Business Performance Analysis : учебник / Е. Б. Герасимова. — Москва : КноРус, 2026. — 198 с. — ISBN 978-5-406-15162-4. — URL: https://book.ru/book/959255 (дата обращения: 09.09.2025). — Текст : электронный.</w:t>
      </w:r>
    </w:p>
    <w:p w14:paraId="66A7852C">
      <w:pPr>
        <w:spacing w:line="240" w:lineRule="auto"/>
        <w:ind w:firstLine="708"/>
        <w:jc w:val="both"/>
        <w:rPr>
          <w:rFonts w:ascii="Times New Roman" w:hAnsi="Times New Roman"/>
          <w:sz w:val="24"/>
          <w:szCs w:val="24"/>
        </w:rPr>
      </w:pPr>
      <w:r>
        <w:rPr>
          <w:rFonts w:ascii="Times New Roman" w:hAnsi="Times New Roman"/>
          <w:sz w:val="24"/>
          <w:szCs w:val="24"/>
        </w:rPr>
        <w:t>3.Бариленко, В. И., Аналитическое обоснование конкурентоспособных бизнес-моделей : учебное пособие / В. И. Бариленко, В. В. Бердников, О. Ю. Гавель, Ч. В. Керимова. — Москва : Русайнс, 2026. — 308 с. — ISBN 978-5-466-09939-3. — URL: https://book.ru/book/959313 (дата обращения: 09.09.2025). — Текст : электронный.</w:t>
      </w:r>
    </w:p>
    <w:p w14:paraId="6AD6753B">
      <w:pPr>
        <w:spacing w:line="240" w:lineRule="auto"/>
        <w:ind w:firstLine="708"/>
        <w:jc w:val="both"/>
        <w:rPr>
          <w:rFonts w:ascii="Times New Roman" w:hAnsi="Times New Roman"/>
          <w:sz w:val="24"/>
          <w:szCs w:val="24"/>
        </w:rPr>
      </w:pPr>
      <w:r>
        <w:rPr>
          <w:rFonts w:ascii="Times New Roman" w:hAnsi="Times New Roman"/>
          <w:sz w:val="24"/>
          <w:szCs w:val="24"/>
        </w:rPr>
        <w:t>4.Данилова, Н. Л., Комплексный экономический анализ хозяйственной деятельности : учебное пособие / Н. Л. Данилова, Т. А. Леванова. — Москва : Русайнс, 2026. — 128 с. — ISBN 978-5-466-09773-3. — URL: https://book.ru/book/959476 (дата обращения: 09.09.2025). — Текст : электронный.</w:t>
      </w:r>
    </w:p>
    <w:p w14:paraId="66CE2E91">
      <w:pPr>
        <w:spacing w:line="240" w:lineRule="auto"/>
        <w:ind w:firstLine="708"/>
        <w:jc w:val="both"/>
        <w:rPr>
          <w:rFonts w:ascii="Times New Roman" w:hAnsi="Times New Roman" w:cs="Times New Roman"/>
        </w:rPr>
      </w:pPr>
      <w:r>
        <w:rPr>
          <w:rFonts w:ascii="Times New Roman" w:hAnsi="Times New Roman"/>
          <w:sz w:val="24"/>
          <w:szCs w:val="24"/>
        </w:rPr>
        <w:t>5.Попова, Е. В., Менеджмент: бизнес-процессы в организации : учебное пособие / Е. В. Попова, А. В. Курамшина. — Москва : Русайнс, 2026. — 133 с. — ISBN 978-5-466-09615-6. — URL: https://book.ru/book/958730 (дата обращения: 09.09.2025). — Текст : электронный</w:t>
      </w:r>
    </w:p>
    <w:sectPr>
      <w:footerReference r:id="rId9" w:type="first"/>
      <w:footerReference r:id="rId8" w:type="default"/>
      <w:pgSz w:w="11906" w:h="16838"/>
      <w:pgMar w:top="1134" w:right="567" w:bottom="1134" w:left="1134" w:header="709" w:footer="709" w:gutter="0"/>
      <w:pgNumType w:fmt="decimal" w:start="3"/>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ptos">
    <w:altName w:val="SimSun"/>
    <w:panose1 w:val="00000000000000000000"/>
    <w:charset w:val="86"/>
    <w:family w:val="swiss"/>
    <w:pitch w:val="default"/>
    <w:sig w:usb0="00000000" w:usb1="00000000" w:usb2="00000000" w:usb3="00000000" w:csb0="0000019F" w:csb1="00000000"/>
  </w:font>
  <w:font w:name="Aptos">
    <w:altName w:val="SimSun"/>
    <w:panose1 w:val="00000000000000000000"/>
    <w:charset w:val="86"/>
    <w:family w:val="auto"/>
    <w:pitch w:val="default"/>
    <w:sig w:usb0="00000000" w:usb1="00000000" w:usb2="00000000" w:usb3="00000000" w:csb0="00000000"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968AB">
    <w:pPr>
      <w:pStyle w:val="17"/>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Текстовое поле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07BCC9">
                          <w:pPr>
                            <w:rPr>
                              <w:rFonts w:hint="default"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zSVju0AAAAAUBAAAPAAAAAAAAAAEAIAAAACIAAABkcnMvZG93&#10;bnJldi54bWxQSwECFAAUAAAACACHTuJA0UWzfEECAABzBAAADgAAAAAAAAABACAAAAAfAQAAZHJz&#10;L2Uyb0RvYy54bWxQSwUGAAAAAAYABgBZAQAA0gUAAAAA&#10;">
              <v:fill on="f" focussize="0,0"/>
              <v:stroke on="f" weight="0.5pt"/>
              <v:imagedata o:title=""/>
              <o:lock v:ext="edit" aspectratio="f"/>
              <v:textbox inset="0mm,0mm,0mm,0mm" style="mso-fit-shape-to-text:t;">
                <w:txbxContent>
                  <w:p w14:paraId="0D07BCC9">
                    <w:pPr>
                      <w:rPr>
                        <w:rFonts w:hint="default" w:ascii="Times New Roman" w:hAnsi="Times New Roman" w:cs="Times New Roma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88EEF">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9EC42">
    <w:pPr>
      <w:pStyle w:val="17"/>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Текстовое поле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46402E">
                          <w:pPr>
                            <w:pStyle w:val="17"/>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NJWO7QAAAABQEAAA8AAAAAAAAAAQAgAAAAIgAAAGRycy9kb3du&#10;cmV2LnhtbFBLAQIUABQAAAAIAIdO4kCS1dgZQAIAAHUEAAAOAAAAAAAAAAEAIAAAAB8BAABkcnMv&#10;ZTJvRG9jLnhtbFBLBQYAAAAABgAGAFkBAADRBQAAAAA=&#10;">
              <v:fill on="f" focussize="0,0"/>
              <v:stroke on="f" weight="0.5pt"/>
              <v:imagedata o:title=""/>
              <o:lock v:ext="edit" aspectratio="f"/>
              <v:textbox inset="0mm,0mm,0mm,0mm" style="mso-fit-shape-to-text:t;">
                <w:txbxContent>
                  <w:p w14:paraId="7946402E">
                    <w:pPr>
                      <w:pStyle w:val="17"/>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Текстовое поле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F3288">
                          <w:pPr>
                            <w:rPr>
                              <w:rFonts w:hint="default" w:ascii="Times New Roman" w:hAnsi="Times New Roman" w:cs="Times New Roma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s0lY7tAAAAAFAQAADwAAAAAAAAABACAAAAAiAAAAZHJzL2Rvd25y&#10;ZXYueG1sUEsBAhQAFAAAAAgAh07iQLiwfZI/AgAAdQQAAA4AAAAAAAAAAQAgAAAAHwEAAGRycy9l&#10;Mm9Eb2MueG1sUEsFBgAAAAAGAAYAWQEAANAFAAAAAA==&#10;">
              <v:fill on="f" focussize="0,0"/>
              <v:stroke on="f" weight="0.5pt"/>
              <v:imagedata o:title=""/>
              <o:lock v:ext="edit" aspectratio="f"/>
              <v:textbox inset="0mm,0mm,0mm,0mm" style="mso-fit-shape-to-text:t;">
                <w:txbxContent>
                  <w:p w14:paraId="10BF3288">
                    <w:pPr>
                      <w:rPr>
                        <w:rFonts w:hint="default" w:ascii="Times New Roman" w:hAnsi="Times New Roman" w:cs="Times New Roma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7EEDA">
    <w:pPr>
      <w:pStyle w:val="17"/>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Текстовое поле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DC9FD7">
                          <w:pPr>
                            <w:pStyle w:val="1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zSVju0AAAAAUBAAAPAAAAAAAAAAEAIAAAACIAAABkcnMvZG93&#10;bnJldi54bWxQSwECFAAUAAAACACHTuJA0UMrg0ECAAB1BAAADgAAAAAAAAABACAAAAAfAQAAZHJz&#10;L2Uyb0RvYy54bWxQSwUGAAAAAAYABgBZAQAA0gUAAAAA&#10;">
              <v:fill on="f" focussize="0,0"/>
              <v:stroke on="f" weight="0.5pt"/>
              <v:imagedata o:title=""/>
              <o:lock v:ext="edit" aspectratio="f"/>
              <v:textbox inset="0mm,0mm,0mm,0mm" style="mso-fit-shape-to-text:t;">
                <w:txbxContent>
                  <w:p w14:paraId="06DC9FD7">
                    <w:pPr>
                      <w:pStyle w:val="1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192B7">
    <w:pPr>
      <w:pStyle w:val="17"/>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Текстовое поле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206C94">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0lY7tAAAAAFAQAADwAAAAAAAAABACAAAAAiAAAAZHJzL2Rv&#10;d25yZXYueG1sUEsBAhQAFAAAAAgAh07iQIPSIQlCAgAAdQQAAA4AAAAAAAAAAQAgAAAAHwEAAGRy&#10;cy9lMm9Eb2MueG1sUEsFBgAAAAAGAAYAWQEAANMFAAAAAA==&#10;">
              <v:fill on="f" focussize="0,0"/>
              <v:stroke on="f" weight="0.5pt"/>
              <v:imagedata o:title=""/>
              <o:lock v:ext="edit" aspectratio="f"/>
              <v:textbox inset="0mm,0mm,0mm,0mm" style="mso-fit-shape-to-text:t;">
                <w:txbxContent>
                  <w:p w14:paraId="49206C94">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43234"/>
    <w:multiLevelType w:val="multilevel"/>
    <w:tmpl w:val="EFE43234"/>
    <w:lvl w:ilvl="0" w:tentative="0">
      <w:start w:val="1"/>
      <w:numFmt w:val="bullet"/>
      <w:lvlText w:val=""/>
      <w:lvlJc w:val="left"/>
      <w:pPr>
        <w:tabs>
          <w:tab w:val="left" w:pos="840"/>
        </w:tabs>
        <w:ind w:left="840" w:leftChars="0" w:hanging="420" w:firstLineChars="0"/>
      </w:pPr>
      <w:rPr>
        <w:rFonts w:hint="default" w:ascii="Wingdings" w:hAnsi="Wingdings"/>
        <w:sz w:val="11"/>
        <w:szCs w:val="11"/>
      </w:rPr>
    </w:lvl>
    <w:lvl w:ilvl="1" w:tentative="0">
      <w:start w:val="1"/>
      <w:numFmt w:val="bullet"/>
      <w:lvlText w:val=""/>
      <w:lvlJc w:val="left"/>
      <w:pPr>
        <w:tabs>
          <w:tab w:val="left" w:pos="840"/>
        </w:tabs>
        <w:ind w:left="1260" w:leftChars="0" w:hanging="420" w:firstLineChars="0"/>
      </w:pPr>
      <w:rPr>
        <w:rFonts w:hint="default" w:ascii="Wingdings" w:hAnsi="Wingdings"/>
      </w:rPr>
    </w:lvl>
    <w:lvl w:ilvl="2" w:tentative="0">
      <w:start w:val="1"/>
      <w:numFmt w:val="bullet"/>
      <w:lvlText w:val=""/>
      <w:lvlJc w:val="left"/>
      <w:pPr>
        <w:tabs>
          <w:tab w:val="left" w:pos="1260"/>
        </w:tabs>
        <w:ind w:left="1680" w:leftChars="0" w:hanging="420" w:firstLineChars="0"/>
      </w:pPr>
      <w:rPr>
        <w:rFonts w:hint="default" w:ascii="Wingdings" w:hAnsi="Wingdings"/>
      </w:rPr>
    </w:lvl>
    <w:lvl w:ilvl="3" w:tentative="0">
      <w:start w:val="1"/>
      <w:numFmt w:val="bullet"/>
      <w:lvlText w:val=""/>
      <w:lvlJc w:val="left"/>
      <w:pPr>
        <w:tabs>
          <w:tab w:val="left" w:pos="1680"/>
        </w:tabs>
        <w:ind w:left="2100" w:leftChars="0" w:hanging="420" w:firstLineChars="0"/>
      </w:pPr>
      <w:rPr>
        <w:rFonts w:hint="default" w:ascii="Wingdings" w:hAnsi="Wingdings"/>
      </w:rPr>
    </w:lvl>
    <w:lvl w:ilvl="4" w:tentative="0">
      <w:start w:val="1"/>
      <w:numFmt w:val="bullet"/>
      <w:lvlText w:val=""/>
      <w:lvlJc w:val="left"/>
      <w:pPr>
        <w:tabs>
          <w:tab w:val="left" w:pos="2100"/>
        </w:tabs>
        <w:ind w:left="2520" w:leftChars="0" w:hanging="420" w:firstLineChars="0"/>
      </w:pPr>
      <w:rPr>
        <w:rFonts w:hint="default" w:ascii="Wingdings" w:hAnsi="Wingdings"/>
      </w:rPr>
    </w:lvl>
    <w:lvl w:ilvl="5" w:tentative="0">
      <w:start w:val="1"/>
      <w:numFmt w:val="bullet"/>
      <w:lvlText w:val=""/>
      <w:lvlJc w:val="left"/>
      <w:pPr>
        <w:tabs>
          <w:tab w:val="left" w:pos="2520"/>
        </w:tabs>
        <w:ind w:left="2940" w:leftChars="0" w:hanging="420" w:firstLineChars="0"/>
      </w:pPr>
      <w:rPr>
        <w:rFonts w:hint="default" w:ascii="Wingdings" w:hAnsi="Wingdings"/>
      </w:rPr>
    </w:lvl>
    <w:lvl w:ilvl="6" w:tentative="0">
      <w:start w:val="1"/>
      <w:numFmt w:val="bullet"/>
      <w:lvlText w:val=""/>
      <w:lvlJc w:val="left"/>
      <w:pPr>
        <w:tabs>
          <w:tab w:val="left" w:pos="2940"/>
        </w:tabs>
        <w:ind w:left="3360" w:leftChars="0" w:hanging="420" w:firstLineChars="0"/>
      </w:pPr>
      <w:rPr>
        <w:rFonts w:hint="default" w:ascii="Wingdings" w:hAnsi="Wingdings"/>
      </w:rPr>
    </w:lvl>
    <w:lvl w:ilvl="7" w:tentative="0">
      <w:start w:val="1"/>
      <w:numFmt w:val="bullet"/>
      <w:lvlText w:val=""/>
      <w:lvlJc w:val="left"/>
      <w:pPr>
        <w:tabs>
          <w:tab w:val="left" w:pos="3360"/>
        </w:tabs>
        <w:ind w:left="3780" w:leftChars="0" w:hanging="420" w:firstLineChars="0"/>
      </w:pPr>
      <w:rPr>
        <w:rFonts w:hint="default" w:ascii="Wingdings" w:hAnsi="Wingdings"/>
      </w:rPr>
    </w:lvl>
    <w:lvl w:ilvl="8" w:tentative="0">
      <w:start w:val="1"/>
      <w:numFmt w:val="bullet"/>
      <w:lvlText w:val=""/>
      <w:lvlJc w:val="left"/>
      <w:pPr>
        <w:tabs>
          <w:tab w:val="left" w:pos="3780"/>
        </w:tabs>
        <w:ind w:left="4200" w:leftChars="0" w:hanging="420" w:firstLineChars="0"/>
      </w:pPr>
      <w:rPr>
        <w:rFonts w:hint="default" w:ascii="Wingdings" w:hAnsi="Wingdings"/>
      </w:rPr>
    </w:lvl>
  </w:abstractNum>
  <w:abstractNum w:abstractNumId="1">
    <w:nsid w:val="F7AD009A"/>
    <w:multiLevelType w:val="singleLevel"/>
    <w:tmpl w:val="F7AD009A"/>
    <w:lvl w:ilvl="0" w:tentative="0">
      <w:start w:val="1"/>
      <w:numFmt w:val="bullet"/>
      <w:lvlText w:val=""/>
      <w:lvlJc w:val="left"/>
      <w:pPr>
        <w:tabs>
          <w:tab w:val="left" w:pos="840"/>
        </w:tabs>
        <w:ind w:left="840" w:leftChars="0" w:hanging="420" w:firstLineChars="0"/>
      </w:pPr>
      <w:rPr>
        <w:rFonts w:hint="default" w:ascii="Wingdings" w:hAnsi="Wingdings"/>
        <w:sz w:val="11"/>
        <w:szCs w:val="11"/>
      </w:rPr>
    </w:lvl>
  </w:abstractNum>
  <w:abstractNum w:abstractNumId="2">
    <w:nsid w:val="3A316D4F"/>
    <w:multiLevelType w:val="singleLevel"/>
    <w:tmpl w:val="3A316D4F"/>
    <w:lvl w:ilvl="0" w:tentative="0">
      <w:start w:val="1"/>
      <w:numFmt w:val="bullet"/>
      <w:lvlText w:val=""/>
      <w:lvlJc w:val="left"/>
      <w:pPr>
        <w:tabs>
          <w:tab w:val="left" w:pos="840"/>
        </w:tabs>
        <w:ind w:left="840" w:leftChars="0" w:hanging="420" w:firstLineChars="0"/>
      </w:pPr>
      <w:rPr>
        <w:rFonts w:hint="default" w:ascii="Wingdings" w:hAnsi="Wingdings"/>
        <w:sz w:val="11"/>
        <w:szCs w:val="11"/>
      </w:rPr>
    </w:lvl>
  </w:abstractNum>
  <w:abstractNum w:abstractNumId="3">
    <w:nsid w:val="77F513F5"/>
    <w:multiLevelType w:val="singleLevel"/>
    <w:tmpl w:val="77F513F5"/>
    <w:lvl w:ilvl="0" w:tentative="0">
      <w:start w:val="1"/>
      <w:numFmt w:val="bullet"/>
      <w:lvlText w:val=""/>
      <w:lvlJc w:val="left"/>
      <w:pPr>
        <w:tabs>
          <w:tab w:val="left" w:pos="840"/>
        </w:tabs>
        <w:ind w:left="840" w:leftChars="0" w:hanging="420" w:firstLineChars="0"/>
      </w:pPr>
      <w:rPr>
        <w:rFonts w:hint="default" w:ascii="Wingdings" w:hAnsi="Wingdings"/>
        <w:sz w:val="11"/>
        <w:szCs w:val="11"/>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11D"/>
    <w:rsid w:val="000430A7"/>
    <w:rsid w:val="00084A9F"/>
    <w:rsid w:val="000B4136"/>
    <w:rsid w:val="000C1C21"/>
    <w:rsid w:val="001347F5"/>
    <w:rsid w:val="00196645"/>
    <w:rsid w:val="001A1672"/>
    <w:rsid w:val="00232762"/>
    <w:rsid w:val="0025518E"/>
    <w:rsid w:val="00333682"/>
    <w:rsid w:val="003900B0"/>
    <w:rsid w:val="003B5AE5"/>
    <w:rsid w:val="003C4C87"/>
    <w:rsid w:val="0040462F"/>
    <w:rsid w:val="0046527C"/>
    <w:rsid w:val="00466E4C"/>
    <w:rsid w:val="00472F69"/>
    <w:rsid w:val="004B6373"/>
    <w:rsid w:val="004C19C5"/>
    <w:rsid w:val="004C7406"/>
    <w:rsid w:val="004E2C4A"/>
    <w:rsid w:val="00586CFB"/>
    <w:rsid w:val="006478C9"/>
    <w:rsid w:val="00694B9A"/>
    <w:rsid w:val="006A3C2C"/>
    <w:rsid w:val="006C4A91"/>
    <w:rsid w:val="00726C67"/>
    <w:rsid w:val="00734A8A"/>
    <w:rsid w:val="00746B2C"/>
    <w:rsid w:val="007A62F2"/>
    <w:rsid w:val="007B1A3D"/>
    <w:rsid w:val="007E532A"/>
    <w:rsid w:val="007F2969"/>
    <w:rsid w:val="00800278"/>
    <w:rsid w:val="00804A5C"/>
    <w:rsid w:val="0081654E"/>
    <w:rsid w:val="008521DA"/>
    <w:rsid w:val="0089709C"/>
    <w:rsid w:val="008B6C20"/>
    <w:rsid w:val="008D754A"/>
    <w:rsid w:val="00925FAE"/>
    <w:rsid w:val="009E2A90"/>
    <w:rsid w:val="009E3DD3"/>
    <w:rsid w:val="009F1C62"/>
    <w:rsid w:val="00A0217E"/>
    <w:rsid w:val="00A57D34"/>
    <w:rsid w:val="00A951DB"/>
    <w:rsid w:val="00AF6D0A"/>
    <w:rsid w:val="00B01089"/>
    <w:rsid w:val="00B738C6"/>
    <w:rsid w:val="00B81380"/>
    <w:rsid w:val="00BA4175"/>
    <w:rsid w:val="00BE07CF"/>
    <w:rsid w:val="00BF5CD0"/>
    <w:rsid w:val="00C205AD"/>
    <w:rsid w:val="00C23122"/>
    <w:rsid w:val="00C346C2"/>
    <w:rsid w:val="00C82F68"/>
    <w:rsid w:val="00C84A5C"/>
    <w:rsid w:val="00C928FF"/>
    <w:rsid w:val="00CA20B2"/>
    <w:rsid w:val="00CA3563"/>
    <w:rsid w:val="00D071D9"/>
    <w:rsid w:val="00D33262"/>
    <w:rsid w:val="00D54241"/>
    <w:rsid w:val="00D906D7"/>
    <w:rsid w:val="00E01758"/>
    <w:rsid w:val="00E2311D"/>
    <w:rsid w:val="00E26E22"/>
    <w:rsid w:val="00EA1802"/>
    <w:rsid w:val="00EF4F04"/>
    <w:rsid w:val="00F246B6"/>
    <w:rsid w:val="00F6768E"/>
    <w:rsid w:val="00FE4EA2"/>
    <w:rsid w:val="10ED0058"/>
    <w:rsid w:val="43B4316A"/>
    <w:rsid w:val="7D31123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61" w:semiHidden="0" w:name="Light List"/>
    <w:lsdException w:qFormat="1" w:unhideWhenUsed="0" w:uiPriority="60" w:semiHidden="0" w:name="Light Shading Accent 1"/>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ru-RU" w:eastAsia="en-US" w:bidi="ar-SA"/>
      <w14:ligatures w14:val="standardContextual"/>
    </w:rPr>
  </w:style>
  <w:style w:type="paragraph" w:styleId="2">
    <w:name w:val="heading 1"/>
    <w:basedOn w:val="1"/>
    <w:next w:val="1"/>
    <w:link w:val="20"/>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2"/>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3"/>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4"/>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5"/>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6"/>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8"/>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note text"/>
    <w:basedOn w:val="1"/>
    <w:link w:val="42"/>
    <w:unhideWhenUsed/>
    <w:uiPriority w:val="99"/>
    <w:pPr>
      <w:spacing w:after="0" w:line="240" w:lineRule="auto"/>
    </w:pPr>
    <w:rPr>
      <w:rFonts w:cs="Times New Roman" w:eastAsiaTheme="minorEastAsia"/>
      <w:kern w:val="0"/>
      <w:sz w:val="20"/>
      <w:szCs w:val="20"/>
      <w:lang w:eastAsia="ru-RU"/>
      <w14:ligatures w14:val="none"/>
    </w:rPr>
  </w:style>
  <w:style w:type="paragraph" w:styleId="14">
    <w:name w:val="header"/>
    <w:basedOn w:val="1"/>
    <w:link w:val="46"/>
    <w:unhideWhenUsed/>
    <w:uiPriority w:val="99"/>
    <w:pPr>
      <w:tabs>
        <w:tab w:val="center" w:pos="4677"/>
        <w:tab w:val="right" w:pos="9355"/>
      </w:tabs>
      <w:spacing w:after="0" w:line="240" w:lineRule="auto"/>
    </w:pPr>
  </w:style>
  <w:style w:type="paragraph" w:styleId="15">
    <w:name w:val="toc 1"/>
    <w:basedOn w:val="1"/>
    <w:next w:val="1"/>
    <w:semiHidden/>
    <w:unhideWhenUsed/>
    <w:uiPriority w:val="39"/>
  </w:style>
  <w:style w:type="paragraph" w:styleId="16">
    <w:name w:val="Title"/>
    <w:basedOn w:val="1"/>
    <w:next w:val="1"/>
    <w:link w:val="29"/>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17">
    <w:name w:val="footer"/>
    <w:basedOn w:val="1"/>
    <w:link w:val="47"/>
    <w:unhideWhenUsed/>
    <w:uiPriority w:val="99"/>
    <w:pPr>
      <w:tabs>
        <w:tab w:val="center" w:pos="4677"/>
        <w:tab w:val="right" w:pos="9355"/>
      </w:tabs>
      <w:spacing w:after="0" w:line="240" w:lineRule="auto"/>
    </w:pPr>
  </w:style>
  <w:style w:type="paragraph" w:styleId="18">
    <w:name w:val="Subtitle"/>
    <w:basedOn w:val="1"/>
    <w:next w:val="1"/>
    <w:link w:val="30"/>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9">
    <w:name w:val="Table Grid"/>
    <w:basedOn w:val="12"/>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Заголовок 1 Знак"/>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21">
    <w:name w:val="Заголовок 2 Знак"/>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22">
    <w:name w:val="Заголовок 3 Знак"/>
    <w:basedOn w:val="11"/>
    <w:link w:val="4"/>
    <w:semiHidden/>
    <w:qFormat/>
    <w:uiPriority w:val="9"/>
    <w:rPr>
      <w:rFonts w:eastAsiaTheme="majorEastAsia" w:cstheme="majorBidi"/>
      <w:color w:val="104862" w:themeColor="accent1" w:themeShade="BF"/>
      <w:sz w:val="28"/>
      <w:szCs w:val="28"/>
    </w:rPr>
  </w:style>
  <w:style w:type="character" w:customStyle="1" w:styleId="23">
    <w:name w:val="Заголовок 4 Знак"/>
    <w:basedOn w:val="11"/>
    <w:link w:val="5"/>
    <w:semiHidden/>
    <w:uiPriority w:val="9"/>
    <w:rPr>
      <w:rFonts w:eastAsiaTheme="majorEastAsia" w:cstheme="majorBidi"/>
      <w:i/>
      <w:iCs/>
      <w:color w:val="104862" w:themeColor="accent1" w:themeShade="BF"/>
    </w:rPr>
  </w:style>
  <w:style w:type="character" w:customStyle="1" w:styleId="24">
    <w:name w:val="Заголовок 5 Знак"/>
    <w:basedOn w:val="11"/>
    <w:link w:val="6"/>
    <w:semiHidden/>
    <w:qFormat/>
    <w:uiPriority w:val="9"/>
    <w:rPr>
      <w:rFonts w:eastAsiaTheme="majorEastAsia" w:cstheme="majorBidi"/>
      <w:color w:val="104862" w:themeColor="accent1" w:themeShade="BF"/>
    </w:rPr>
  </w:style>
  <w:style w:type="character" w:customStyle="1" w:styleId="25">
    <w:name w:val="Заголовок 6 Знак"/>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6">
    <w:name w:val="Заголовок 7 Знак"/>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Заголовок 8 Знак"/>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8">
    <w:name w:val="Заголовок 9 Знак"/>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9">
    <w:name w:val="Заголовок Знак"/>
    <w:basedOn w:val="11"/>
    <w:link w:val="16"/>
    <w:qFormat/>
    <w:uiPriority w:val="10"/>
    <w:rPr>
      <w:rFonts w:asciiTheme="majorHAnsi" w:hAnsiTheme="majorHAnsi" w:eastAsiaTheme="majorEastAsia" w:cstheme="majorBidi"/>
      <w:spacing w:val="-10"/>
      <w:kern w:val="28"/>
      <w:sz w:val="56"/>
      <w:szCs w:val="56"/>
    </w:rPr>
  </w:style>
  <w:style w:type="character" w:customStyle="1" w:styleId="30">
    <w:name w:val="Подзаголовок Знак"/>
    <w:basedOn w:val="11"/>
    <w:link w:val="1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Цитата 2 Знак"/>
    <w:basedOn w:val="11"/>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Intense Emphasis"/>
    <w:basedOn w:val="11"/>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Выделенная цитата Знак"/>
    <w:basedOn w:val="11"/>
    <w:link w:val="35"/>
    <w:qFormat/>
    <w:uiPriority w:val="30"/>
    <w:rPr>
      <w:i/>
      <w:iCs/>
      <w:color w:val="104862" w:themeColor="accent1" w:themeShade="BF"/>
    </w:rPr>
  </w:style>
  <w:style w:type="character" w:customStyle="1" w:styleId="37">
    <w:name w:val="Intense Reference"/>
    <w:basedOn w:val="11"/>
    <w:qFormat/>
    <w:uiPriority w:val="32"/>
    <w:rPr>
      <w:b/>
      <w:bCs/>
      <w:smallCaps/>
      <w:color w:val="104862" w:themeColor="accent1" w:themeShade="BF"/>
      <w:spacing w:val="5"/>
    </w:rPr>
  </w:style>
  <w:style w:type="character" w:customStyle="1" w:styleId="38">
    <w:name w:val="mord"/>
    <w:basedOn w:val="11"/>
    <w:qFormat/>
    <w:uiPriority w:val="0"/>
  </w:style>
  <w:style w:type="character" w:customStyle="1" w:styleId="39">
    <w:name w:val="vlist-s"/>
    <w:basedOn w:val="11"/>
    <w:qFormat/>
    <w:uiPriority w:val="0"/>
  </w:style>
  <w:style w:type="character" w:customStyle="1" w:styleId="40">
    <w:name w:val="mrel"/>
    <w:basedOn w:val="11"/>
    <w:qFormat/>
    <w:uiPriority w:val="0"/>
  </w:style>
  <w:style w:type="paragraph" w:customStyle="1" w:styleId="41">
    <w:name w:val="Decimal Aligned"/>
    <w:basedOn w:val="1"/>
    <w:qFormat/>
    <w:uiPriority w:val="40"/>
    <w:pPr>
      <w:tabs>
        <w:tab w:val="decimal" w:pos="360"/>
      </w:tabs>
      <w:spacing w:after="200" w:line="276" w:lineRule="auto"/>
    </w:pPr>
    <w:rPr>
      <w:rFonts w:cs="Times New Roman" w:eastAsiaTheme="minorEastAsia"/>
      <w:kern w:val="0"/>
      <w:sz w:val="22"/>
      <w:szCs w:val="22"/>
      <w:lang w:eastAsia="ru-RU"/>
      <w14:ligatures w14:val="none"/>
    </w:rPr>
  </w:style>
  <w:style w:type="character" w:customStyle="1" w:styleId="42">
    <w:name w:val="Текст сноски Знак"/>
    <w:basedOn w:val="11"/>
    <w:link w:val="13"/>
    <w:qFormat/>
    <w:uiPriority w:val="99"/>
    <w:rPr>
      <w:rFonts w:cs="Times New Roman" w:eastAsiaTheme="minorEastAsia"/>
      <w:kern w:val="0"/>
      <w:sz w:val="20"/>
      <w:szCs w:val="20"/>
      <w:lang w:eastAsia="ru-RU"/>
      <w14:ligatures w14:val="none"/>
    </w:rPr>
  </w:style>
  <w:style w:type="character" w:customStyle="1" w:styleId="43">
    <w:name w:val="Subtle Emphasis"/>
    <w:basedOn w:val="11"/>
    <w:qFormat/>
    <w:uiPriority w:val="19"/>
    <w:rPr>
      <w:i/>
      <w:iCs/>
    </w:rPr>
  </w:style>
  <w:style w:type="table" w:styleId="44">
    <w:name w:val="Light Shading Accent 1"/>
    <w:basedOn w:val="12"/>
    <w:qFormat/>
    <w:uiPriority w:val="60"/>
    <w:pPr>
      <w:spacing w:after="0" w:line="240" w:lineRule="auto"/>
    </w:pPr>
    <w:rPr>
      <w:rFonts w:eastAsiaTheme="minorEastAsia"/>
      <w:color w:val="104862" w:themeColor="accent1" w:themeShade="BF"/>
      <w:kern w:val="0"/>
      <w:sz w:val="22"/>
      <w:szCs w:val="22"/>
      <w:lang w:eastAsia="ru-RU"/>
      <w14:ligatures w14:val="none"/>
    </w:rPr>
    <w:tblPr>
      <w:tblBorders>
        <w:top w:val="single" w:color="156082" w:themeColor="accent1" w:sz="8" w:space="0"/>
        <w:bottom w:val="single" w:color="156082" w:themeColor="accent1" w:sz="8" w:space="0"/>
      </w:tblBorders>
    </w:tblPr>
    <w:tblStylePr w:type="firstRow">
      <w:pPr>
        <w:spacing w:before="0" w:after="0" w:line="240" w:lineRule="auto"/>
      </w:pPr>
      <w:rPr>
        <w:b/>
        <w:bCs/>
      </w:rPr>
      <w:tcPr>
        <w:tcBorders>
          <w:top w:val="single" w:color="156082" w:themeColor="accent1" w:sz="8" w:space="0"/>
          <w:left w:val="nil"/>
          <w:bottom w:val="single" w:color="156082" w:themeColor="accent1" w:sz="8" w:space="0"/>
          <w:right w:val="nil"/>
          <w:insideH w:val="nil"/>
          <w:insideV w:val="nil"/>
        </w:tcBorders>
      </w:tcPr>
    </w:tblStylePr>
    <w:tblStylePr w:type="lastRow">
      <w:pPr>
        <w:spacing w:before="0" w:after="0" w:line="240" w:lineRule="auto"/>
      </w:pPr>
      <w:rPr>
        <w:b/>
        <w:bCs/>
      </w:rPr>
      <w:tcPr>
        <w:tcBorders>
          <w:top w:val="single" w:color="156082" w:themeColor="accent1" w:sz="8" w:space="0"/>
          <w:left w:val="nil"/>
          <w:bottom w:val="single" w:color="156082"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2DEF2" w:themeFill="accent1" w:themeFillTint="3F"/>
      </w:tcPr>
    </w:tblStylePr>
    <w:tblStylePr w:type="band1Horz">
      <w:tcPr>
        <w:tcBorders>
          <w:left w:val="nil"/>
          <w:right w:val="nil"/>
          <w:insideH w:val="nil"/>
          <w:insideV w:val="nil"/>
        </w:tcBorders>
        <w:shd w:val="clear" w:color="auto" w:fill="B2DEF2" w:themeFill="accent1" w:themeFillTint="3F"/>
      </w:tcPr>
    </w:tblStylePr>
  </w:style>
  <w:style w:type="table" w:styleId="45">
    <w:name w:val="Light List"/>
    <w:basedOn w:val="12"/>
    <w:qFormat/>
    <w:uiPriority w:val="61"/>
    <w:pPr>
      <w:spacing w:after="0" w:line="240" w:lineRule="auto"/>
    </w:pPr>
    <w:rPr>
      <w:rFonts w:eastAsiaTheme="minorEastAsia"/>
      <w:kern w:val="0"/>
      <w:sz w:val="22"/>
      <w:szCs w:val="22"/>
      <w:lang w:eastAsia="ru-RU"/>
      <w14:ligatures w14:val="none"/>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customStyle="1" w:styleId="46">
    <w:name w:val="Верхний колонтитул Знак"/>
    <w:basedOn w:val="11"/>
    <w:link w:val="14"/>
    <w:qFormat/>
    <w:uiPriority w:val="99"/>
  </w:style>
  <w:style w:type="character" w:customStyle="1" w:styleId="47">
    <w:name w:val="Нижний колонтитул Знак"/>
    <w:basedOn w:val="11"/>
    <w:link w:val="17"/>
    <w:qFormat/>
    <w:uiPriority w:val="99"/>
  </w:style>
  <w:style w:type="paragraph" w:customStyle="1" w:styleId="48">
    <w:name w:val="TOC Heading"/>
    <w:basedOn w:val="2"/>
    <w:next w:val="1"/>
    <w:unhideWhenUsed/>
    <w:qFormat/>
    <w:uiPriority w:val="39"/>
    <w:pPr>
      <w:spacing w:before="240" w:after="0" w:line="259" w:lineRule="auto"/>
      <w:outlineLvl w:val="9"/>
    </w:pPr>
    <w:rPr>
      <w:kern w:val="0"/>
      <w:sz w:val="32"/>
      <w:szCs w:val="32"/>
      <w:lang w:eastAsia="ru-RU"/>
      <w14:ligatures w14:val="none"/>
    </w:rPr>
  </w:style>
  <w:style w:type="paragraph" w:customStyle="1" w:styleId="49">
    <w:name w:val="WPSOffice手动目录 1"/>
    <w:qFormat/>
    <w:uiPriority w:val="0"/>
    <w:pPr>
      <w:ind w:leftChars="0"/>
    </w:pPr>
    <w:rPr>
      <w:rFonts w:asciiTheme="minorHAnsi" w:hAnsiTheme="minorHAnsi" w:eastAsiaTheme="minorHAnsi"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A34D0-148B-485F-8A91-ACB46BDB4D23}">
  <ds:schemaRefs/>
</ds:datastoreItem>
</file>

<file path=docProps/app.xml><?xml version="1.0" encoding="utf-8"?>
<Properties xmlns="http://schemas.openxmlformats.org/officeDocument/2006/extended-properties" xmlns:vt="http://schemas.openxmlformats.org/officeDocument/2006/docPropsVTypes">
  <Template>Normal</Template>
  <Pages>21</Pages>
  <Words>6106</Words>
  <Characters>34809</Characters>
  <Lines>290</Lines>
  <Paragraphs>81</Paragraphs>
  <TotalTime>22</TotalTime>
  <ScaleCrop>false</ScaleCrop>
  <LinksUpToDate>false</LinksUpToDate>
  <CharactersWithSpaces>40834</CharactersWithSpaces>
  <Application>WPS Office_12.2.0.23149_F1E327BC-269C-435d-A152-05C5408002CA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2025-10-16T05:21:00Z</dcterms:created>
  <dc:creator>Элис В</dc:creator>
  <cp:lastModifiedBy>User</cp:lastModifiedBy>
  <cp:lastPrinted>2025-10-27T04:15:00Z</cp:lastPrinted>
  <dcterms:modified xsi:type="dcterms:W3CDTF">2025-10-27T04:55:11Z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1049-12.2.0.23149</vt:lpwstr>
  </property>
  <property fmtid="{D5CDD505-2E9C-101B-9397-08002B2CF9AE}" pid="3" name="ICV">
    <vt:lpwstr>EB1CBA23F9C042A9BA9DA2CD67DBB574_12</vt:lpwstr>
  </property>
</Properties>
</file>