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8D3D4">
      <w:pPr>
        <w:suppressAutoHyphens/>
        <w:jc w:val="center"/>
        <w:rPr>
          <w:sz w:val="28"/>
          <w:szCs w:val="28"/>
          <w:lang w:eastAsia="ar-SA"/>
        </w:rPr>
      </w:pPr>
      <w:bookmarkStart w:id="0" w:name="_Hlk138774435"/>
      <w:r>
        <w:rPr>
          <w:sz w:val="28"/>
          <w:szCs w:val="28"/>
          <w:lang w:eastAsia="ar-SA"/>
        </w:rPr>
        <w:t>МИНИСТЕРСТВО НАУКИ И ВЫСШЕГО ОБРАЗОВАНИЯ        РОССИЙСКОЙ ФЕДЕРАЦИИ</w:t>
      </w:r>
    </w:p>
    <w:p w14:paraId="72C32AE1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14:paraId="4450E2CA">
      <w:pPr>
        <w:spacing w:before="120"/>
        <w:jc w:val="center"/>
        <w:rPr>
          <w:caps/>
          <w:sz w:val="28"/>
        </w:rPr>
      </w:pPr>
      <w:r>
        <w:rPr>
          <w:caps/>
          <w:sz w:val="28"/>
        </w:rPr>
        <w:t xml:space="preserve">Институт международного бизнеса, </w:t>
      </w:r>
    </w:p>
    <w:p w14:paraId="6E192C55">
      <w:pPr>
        <w:jc w:val="center"/>
        <w:rPr>
          <w:caps/>
          <w:sz w:val="28"/>
        </w:rPr>
      </w:pPr>
      <w:r>
        <w:rPr>
          <w:caps/>
          <w:sz w:val="28"/>
        </w:rPr>
        <w:t>экономики и управления</w:t>
      </w:r>
    </w:p>
    <w:p w14:paraId="56C6A79F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14:paraId="1E196A96">
      <w:pPr>
        <w:rPr>
          <w:sz w:val="28"/>
        </w:rPr>
      </w:pPr>
    </w:p>
    <w:p w14:paraId="501ABE94">
      <w:pPr>
        <w:rPr>
          <w:sz w:val="28"/>
        </w:rPr>
      </w:pPr>
    </w:p>
    <w:p w14:paraId="2D0E158C">
      <w:pPr>
        <w:ind w:left="6372"/>
      </w:pPr>
    </w:p>
    <w:p w14:paraId="105D7746"/>
    <w:p w14:paraId="6CB582FB">
      <w:pPr>
        <w:jc w:val="right"/>
        <w:rPr>
          <w:sz w:val="28"/>
        </w:rPr>
      </w:pPr>
    </w:p>
    <w:p w14:paraId="0A6ECD20">
      <w:pPr>
        <w:jc w:val="right"/>
        <w:rPr>
          <w:sz w:val="28"/>
        </w:rPr>
      </w:pPr>
    </w:p>
    <w:p w14:paraId="57BFF481">
      <w:pPr>
        <w:spacing w:before="240" w:after="60" w:line="360" w:lineRule="auto"/>
        <w:jc w:val="center"/>
        <w:rPr>
          <w:sz w:val="48"/>
          <w:szCs w:val="48"/>
        </w:rPr>
      </w:pPr>
      <w:r>
        <w:rPr>
          <w:sz w:val="48"/>
          <w:szCs w:val="48"/>
        </w:rPr>
        <w:t>ОТЧЕТ</w:t>
      </w:r>
    </w:p>
    <w:p w14:paraId="7C4C13BB">
      <w:pPr>
        <w:suppressAutoHyphens/>
        <w:spacing w:after="240"/>
        <w:jc w:val="center"/>
        <w:rPr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sz w:val="44"/>
          <w:szCs w:val="44"/>
        </w:rPr>
        <w:t>по учебной</w:t>
      </w:r>
      <w:r>
        <w:rPr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 xml:space="preserve"> практике по получению первичных профессиональных умений и навыков </w:t>
      </w:r>
    </w:p>
    <w:p w14:paraId="0D9DD5C3">
      <w:pPr>
        <w:pStyle w:val="14"/>
        <w:suppressAutoHyphens/>
        <w:spacing w:before="240"/>
        <w:ind w:left="0" w:right="0"/>
        <w:jc w:val="center"/>
        <w:rPr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 xml:space="preserve">Аутсорсинг юридических услуг, ИП Галко </w:t>
      </w:r>
      <w:r>
        <w:rPr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br w:type="textWrapping"/>
      </w:r>
      <w:r>
        <w:rPr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Яков Николаевич, г. Владивосток</w:t>
      </w:r>
    </w:p>
    <w:p w14:paraId="5CC51E51">
      <w:pPr>
        <w:spacing w:after="240"/>
        <w:jc w:val="center"/>
        <w:rPr>
          <w:sz w:val="44"/>
          <w:szCs w:val="44"/>
        </w:rPr>
      </w:pPr>
    </w:p>
    <w:p w14:paraId="2B0D9B75">
      <w:pPr>
        <w:pStyle w:val="14"/>
        <w:spacing w:before="240"/>
        <w:ind w:left="0" w:right="-74"/>
        <w:jc w:val="center"/>
        <w:rPr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1017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7"/>
        <w:gridCol w:w="2386"/>
        <w:gridCol w:w="3710"/>
      </w:tblGrid>
      <w:tr w14:paraId="4AA652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7" w:type="dxa"/>
          </w:tcPr>
          <w:p w14:paraId="4411AB93">
            <w:pPr>
              <w:pStyle w:val="14"/>
              <w:ind w:left="0" w:right="963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Студент</w:t>
            </w:r>
          </w:p>
        </w:tc>
        <w:tc>
          <w:tcPr>
            <w:tcW w:w="2386" w:type="dxa"/>
          </w:tcPr>
          <w:p w14:paraId="74EFF899">
            <w:pPr>
              <w:pStyle w:val="14"/>
              <w:ind w:left="0" w:right="144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0" w:type="dxa"/>
          </w:tcPr>
          <w:p w14:paraId="3520E963">
            <w:pPr>
              <w:pStyle w:val="14"/>
              <w:ind w:left="0" w:right="0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66DE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7" w:type="dxa"/>
          </w:tcPr>
          <w:p w14:paraId="69BFB820">
            <w:pPr>
              <w:pStyle w:val="14"/>
              <w:ind w:left="0" w:right="963"/>
              <w:rPr>
                <w:color w:val="000000" w:themeColor="text1"/>
                <w:sz w:val="28"/>
                <w:szCs w:val="2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группы ЭБ-22-1</w:t>
            </w:r>
          </w:p>
        </w:tc>
        <w:tc>
          <w:tcPr>
            <w:tcW w:w="2386" w:type="dxa"/>
          </w:tcPr>
          <w:p w14:paraId="7B07A3AD">
            <w:pPr>
              <w:pStyle w:val="14"/>
              <w:ind w:left="0" w:right="144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______________</w:t>
            </w:r>
          </w:p>
        </w:tc>
        <w:tc>
          <w:tcPr>
            <w:tcW w:w="3710" w:type="dxa"/>
          </w:tcPr>
          <w:p w14:paraId="6F1F0DF2">
            <w:pPr>
              <w:pStyle w:val="14"/>
              <w:ind w:left="0" w:right="0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Я.П. Бобракова</w:t>
            </w:r>
          </w:p>
        </w:tc>
      </w:tr>
      <w:tr w14:paraId="2F2833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7" w:type="dxa"/>
          </w:tcPr>
          <w:p w14:paraId="26746E69">
            <w:pPr>
              <w:pStyle w:val="14"/>
              <w:ind w:left="0" w:right="963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BBC8BE8">
            <w:pPr>
              <w:pStyle w:val="14"/>
              <w:ind w:left="0" w:right="963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Руководитель</w:t>
            </w:r>
          </w:p>
          <w:p w14:paraId="6B503459">
            <w:pPr>
              <w:pStyle w:val="14"/>
              <w:ind w:left="0" w:right="963"/>
              <w:jc w:val="left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канд. экон. наук, доцент</w:t>
            </w:r>
          </w:p>
        </w:tc>
        <w:tc>
          <w:tcPr>
            <w:tcW w:w="2386" w:type="dxa"/>
          </w:tcPr>
          <w:p w14:paraId="7EF517D7">
            <w:pPr>
              <w:pStyle w:val="14"/>
              <w:ind w:left="0" w:right="144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BA08752">
            <w:pPr>
              <w:pStyle w:val="14"/>
              <w:ind w:left="0" w:right="144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8742423">
            <w:pPr>
              <w:pStyle w:val="14"/>
              <w:ind w:left="0" w:right="144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______________</w:t>
            </w:r>
          </w:p>
        </w:tc>
        <w:tc>
          <w:tcPr>
            <w:tcW w:w="3710" w:type="dxa"/>
          </w:tcPr>
          <w:p w14:paraId="1A9B3A45">
            <w:pPr>
              <w:pStyle w:val="14"/>
              <w:ind w:left="0" w:right="0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0171DBE">
            <w:pPr>
              <w:pStyle w:val="14"/>
              <w:ind w:left="0" w:right="0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21DCD01A">
            <w:pPr>
              <w:pStyle w:val="14"/>
              <w:ind w:left="0" w:right="0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Т.Е. Даниловских </w:t>
            </w:r>
          </w:p>
        </w:tc>
      </w:tr>
      <w:tr w14:paraId="74C212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7" w:type="dxa"/>
          </w:tcPr>
          <w:p w14:paraId="3443658F">
            <w:pPr>
              <w:pStyle w:val="14"/>
              <w:ind w:left="0" w:right="34"/>
              <w:rPr>
                <w:sz w:val="28"/>
                <w:szCs w:val="28"/>
              </w:rPr>
            </w:pPr>
          </w:p>
          <w:p w14:paraId="189BFF16">
            <w:pPr>
              <w:pStyle w:val="14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от предприятия</w:t>
            </w:r>
          </w:p>
          <w:p w14:paraId="3395A431">
            <w:pPr>
              <w:pStyle w:val="14"/>
              <w:ind w:left="0" w:right="34"/>
              <w:rPr>
                <w:color w:val="FF0000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главный бухгалтер</w:t>
            </w:r>
          </w:p>
        </w:tc>
        <w:tc>
          <w:tcPr>
            <w:tcW w:w="2386" w:type="dxa"/>
          </w:tcPr>
          <w:p w14:paraId="0EC8C44B">
            <w:pPr>
              <w:pStyle w:val="14"/>
              <w:ind w:left="0" w:right="144"/>
              <w:rPr>
                <w:sz w:val="28"/>
                <w:szCs w:val="28"/>
                <w:u w:val="single"/>
              </w:rPr>
            </w:pPr>
          </w:p>
          <w:p w14:paraId="471F3894">
            <w:pPr>
              <w:pStyle w:val="14"/>
              <w:ind w:left="0" w:right="144"/>
              <w:rPr>
                <w:sz w:val="28"/>
                <w:szCs w:val="28"/>
                <w:u w:val="single"/>
              </w:rPr>
            </w:pPr>
          </w:p>
          <w:p w14:paraId="13CA5C9C">
            <w:pPr>
              <w:pStyle w:val="14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554F9427">
            <w:pPr>
              <w:pStyle w:val="14"/>
              <w:ind w:left="0" w:right="963"/>
              <w:rPr>
                <w:sz w:val="28"/>
                <w:szCs w:val="28"/>
              </w:rPr>
            </w:pPr>
          </w:p>
          <w:p w14:paraId="68F380F2">
            <w:pPr>
              <w:pStyle w:val="14"/>
              <w:ind w:left="0" w:right="963"/>
              <w:rPr>
                <w:sz w:val="28"/>
                <w:szCs w:val="28"/>
              </w:rPr>
            </w:pPr>
          </w:p>
          <w:p w14:paraId="60A6A984">
            <w:pPr>
              <w:pStyle w:val="14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</w:t>
            </w:r>
            <w:bookmarkStart w:id="1" w:name="_Hlk203149511"/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С.А. Киреева</w:t>
            </w:r>
            <w:bookmarkEnd w:id="1"/>
          </w:p>
        </w:tc>
      </w:tr>
      <w:tr w14:paraId="1C604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77" w:type="dxa"/>
          </w:tcPr>
          <w:p w14:paraId="544BD73E">
            <w:pPr>
              <w:pStyle w:val="14"/>
              <w:ind w:left="0" w:right="34"/>
              <w:rPr>
                <w:sz w:val="28"/>
                <w:szCs w:val="28"/>
              </w:rPr>
            </w:pPr>
          </w:p>
          <w:p w14:paraId="7C8D485A">
            <w:pPr>
              <w:pStyle w:val="14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Нормоконтролер</w:t>
            </w:r>
          </w:p>
          <w:p w14:paraId="531D94F0">
            <w:pPr>
              <w:pStyle w:val="14"/>
              <w:ind w:left="0" w:right="34"/>
              <w:rPr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14:paraId="30E798ED">
            <w:pPr>
              <w:pStyle w:val="14"/>
              <w:ind w:left="0" w:right="144"/>
              <w:rPr>
                <w:sz w:val="28"/>
                <w:szCs w:val="28"/>
              </w:rPr>
            </w:pPr>
          </w:p>
          <w:p w14:paraId="3FE2787D">
            <w:pPr>
              <w:pStyle w:val="14"/>
              <w:ind w:left="0" w:right="144"/>
              <w:rPr>
                <w:sz w:val="28"/>
                <w:szCs w:val="28"/>
              </w:rPr>
            </w:pPr>
          </w:p>
          <w:p w14:paraId="6E353CAF">
            <w:pPr>
              <w:pStyle w:val="14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</w:p>
        </w:tc>
        <w:tc>
          <w:tcPr>
            <w:tcW w:w="3710" w:type="dxa"/>
          </w:tcPr>
          <w:p w14:paraId="0B65E749">
            <w:pPr>
              <w:pStyle w:val="14"/>
              <w:ind w:left="0" w:right="963"/>
              <w:rPr>
                <w:sz w:val="28"/>
                <w:szCs w:val="28"/>
              </w:rPr>
            </w:pPr>
          </w:p>
          <w:p w14:paraId="5F668999">
            <w:pPr>
              <w:pStyle w:val="14"/>
              <w:ind w:left="0" w:right="963"/>
              <w:rPr>
                <w:sz w:val="28"/>
                <w:szCs w:val="28"/>
              </w:rPr>
            </w:pPr>
          </w:p>
          <w:p w14:paraId="7BB9A79E">
            <w:pPr>
              <w:pStyle w:val="14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</w:t>
            </w:r>
            <w:r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Т.Е. Даниловских</w:t>
            </w:r>
          </w:p>
        </w:tc>
      </w:tr>
    </w:tbl>
    <w:p w14:paraId="34F7743B">
      <w:pPr>
        <w:pStyle w:val="14"/>
        <w:ind w:left="0" w:right="0"/>
        <w:jc w:val="center"/>
        <w:rPr>
          <w:sz w:val="28"/>
          <w:szCs w:val="28"/>
        </w:rPr>
      </w:pPr>
    </w:p>
    <w:p w14:paraId="1432CE3C">
      <w:pPr>
        <w:pStyle w:val="14"/>
        <w:ind w:left="0" w:right="0"/>
        <w:jc w:val="center"/>
        <w:rPr>
          <w:sz w:val="28"/>
          <w:szCs w:val="28"/>
        </w:rPr>
      </w:pPr>
    </w:p>
    <w:p w14:paraId="44EF9E7B">
      <w:pPr>
        <w:pStyle w:val="14"/>
        <w:ind w:left="0" w:right="0"/>
        <w:jc w:val="center"/>
        <w:rPr>
          <w:sz w:val="28"/>
          <w:szCs w:val="28"/>
        </w:rPr>
      </w:pPr>
    </w:p>
    <w:p w14:paraId="1AD2309B">
      <w:pPr>
        <w:pStyle w:val="14"/>
        <w:ind w:left="0" w:right="0"/>
        <w:jc w:val="center"/>
        <w:rPr>
          <w:sz w:val="28"/>
          <w:szCs w:val="28"/>
        </w:rPr>
      </w:pPr>
    </w:p>
    <w:p w14:paraId="597C3982">
      <w:pPr>
        <w:pStyle w:val="14"/>
        <w:ind w:left="0" w:right="0"/>
        <w:jc w:val="center"/>
        <w:rPr>
          <w:sz w:val="28"/>
          <w:szCs w:val="28"/>
        </w:rPr>
      </w:pPr>
    </w:p>
    <w:p w14:paraId="767769A1">
      <w:pPr>
        <w:spacing w:before="24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headerReference r:id="rId5" w:type="default"/>
          <w:pgSz w:w="11906" w:h="16838"/>
          <w:pgMar w:top="1134" w:right="567" w:bottom="1134" w:left="1701" w:header="708" w:footer="708" w:gutter="0"/>
          <w:cols w:space="708" w:num="1"/>
          <w:titlePg/>
          <w:docGrid w:linePitch="360" w:charSpace="0"/>
        </w:sectPr>
      </w:pPr>
      <w:r>
        <w:rPr>
          <w:sz w:val="28"/>
          <w:szCs w:val="28"/>
        </w:rPr>
        <w:t>Владивосток 202</w:t>
      </w:r>
      <w:bookmarkEnd w:id="0"/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</w:t>
      </w:r>
    </w:p>
    <w:p w14:paraId="117EBBDC">
      <w:pPr>
        <w:suppressAutoHyphens/>
        <w:jc w:val="center"/>
        <w:rPr>
          <w:caps/>
        </w:rPr>
      </w:pPr>
      <w:r>
        <w:rPr>
          <w:caps/>
        </w:rPr>
        <w:t xml:space="preserve">МИНИСТЕРСТВО НАУКИ И ВЫСШЕГО ОБРАЗОВАНИЯ </w:t>
      </w:r>
      <w:r>
        <w:rPr>
          <w:caps/>
        </w:rPr>
        <w:br w:type="textWrapping"/>
      </w:r>
      <w:r>
        <w:rPr>
          <w:caps/>
        </w:rPr>
        <w:t>российской федерации</w:t>
      </w:r>
    </w:p>
    <w:p w14:paraId="45F992C1">
      <w:pPr>
        <w:pStyle w:val="17"/>
        <w:suppressAutoHyphens/>
        <w:ind w:left="0"/>
        <w:jc w:val="center"/>
      </w:pPr>
      <w:r>
        <w:t xml:space="preserve">ВЛАДИВОСТОКСКИЙ ГОСУДАРСТВЕННЫЙ УНИВЕРСИТЕТ </w:t>
      </w:r>
    </w:p>
    <w:p w14:paraId="127FD9EC">
      <w:pPr>
        <w:pStyle w:val="17"/>
        <w:suppressAutoHyphens/>
        <w:ind w:left="0"/>
        <w:jc w:val="center"/>
      </w:pPr>
      <w:r>
        <w:t>ИНСТИТУТ МЕЖДУНАРОДНОГО БИЗНЕСА, ЭКОНОМИКИ И УПРАВЛЕНИЯ</w:t>
      </w:r>
    </w:p>
    <w:p w14:paraId="4DD7E41D">
      <w:pPr>
        <w:pStyle w:val="17"/>
        <w:suppressAutoHyphens/>
        <w:ind w:left="0"/>
        <w:jc w:val="center"/>
      </w:pPr>
      <w:r>
        <w:t>КАФЕДРА ЭКОНОМИКИ И УПРАВЛЕНИЯ</w:t>
      </w:r>
    </w:p>
    <w:p w14:paraId="6E56FAE8">
      <w:pPr>
        <w:pStyle w:val="17"/>
        <w:suppressAutoHyphens/>
        <w:jc w:val="center"/>
      </w:pPr>
    </w:p>
    <w:p w14:paraId="19E49656">
      <w:pPr>
        <w:pStyle w:val="17"/>
        <w:ind w:left="0"/>
        <w:jc w:val="center"/>
      </w:pPr>
      <w:r>
        <w:t>ЗАДАНИЕ</w:t>
      </w:r>
    </w:p>
    <w:p w14:paraId="7168250D">
      <w:pPr>
        <w:pStyle w:val="17"/>
        <w:suppressAutoHyphens/>
        <w:ind w:left="0"/>
      </w:pPr>
      <w:r>
        <w:t>на учебную практику по получению первичных профессиональных умений и навыков</w:t>
      </w:r>
    </w:p>
    <w:p w14:paraId="43624C53">
      <w:pPr>
        <w:pStyle w:val="17"/>
        <w:ind w:left="0"/>
      </w:pPr>
      <w:r>
        <w:t>Студенту: Бобраковой Ярославе Павловне</w:t>
      </w:r>
    </w:p>
    <w:p w14:paraId="2D16D582">
      <w:pPr>
        <w:pStyle w:val="17"/>
        <w:ind w:left="0"/>
      </w:pPr>
      <w:r>
        <w:t>Группы: ЭБ-22-1</w:t>
      </w:r>
    </w:p>
    <w:p w14:paraId="6009AF65">
      <w:r>
        <w:t>Цель практики: формирование знаний о практической деятельности предприятий (организаций).</w:t>
      </w:r>
    </w:p>
    <w:p w14:paraId="6E9AA75B">
      <w:pPr>
        <w:pStyle w:val="17"/>
        <w:ind w:left="0"/>
      </w:pPr>
      <w:r>
        <w:t>Содержание учебной практики:</w:t>
      </w:r>
    </w:p>
    <w:p w14:paraId="3E133CF4">
      <w:pPr>
        <w:rPr>
          <w:b/>
          <w:bCs/>
        </w:rPr>
      </w:pPr>
      <w:r>
        <w:rPr>
          <w:b/>
          <w:bCs/>
        </w:rPr>
        <w:t>Содержание разделов отчета по практике:</w:t>
      </w:r>
    </w:p>
    <w:p w14:paraId="03162FE4">
      <w:pPr>
        <w:rPr>
          <w:bCs/>
        </w:rPr>
      </w:pPr>
      <w:r>
        <w:rPr>
          <w:bCs/>
        </w:rPr>
        <w:t>Введение</w:t>
      </w:r>
      <w:r>
        <w:t xml:space="preserve"> (указать </w:t>
      </w:r>
      <w:r>
        <w:rPr>
          <w:bCs/>
        </w:rPr>
        <w:t>цель и задачи практики, основные методы, необходимые для их достижения).</w:t>
      </w:r>
    </w:p>
    <w:p w14:paraId="0537E9BD">
      <w:pPr>
        <w:rPr>
          <w:bCs/>
        </w:rPr>
      </w:pPr>
      <w:r>
        <w:rPr>
          <w:bCs/>
        </w:rPr>
        <w:t>Глава 1 Особенности деятельности ИП - используя современные технические средства и информационные технологии ознакомиться с информацией о предприятии (указать основные реквизиты, особенности организационно-правовой формы, систему налогообложения (динамика уплачиваемых налоговых платежей и страховых сборов), основные виды деятельности, отраслевые особенности деятельности). Осуществить сбор и первичную обработку данных для дальнейшего проведения расчетов экономических показателей, характеризующих деятельность ИП (ОПК-2).</w:t>
      </w:r>
    </w:p>
    <w:p w14:paraId="4D0EBC12">
      <w:pPr>
        <w:rPr>
          <w:bCs/>
        </w:rPr>
      </w:pPr>
      <w:r>
        <w:rPr>
          <w:bCs/>
        </w:rPr>
        <w:t xml:space="preserve">Глава 2 </w:t>
      </w:r>
      <w:r>
        <w:rPr>
          <w:lang w:eastAsia="zh-CN"/>
        </w:rPr>
        <w:t>Краткий анализ результатов хозяйственной деятельности предприятия (организации) - н</w:t>
      </w:r>
      <w:r>
        <w:rPr>
          <w:bCs/>
        </w:rPr>
        <w:t>а основе знания типовых методик,</w:t>
      </w:r>
      <w:r>
        <w:rPr>
          <w:color w:val="000000"/>
        </w:rPr>
        <w:t xml:space="preserve"> действующей нормативно-правовой базы</w:t>
      </w:r>
      <w:r>
        <w:rPr>
          <w:bCs/>
        </w:rPr>
        <w:t xml:space="preserve"> и собранных данных осуществить краткий анализ результатов хозяйственной деятельности предприятия (представить базовые показатели деятельности ИП – выручку, затраты, прибыль, рентабельность, численность персонала, фонд заработной платы и др. за два-три последних отчетных года) (ОПК-2).</w:t>
      </w:r>
    </w:p>
    <w:p w14:paraId="4951E927">
      <w:pPr>
        <w:rPr>
          <w:bCs/>
        </w:rPr>
      </w:pPr>
      <w:r>
        <w:rPr>
          <w:bCs/>
        </w:rPr>
        <w:t>Заключение (сделать выводы о достижении целей практики, обобщить изложенный в отчете материал).</w:t>
      </w:r>
    </w:p>
    <w:p w14:paraId="666A59ED">
      <w:pPr>
        <w:rPr>
          <w:bCs/>
        </w:rPr>
      </w:pPr>
      <w:r>
        <w:rPr>
          <w:bCs/>
        </w:rPr>
        <w:t>Список использованных источников (указать источник официальной отчетности предприятия, нормативную, справочную и учебную литературу).</w:t>
      </w:r>
    </w:p>
    <w:p w14:paraId="1908D45B">
      <w:pPr>
        <w:rPr>
          <w:bCs/>
        </w:rPr>
      </w:pPr>
      <w:r>
        <w:rPr>
          <w:bCs/>
        </w:rPr>
        <w:t>Приложения (копия используемой в отчете бухгалтерской отчетности).</w:t>
      </w:r>
    </w:p>
    <w:p w14:paraId="02C7792F">
      <w:pPr>
        <w:pStyle w:val="17"/>
        <w:ind w:left="0"/>
        <w:contextualSpacing w:val="0"/>
      </w:pPr>
    </w:p>
    <w:p w14:paraId="3980B68C">
      <w:pPr>
        <w:pStyle w:val="17"/>
        <w:ind w:left="0"/>
        <w:contextualSpacing w:val="0"/>
        <w:rPr>
          <w:bCs/>
        </w:rPr>
      </w:pPr>
      <w:r>
        <w:t>Срок сдачи отчета: 19 июля 2025 г. Рекомендуемый о</w:t>
      </w:r>
      <w:r>
        <w:rPr>
          <w:bCs/>
        </w:rPr>
        <w:t>бъем отчета: 12-15 страниц.</w:t>
      </w:r>
    </w:p>
    <w:p w14:paraId="19E7F4BA">
      <w:pPr>
        <w:pStyle w:val="17"/>
        <w:ind w:left="0"/>
        <w:contextualSpacing w:val="0"/>
        <w:rPr>
          <w:bCs/>
        </w:rPr>
      </w:pPr>
      <w:r>
        <w:t>(К защите представляется отчет, выполненный в письменной форме в соответствии с Требованиями к оформлению текстовой части).</w:t>
      </w:r>
    </w:p>
    <w:p w14:paraId="72A44235">
      <w:r>
        <w:t>Время консультаций по графику, телефон, электронная почта руководителя</w:t>
      </w:r>
    </w:p>
    <w:p w14:paraId="228CE5C4">
      <w:r>
        <w:t xml:space="preserve">Телефон, </w:t>
      </w:r>
      <w:r>
        <w:rPr>
          <w:lang w:val="en-US"/>
        </w:rPr>
        <w:t>WApp</w:t>
      </w:r>
      <w:r>
        <w:t xml:space="preserve"> +7 9147986117. </w:t>
      </w:r>
      <w:r>
        <w:rPr>
          <w:lang w:val="en-US"/>
        </w:rPr>
        <w:t>Email</w:t>
      </w:r>
      <w:r>
        <w:t xml:space="preserve">: </w:t>
      </w:r>
      <w:r>
        <w:rPr>
          <w:lang w:val="en-US"/>
        </w:rPr>
        <w:t>tatyana</w:t>
      </w:r>
      <w:r>
        <w:t>.</w:t>
      </w:r>
      <w:r>
        <w:rPr>
          <w:lang w:val="en-US"/>
        </w:rPr>
        <w:t>danilovskih</w:t>
      </w:r>
      <w:r>
        <w:t>@</w:t>
      </w:r>
      <w:r>
        <w:rPr>
          <w:lang w:val="en-US"/>
        </w:rPr>
        <w:t>vvsu</w:t>
      </w:r>
      <w:r>
        <w:t>.</w:t>
      </w:r>
      <w:r>
        <w:rPr>
          <w:lang w:val="en-US"/>
        </w:rPr>
        <w:t>ru</w:t>
      </w:r>
    </w:p>
    <w:p w14:paraId="12574315">
      <w:pPr>
        <w:overflowPunct w:val="0"/>
        <w:autoSpaceDE w:val="0"/>
        <w:autoSpaceDN w:val="0"/>
        <w:adjustRightInd w:val="0"/>
      </w:pPr>
      <w:r>
        <w:t>Дата выдачи задания: 16.06.2025 г.</w:t>
      </w:r>
    </w:p>
    <w:p w14:paraId="38B53CEB">
      <w:pPr>
        <w:overflowPunct w:val="0"/>
        <w:autoSpaceDE w:val="0"/>
        <w:autoSpaceDN w:val="0"/>
        <w:adjustRightInd w:val="0"/>
      </w:pPr>
    </w:p>
    <w:p w14:paraId="1BEED75E">
      <w:pPr>
        <w:overflowPunct w:val="0"/>
        <w:autoSpaceDE w:val="0"/>
        <w:autoSpaceDN w:val="0"/>
        <w:adjustRightInd w:val="0"/>
      </w:pPr>
      <w:r>
        <w:t xml:space="preserve">Руководитель практики от университета: </w:t>
      </w:r>
      <w:r>
        <w:tab/>
      </w:r>
      <w:r>
        <w:tab/>
      </w:r>
      <w:r>
        <w:tab/>
      </w:r>
      <w:r>
        <w:t>Т.Е. Даниловских</w:t>
      </w:r>
    </w:p>
    <w:p w14:paraId="34C8FC61">
      <w:pPr>
        <w:keepNext/>
        <w:tabs>
          <w:tab w:val="left" w:pos="7371"/>
        </w:tabs>
      </w:pPr>
      <w:r>
        <w:t>канд. экон. наук, доцент</w:t>
      </w:r>
    </w:p>
    <w:p w14:paraId="1D86D6CE">
      <w:pPr>
        <w:keepNext/>
        <w:tabs>
          <w:tab w:val="left" w:pos="7371"/>
        </w:tabs>
      </w:pPr>
    </w:p>
    <w:p w14:paraId="58EB4DD6">
      <w:pPr>
        <w:keepNext/>
        <w:tabs>
          <w:tab w:val="left" w:pos="7371"/>
        </w:tabs>
      </w:pPr>
      <w:r>
        <w:t xml:space="preserve">Задание получил:                                                                       Я.П. Бобракова </w:t>
      </w:r>
    </w:p>
    <w:p w14:paraId="56160300">
      <w:r>
        <w:t>ст. группы ЭБ-22-1</w:t>
      </w:r>
    </w:p>
    <w:p w14:paraId="257E054C"/>
    <w:p w14:paraId="6E9DF678">
      <w:r>
        <w:t>Задание согласовано</w:t>
      </w:r>
    </w:p>
    <w:p w14:paraId="3D054CD5">
      <w:r>
        <w:t>Руководитель практики от ИП Галко Я.Н.                             С.А. Киреева</w:t>
      </w:r>
    </w:p>
    <w:p w14:paraId="78C3E59B"/>
    <w:p w14:paraId="0E4C72B5"/>
    <w:p w14:paraId="378BBD40">
      <w:pPr>
        <w:spacing w:before="240"/>
        <w:jc w:val="center"/>
        <w:sectPr>
          <w:footerReference r:id="rId9" w:type="first"/>
          <w:headerReference r:id="rId6" w:type="default"/>
          <w:footerReference r:id="rId7" w:type="default"/>
          <w:footerReference r:id="rId8" w:type="even"/>
          <w:pgSz w:w="11907" w:h="16839"/>
          <w:pgMar w:top="1134" w:right="567" w:bottom="1134" w:left="1701" w:header="720" w:footer="720" w:gutter="0"/>
          <w:cols w:space="720" w:num="1"/>
          <w:titlePg/>
          <w:docGrid w:linePitch="326" w:charSpace="0"/>
        </w:sectPr>
      </w:pPr>
    </w:p>
    <w:p w14:paraId="65B6CC48">
      <w:pPr>
        <w:suppressAutoHyphens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РАБОЧИЙ ГРАФИК (ПЛАН) ПРОВЕДЕНИЯ </w:t>
      </w:r>
    </w:p>
    <w:p w14:paraId="30C7D55A">
      <w:pPr>
        <w:suppressAutoHyphens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УЧЕБНОЙ ПРАКТИКИ ПО ПОЛУЧЕНИЮ ПЕРВИЧНЫХ ПРОФЕССОНАЛЬНЫХ УМЕНИЙ И НАВЫКОВ</w:t>
      </w:r>
    </w:p>
    <w:p w14:paraId="7D50BD73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</w:rPr>
      </w:pPr>
    </w:p>
    <w:p w14:paraId="1D80EA3A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vertAlign w:val="superscript"/>
          <w:lang w:eastAsia="zh-CN"/>
        </w:rPr>
      </w:pPr>
      <w:r>
        <w:rPr>
          <w:rFonts w:eastAsia="SimSun"/>
          <w:lang w:eastAsia="zh-CN"/>
        </w:rPr>
        <w:t xml:space="preserve">Студент – </w:t>
      </w:r>
      <w:r>
        <w:t>Бобракова Я.П.</w:t>
      </w:r>
    </w:p>
    <w:p w14:paraId="75A679E0">
      <w:pPr>
        <w:rPr>
          <w:rFonts w:eastAsia="SimSun"/>
          <w:lang w:eastAsia="zh-CN"/>
        </w:rPr>
      </w:pPr>
      <w:r>
        <w:rPr>
          <w:rFonts w:eastAsia="SimSun"/>
          <w:lang w:eastAsia="zh-CN"/>
        </w:rPr>
        <w:t xml:space="preserve">Кафедра – экономики и управления </w:t>
      </w:r>
      <w:r>
        <w:rPr>
          <w:rFonts w:eastAsia="SimSun"/>
          <w:lang w:eastAsia="zh-CN"/>
        </w:rPr>
        <w:tab/>
      </w:r>
      <w:r>
        <w:rPr>
          <w:rFonts w:eastAsia="SimSun"/>
          <w:lang w:eastAsia="zh-CN"/>
        </w:rPr>
        <w:tab/>
      </w:r>
      <w:r>
        <w:rPr>
          <w:rFonts w:eastAsia="SimSun"/>
          <w:lang w:eastAsia="zh-CN"/>
        </w:rPr>
        <w:t>гр. Эб-22-1</w:t>
      </w:r>
    </w:p>
    <w:p w14:paraId="0E9E792B">
      <w:pPr>
        <w:contextualSpacing/>
        <w:rPr>
          <w:b/>
          <w:bCs/>
          <w:szCs w:val="28"/>
        </w:rPr>
      </w:pPr>
    </w:p>
    <w:p w14:paraId="709B2496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vertAlign w:val="superscript"/>
          <w:lang w:eastAsia="zh-CN"/>
        </w:rPr>
      </w:pPr>
      <w:r>
        <w:rPr>
          <w:rFonts w:eastAsia="SimSun"/>
          <w:lang w:eastAsia="zh-CN"/>
        </w:rPr>
        <w:t xml:space="preserve">Руководитель практики – </w:t>
      </w:r>
      <w:r>
        <w:t xml:space="preserve"> Даниловских Т.Е.</w:t>
      </w:r>
    </w:p>
    <w:p w14:paraId="0AD770A7">
      <w:pPr>
        <w:suppressAutoHyphens/>
        <w:contextualSpacing/>
        <w:rPr>
          <w:rFonts w:eastAsia="SimSun"/>
          <w:lang w:eastAsia="zh-CN"/>
        </w:rPr>
      </w:pPr>
    </w:p>
    <w:p w14:paraId="06096859">
      <w:pPr>
        <w:suppressAutoHyphens/>
        <w:contextualSpacing/>
        <w:rPr>
          <w:color w:val="000000"/>
        </w:rPr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прошел__________________________ С.А. Киреева</w:t>
      </w:r>
    </w:p>
    <w:p w14:paraId="31F4E238">
      <w:pPr>
        <w:suppressAutoHyphens/>
        <w:contextualSpacing/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(подпись уполномоченного лица, МП)</w:t>
      </w:r>
    </w:p>
    <w:p w14:paraId="1A97478D">
      <w:pPr>
        <w:suppressAutoHyphens/>
        <w:contextualSpacing/>
        <w:jc w:val="center"/>
        <w:rPr>
          <w:color w:val="000000"/>
        </w:rPr>
      </w:pPr>
    </w:p>
    <w:p w14:paraId="38A0B175">
      <w:pPr>
        <w:suppressAutoHyphens/>
        <w:contextualSpacing/>
        <w:rPr>
          <w:color w:val="000000"/>
        </w:rPr>
      </w:pPr>
      <w:r>
        <w:rPr>
          <w:color w:val="000000"/>
        </w:rPr>
        <w:t>С правилами трудового распорядка ознакомлен __________________</w:t>
      </w:r>
      <w:r>
        <w:t xml:space="preserve"> </w:t>
      </w:r>
      <w:r>
        <w:rPr>
          <w:color w:val="000000"/>
        </w:rPr>
        <w:t>Я.П. Бобракова</w:t>
      </w:r>
    </w:p>
    <w:p w14:paraId="07C4A90D">
      <w:pPr>
        <w:suppressAutoHyphens/>
        <w:contextualSpacing/>
        <w:jc w:val="center"/>
        <w:rPr>
          <w:rFonts w:eastAsia="SimSun"/>
          <w:lang w:eastAsia="zh-CN"/>
        </w:rPr>
      </w:pPr>
      <w:r>
        <w:rPr>
          <w:color w:val="000000"/>
          <w:sz w:val="18"/>
          <w:szCs w:val="18"/>
        </w:rPr>
        <w:t xml:space="preserve">                                                                      (подпись обучающегося)</w:t>
      </w:r>
    </w:p>
    <w:p w14:paraId="1E961F82">
      <w:pPr>
        <w:suppressAutoHyphens/>
        <w:rPr>
          <w:b/>
          <w:bCs/>
          <w:szCs w:val="28"/>
        </w:rPr>
      </w:pP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4484"/>
        <w:gridCol w:w="1801"/>
        <w:gridCol w:w="1666"/>
      </w:tblGrid>
      <w:tr w14:paraId="14908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9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37228">
            <w:pPr>
              <w:tabs>
                <w:tab w:val="left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F174A">
            <w:pPr>
              <w:tabs>
                <w:tab w:val="left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D328C">
            <w:pPr>
              <w:tabs>
                <w:tab w:val="left" w:pos="643"/>
              </w:tabs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903B8">
            <w:pPr>
              <w:tabs>
                <w:tab w:val="left" w:pos="643"/>
              </w:tabs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14:paraId="63109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9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D9651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080AA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Организационное собрание</w:t>
            </w:r>
          </w:p>
          <w:p w14:paraId="188EA18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D8B774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16.06.2025</w:t>
            </w:r>
          </w:p>
        </w:tc>
        <w:tc>
          <w:tcPr>
            <w:tcW w:w="8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2A213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</w:p>
        </w:tc>
      </w:tr>
      <w:tr w14:paraId="3E0B2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9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51F7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Практический </w:t>
            </w: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E47DEF">
            <w:pPr>
              <w:rPr>
                <w:bCs/>
                <w:sz w:val="20"/>
              </w:rPr>
            </w:pPr>
            <w:r>
              <w:rPr>
                <w:bCs/>
                <w:sz w:val="20"/>
              </w:rPr>
              <w:t>Особенности деятельности предприятия(организации) (ОПК-2).</w:t>
            </w:r>
          </w:p>
          <w:p w14:paraId="54BFF6AA">
            <w:pPr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 Анализ деятельности организации(ОПК-2).</w:t>
            </w: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6C47A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16.06.2025-18.07.2025</w:t>
            </w:r>
          </w:p>
        </w:tc>
        <w:tc>
          <w:tcPr>
            <w:tcW w:w="8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C6BA9">
            <w:pPr>
              <w:tabs>
                <w:tab w:val="left" w:pos="643"/>
              </w:tabs>
              <w:jc w:val="center"/>
              <w:rPr>
                <w:sz w:val="20"/>
                <w:szCs w:val="20"/>
              </w:rPr>
            </w:pPr>
          </w:p>
        </w:tc>
      </w:tr>
      <w:tr w14:paraId="69BCE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9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282EC3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Заключительный</w:t>
            </w: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96BC76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Подготовка и сдача отчета, в заключении которого сделан вывод, о </w:t>
            </w:r>
            <w:r>
              <w:rPr>
                <w:bCs/>
                <w:sz w:val="20"/>
              </w:rPr>
              <w:t>соответствии нормативной базы и выполнении сроков предоставления отчетности организации требованиям контролирующих и государственных структур.</w:t>
            </w:r>
          </w:p>
        </w:tc>
        <w:tc>
          <w:tcPr>
            <w:tcW w:w="9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901F7">
            <w:pPr>
              <w:tabs>
                <w:tab w:val="left" w:pos="643"/>
              </w:tabs>
              <w:spacing w:line="25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11.07.2025-19.07.2025</w:t>
            </w:r>
          </w:p>
        </w:tc>
        <w:tc>
          <w:tcPr>
            <w:tcW w:w="8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5D2764">
            <w:pPr>
              <w:tabs>
                <w:tab w:val="left" w:pos="643"/>
              </w:tabs>
              <w:spacing w:line="256" w:lineRule="auto"/>
              <w:jc w:val="center"/>
              <w:rPr>
                <w:sz w:val="20"/>
                <w:szCs w:val="20"/>
              </w:rPr>
            </w:pPr>
          </w:p>
        </w:tc>
      </w:tr>
    </w:tbl>
    <w:p w14:paraId="0EC96F80"/>
    <w:p w14:paraId="60C73C8B">
      <w:r>
        <w:t xml:space="preserve">Руководитель учебной практики по </w:t>
      </w:r>
    </w:p>
    <w:p w14:paraId="566A7F6E">
      <w:r>
        <w:t>получению первичных профессиональных</w:t>
      </w:r>
    </w:p>
    <w:p w14:paraId="4EA77E1F">
      <w:r>
        <w:t xml:space="preserve">умений и навыков </w:t>
      </w:r>
    </w:p>
    <w:p w14:paraId="0A9E38F7">
      <w:pPr>
        <w:spacing w:after="120"/>
        <w:ind w:firstLine="403"/>
      </w:pPr>
      <w:r>
        <w:t>канд. экон. наук, доцент</w:t>
      </w:r>
      <w:r>
        <w:tab/>
      </w:r>
      <w:r>
        <w:tab/>
      </w:r>
      <w:r>
        <w:t xml:space="preserve"> </w:t>
      </w:r>
      <w:r>
        <w:tab/>
      </w:r>
      <w:r>
        <w:t xml:space="preserve">           ___________</w:t>
      </w:r>
      <w:r>
        <w:tab/>
      </w:r>
      <w:r>
        <w:t>Т.Е. Даниловских</w:t>
      </w:r>
    </w:p>
    <w:p w14:paraId="72FC1D11">
      <w:pPr>
        <w:autoSpaceDE w:val="0"/>
        <w:autoSpaceDN w:val="0"/>
        <w:adjustRightInd w:val="0"/>
        <w:ind w:firstLine="403"/>
        <w:rPr>
          <w:color w:val="000000"/>
        </w:rPr>
      </w:pPr>
      <w:r>
        <w:rPr>
          <w:color w:val="000000"/>
        </w:rPr>
        <w:t xml:space="preserve">Руководитель практики от </w:t>
      </w:r>
    </w:p>
    <w:p w14:paraId="4CF3FE00">
      <w:pPr>
        <w:autoSpaceDE w:val="0"/>
        <w:autoSpaceDN w:val="0"/>
        <w:adjustRightInd w:val="0"/>
        <w:ind w:firstLine="403"/>
        <w:rPr>
          <w:b/>
        </w:rPr>
      </w:pPr>
      <w:r>
        <w:t xml:space="preserve">ИП Галко Я.Н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___________  С.А. Киреева</w:t>
      </w:r>
    </w:p>
    <w:p w14:paraId="514F24EF">
      <w:pPr>
        <w:autoSpaceDE w:val="0"/>
        <w:autoSpaceDN w:val="0"/>
        <w:adjustRightInd w:val="0"/>
        <w:ind w:firstLine="403"/>
        <w:rPr>
          <w:b/>
        </w:rPr>
      </w:pPr>
    </w:p>
    <w:p w14:paraId="1E17A1E2">
      <w:pPr>
        <w:spacing w:before="240"/>
        <w:jc w:val="center"/>
        <w:sectPr>
          <w:footerReference r:id="rId12" w:type="first"/>
          <w:footerReference r:id="rId10" w:type="default"/>
          <w:footerReference r:id="rId11" w:type="even"/>
          <w:pgSz w:w="11907" w:h="16839"/>
          <w:pgMar w:top="1134" w:right="567" w:bottom="1134" w:left="1701" w:header="720" w:footer="720" w:gutter="0"/>
          <w:cols w:space="720" w:num="1"/>
          <w:titlePg/>
          <w:docGrid w:linePitch="326" w:charSpace="0"/>
        </w:sectPr>
      </w:pPr>
    </w:p>
    <w:p w14:paraId="29107DA6">
      <w:pPr>
        <w:widowControl w:val="0"/>
        <w:jc w:val="center"/>
        <w:rPr>
          <w:szCs w:val="20"/>
          <w:lang w:eastAsia="ar-SA"/>
        </w:rPr>
      </w:pPr>
      <w:r>
        <w:rPr>
          <w:szCs w:val="20"/>
          <w:lang w:eastAsia="ar-SA"/>
        </w:rPr>
        <w:t>Отзыв-характеристика</w:t>
      </w:r>
    </w:p>
    <w:p w14:paraId="78B1132E">
      <w:pPr>
        <w:widowControl w:val="0"/>
        <w:jc w:val="center"/>
        <w:rPr>
          <w:sz w:val="28"/>
          <w:szCs w:val="28"/>
        </w:rPr>
      </w:pPr>
    </w:p>
    <w:p w14:paraId="3AF62CDA">
      <w:pPr>
        <w:widowControl w:val="0"/>
        <w:spacing w:line="360" w:lineRule="auto"/>
        <w:ind w:firstLine="709"/>
        <w:jc w:val="both"/>
      </w:pPr>
      <w:r>
        <w:tab/>
      </w:r>
      <w:r>
        <w:t>На студента 3 курса группы ЭБ-22-1 направления «Экономическая безопасность» кафедры Экономики и управления.</w:t>
      </w:r>
    </w:p>
    <w:p w14:paraId="10E05B4B">
      <w:pPr>
        <w:widowControl w:val="0"/>
        <w:spacing w:line="360" w:lineRule="auto"/>
        <w:ind w:firstLine="709"/>
        <w:jc w:val="both"/>
      </w:pPr>
      <w:r>
        <w:t>Бобракова Яр</w:t>
      </w:r>
      <w:r>
        <w:rPr>
          <w:lang w:val="ru-RU"/>
        </w:rPr>
        <w:t>ослава</w:t>
      </w:r>
      <w:r>
        <w:t xml:space="preserve"> Павловна с 16 июня 2025 года по 19 июля 2025 года прошла учебную практику по получению первичных профессиональных умений и навыков в ИП Галко Я.Н.</w:t>
      </w:r>
    </w:p>
    <w:p w14:paraId="0A1AF802">
      <w:pPr>
        <w:spacing w:line="360" w:lineRule="auto"/>
        <w:ind w:firstLine="709"/>
        <w:jc w:val="both"/>
      </w:pPr>
      <w:r>
        <w:t>В период практики были изучены вопросы налогообложения и отраслевых особенностей деятельности организации. Проведена оценка результатов хозяйственной деятельности предприятия, собраны и проанализированы базовые показатели, выручка, затраты, прибыль, рентабельность, численность персонала, фонд заработной платы и др. за два последних отчетных года.</w:t>
      </w:r>
    </w:p>
    <w:p w14:paraId="47A91B33">
      <w:pPr>
        <w:widowControl w:val="0"/>
        <w:spacing w:line="360" w:lineRule="auto"/>
        <w:ind w:firstLine="709"/>
        <w:jc w:val="both"/>
      </w:pPr>
      <w:r>
        <w:t>Во время прохождения практики Бобракова Яр</w:t>
      </w:r>
      <w:r>
        <w:rPr>
          <w:lang w:val="ru-RU"/>
        </w:rPr>
        <w:t>ослава</w:t>
      </w:r>
      <w:bookmarkStart w:id="7" w:name="_GoBack"/>
      <w:bookmarkEnd w:id="7"/>
      <w:r>
        <w:t xml:space="preserve"> Павловна показала отличный уровень теоретических знаний и умений применять их на практике, хорошо справлялась с поставленными перед ней задачами, проявляла активный интерес к работе. Проявила себя как трудолюбивый, отзывчивый, исполнительный сотрудник, который ответственно подходит к работе. </w:t>
      </w:r>
    </w:p>
    <w:p w14:paraId="3D854F64">
      <w:pPr>
        <w:widowControl w:val="0"/>
        <w:spacing w:line="360" w:lineRule="auto"/>
        <w:jc w:val="both"/>
      </w:pPr>
    </w:p>
    <w:p w14:paraId="3E437D54">
      <w:pPr>
        <w:widowControl w:val="0"/>
        <w:spacing w:line="360" w:lineRule="auto"/>
        <w:jc w:val="both"/>
      </w:pPr>
      <w:r>
        <w:t>Руководитель практики от предприятия:</w:t>
      </w:r>
    </w:p>
    <w:p w14:paraId="3E2BDCBA">
      <w:pPr>
        <w:widowControl w:val="0"/>
        <w:spacing w:line="360" w:lineRule="auto"/>
        <w:jc w:val="both"/>
      </w:pPr>
    </w:p>
    <w:p w14:paraId="33BFA3E9">
      <w:pPr>
        <w:widowControl w:val="0"/>
        <w:spacing w:line="360" w:lineRule="auto"/>
        <w:jc w:val="both"/>
      </w:pPr>
      <w:r>
        <w:t>Главный бухгалтер</w:t>
      </w:r>
      <w:r>
        <w:tab/>
      </w:r>
      <w:r>
        <w:tab/>
      </w:r>
      <w:r>
        <w:tab/>
      </w:r>
      <w:r>
        <w:tab/>
      </w:r>
      <w:r>
        <w:t xml:space="preserve"> ______________</w:t>
      </w:r>
      <w:r>
        <w:tab/>
      </w:r>
      <w:r>
        <w:t xml:space="preserve"> Киреева С.А.</w:t>
      </w:r>
      <w:r>
        <w:tab/>
      </w:r>
      <w:r>
        <w:tab/>
      </w:r>
      <w:r>
        <w:tab/>
      </w:r>
      <w:r>
        <w:tab/>
      </w:r>
      <w:r>
        <w:t xml:space="preserve">     Дата              (подпись)</w:t>
      </w:r>
    </w:p>
    <w:p w14:paraId="5A000167">
      <w:pPr>
        <w:widowControl w:val="0"/>
        <w:jc w:val="both"/>
      </w:pPr>
    </w:p>
    <w:p w14:paraId="4D42AB80"/>
    <w:p w14:paraId="711307E9">
      <w:pPr>
        <w:spacing w:before="240"/>
        <w:jc w:val="center"/>
        <w:sectPr>
          <w:pgSz w:w="11906" w:h="16838"/>
          <w:pgMar w:top="1134" w:right="567" w:bottom="1134" w:left="1701" w:header="708" w:footer="708" w:gutter="0"/>
          <w:cols w:space="708" w:num="1"/>
          <w:titlePg/>
          <w:docGrid w:linePitch="360" w:charSpace="0"/>
        </w:sectPr>
      </w:pPr>
    </w:p>
    <w:p w14:paraId="6026BE40">
      <w:pPr>
        <w:spacing w:after="240"/>
        <w:jc w:val="center"/>
      </w:pPr>
      <w:r>
        <w:rPr>
          <w:rFonts w:ascii="Arial" w:hAnsi="Arial" w:cs="Arial"/>
          <w:sz w:val="30"/>
          <w:szCs w:val="30"/>
        </w:rPr>
        <w:t>Содержание</w:t>
      </w:r>
    </w:p>
    <w:p w14:paraId="42E53C76">
      <w:pPr>
        <w:pStyle w:val="9"/>
        <w:tabs>
          <w:tab w:val="right" w:pos="9628"/>
        </w:tabs>
        <w:spacing w:after="0" w:line="360" w:lineRule="auto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TOC \o "1-3" \h \z \u </w:instrText>
      </w:r>
      <w:r>
        <w:rPr>
          <w:sz w:val="28"/>
          <w:szCs w:val="28"/>
        </w:rPr>
        <w:fldChar w:fldCharType="separate"/>
      </w:r>
      <w:r>
        <w:fldChar w:fldCharType="begin"/>
      </w:r>
      <w:r>
        <w:instrText xml:space="preserve"> HYPERLINK \l "_Toc203149696" </w:instrText>
      </w:r>
      <w:r>
        <w:fldChar w:fldCharType="separate"/>
      </w:r>
      <w:r>
        <w:rPr>
          <w:rStyle w:val="6"/>
          <w:rFonts w:eastAsiaTheme="majorEastAsia"/>
          <w:sz w:val="28"/>
          <w:szCs w:val="28"/>
          <w:u w:val="none"/>
        </w:rPr>
        <w:t>Введение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_Toc203149696 \h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3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 w14:paraId="6F4D451E">
      <w:pPr>
        <w:pStyle w:val="9"/>
        <w:tabs>
          <w:tab w:val="right" w:pos="9628"/>
        </w:tabs>
        <w:spacing w:after="0" w:line="360" w:lineRule="auto"/>
        <w:rPr>
          <w:rFonts w:asciiTheme="minorHAnsi" w:hAnsiTheme="minorHAnsi" w:eastAsiaTheme="minorEastAsia" w:cstheme="minorBidi"/>
          <w:sz w:val="28"/>
          <w:szCs w:val="28"/>
        </w:rPr>
      </w:pPr>
      <w:r>
        <w:fldChar w:fldCharType="begin"/>
      </w:r>
      <w:r>
        <w:instrText xml:space="preserve"> HYPERLINK \l "_Toc203149697" </w:instrText>
      </w:r>
      <w:r>
        <w:fldChar w:fldCharType="separate"/>
      </w:r>
      <w:r>
        <w:rPr>
          <w:rStyle w:val="6"/>
          <w:rFonts w:eastAsiaTheme="majorEastAsia"/>
          <w:sz w:val="28"/>
          <w:szCs w:val="28"/>
          <w:u w:val="none"/>
        </w:rPr>
        <w:t>1 Особенности деятельности ИП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_Toc203149697 \h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4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 w14:paraId="02619054">
      <w:pPr>
        <w:pStyle w:val="9"/>
        <w:tabs>
          <w:tab w:val="right" w:pos="9628"/>
        </w:tabs>
        <w:spacing w:after="0" w:line="360" w:lineRule="auto"/>
        <w:rPr>
          <w:rFonts w:asciiTheme="minorHAnsi" w:hAnsiTheme="minorHAnsi" w:eastAsiaTheme="minorEastAsia" w:cstheme="minorBidi"/>
          <w:sz w:val="28"/>
          <w:szCs w:val="28"/>
        </w:rPr>
      </w:pPr>
      <w:r>
        <w:fldChar w:fldCharType="begin"/>
      </w:r>
      <w:r>
        <w:instrText xml:space="preserve"> HYPERLINK \l "_Toc203149698" </w:instrText>
      </w:r>
      <w:r>
        <w:fldChar w:fldCharType="separate"/>
      </w:r>
      <w:r>
        <w:rPr>
          <w:rStyle w:val="6"/>
          <w:rFonts w:eastAsiaTheme="majorEastAsia"/>
          <w:sz w:val="28"/>
          <w:szCs w:val="28"/>
          <w:u w:val="none"/>
        </w:rPr>
        <w:t xml:space="preserve">2 </w:t>
      </w:r>
      <w:r>
        <w:rPr>
          <w:rStyle w:val="6"/>
          <w:rFonts w:eastAsiaTheme="majorEastAsia"/>
          <w:sz w:val="28"/>
          <w:szCs w:val="28"/>
          <w:u w:val="none"/>
          <w:lang w:eastAsia="zh-CN"/>
        </w:rPr>
        <w:t>Краткий анализ результатов хозяйственной деятельности ИП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_Toc203149698 \h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9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 w14:paraId="73EAA6E0">
      <w:pPr>
        <w:pStyle w:val="9"/>
        <w:tabs>
          <w:tab w:val="right" w:pos="9628"/>
        </w:tabs>
        <w:spacing w:after="0" w:line="360" w:lineRule="auto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Style w:val="6"/>
          <w:rFonts w:eastAsiaTheme="majorEastAsia"/>
          <w:sz w:val="28"/>
          <w:szCs w:val="28"/>
          <w:u w:val="none"/>
        </w:rPr>
        <w:t xml:space="preserve">   </w:t>
      </w:r>
      <w:r>
        <w:fldChar w:fldCharType="begin"/>
      </w:r>
      <w:r>
        <w:instrText xml:space="preserve"> HYPERLINK \l "_Toc203149699" </w:instrText>
      </w:r>
      <w:r>
        <w:fldChar w:fldCharType="separate"/>
      </w:r>
      <w:r>
        <w:rPr>
          <w:rStyle w:val="6"/>
          <w:rFonts w:eastAsiaTheme="majorEastAsia"/>
          <w:sz w:val="28"/>
          <w:szCs w:val="28"/>
          <w:u w:val="none"/>
        </w:rPr>
        <w:t>Заключение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_Toc203149699 \h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12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 w14:paraId="0C10E0B5">
      <w:pPr>
        <w:pStyle w:val="9"/>
        <w:tabs>
          <w:tab w:val="right" w:pos="9628"/>
        </w:tabs>
        <w:spacing w:after="0" w:line="360" w:lineRule="auto"/>
        <w:rPr>
          <w:rFonts w:eastAsiaTheme="minorEastAsia"/>
          <w:sz w:val="28"/>
          <w:szCs w:val="28"/>
        </w:rPr>
      </w:pPr>
      <w:r>
        <w:rPr>
          <w:rStyle w:val="6"/>
          <w:rFonts w:eastAsiaTheme="majorEastAsia"/>
          <w:sz w:val="28"/>
          <w:szCs w:val="28"/>
          <w:u w:val="none"/>
        </w:rPr>
        <w:t xml:space="preserve">   </w:t>
      </w:r>
      <w:r>
        <w:fldChar w:fldCharType="begin"/>
      </w:r>
      <w:r>
        <w:instrText xml:space="preserve"> HYPERLINK \l "_Toc203149700" </w:instrText>
      </w:r>
      <w:r>
        <w:fldChar w:fldCharType="separate"/>
      </w:r>
      <w:r>
        <w:rPr>
          <w:rStyle w:val="6"/>
          <w:rFonts w:eastAsiaTheme="majorEastAsia"/>
          <w:sz w:val="28"/>
          <w:szCs w:val="28"/>
          <w:u w:val="none"/>
        </w:rPr>
        <w:t>Список использованных источников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_Toc203149700 \h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13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  <w:r>
        <w:rPr>
          <w:rStyle w:val="6"/>
          <w:rFonts w:eastAsiaTheme="majorEastAsia"/>
          <w:sz w:val="28"/>
          <w:szCs w:val="28"/>
          <w:u w:val="none"/>
        </w:rPr>
        <w:br w:type="textWrapping"/>
      </w:r>
      <w:r>
        <w:rPr>
          <w:rFonts w:eastAsiaTheme="minorEastAsia"/>
          <w:sz w:val="28"/>
          <w:szCs w:val="28"/>
        </w:rPr>
        <w:t xml:space="preserve">   Приложение А. Налоговая декларация ИП Галко Я.Н. за 2022</w:t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>14</w:t>
      </w:r>
    </w:p>
    <w:p w14:paraId="451A3B70">
      <w:pPr>
        <w:spacing w:line="360" w:lineRule="auto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 Приложение Б. Налоговая декларация ИП Галко Я.Н. за 2023</w:t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 xml:space="preserve"> 16</w:t>
      </w:r>
    </w:p>
    <w:p w14:paraId="23EDFAD1">
      <w:pPr>
        <w:spacing w:line="360" w:lineRule="auto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 Приложение В. Налоговая декларация ИП Галко Я.Н. за 2024</w:t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ab/>
      </w:r>
      <w:r>
        <w:rPr>
          <w:rFonts w:eastAsiaTheme="minorEastAsia"/>
          <w:sz w:val="28"/>
          <w:szCs w:val="28"/>
        </w:rPr>
        <w:t xml:space="preserve"> 18</w:t>
      </w:r>
    </w:p>
    <w:p w14:paraId="203CC408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fldChar w:fldCharType="end"/>
      </w:r>
      <w:r>
        <w:rPr>
          <w:sz w:val="28"/>
          <w:szCs w:val="28"/>
        </w:rPr>
        <w:br w:type="page"/>
      </w:r>
    </w:p>
    <w:p w14:paraId="227039FB">
      <w:pPr>
        <w:pStyle w:val="18"/>
      </w:pPr>
      <w:bookmarkStart w:id="2" w:name="_Toc203149696"/>
      <w:r>
        <w:t>Введение</w:t>
      </w:r>
      <w:bookmarkEnd w:id="2"/>
    </w:p>
    <w:p w14:paraId="14AE1A78">
      <w:pPr>
        <w:pStyle w:val="22"/>
      </w:pPr>
      <w:r>
        <w:t>Учебная практика по получению первичных профессиональных умений и навыков длится с 16 июня 2025 по 19 июля 2025. Местом для прохождения практики является ИП Галко Я.Н.</w:t>
      </w:r>
    </w:p>
    <w:p w14:paraId="5B5B98B4">
      <w:pPr>
        <w:pStyle w:val="22"/>
      </w:pPr>
      <w:r>
        <w:t>Целью учебной практики по получению первичных профессиональных умений и навыков является формирование представления о практической деятельности организации на уровне базовых экономических и управленческих процессов, а также развитие навыков анализа информации с использованием типовых методик и нормативно-правовых основ.</w:t>
      </w:r>
    </w:p>
    <w:p w14:paraId="26D60784">
      <w:pPr>
        <w:pStyle w:val="22"/>
      </w:pPr>
      <w:r>
        <w:t>Задачи практики:</w:t>
      </w:r>
    </w:p>
    <w:p w14:paraId="7BEB29A4">
      <w:pPr>
        <w:pStyle w:val="22"/>
      </w:pPr>
      <w:r>
        <w:t>– изучение ключевых аспектов деятельности предприятия, включая его организационно-правовую форму, структуру, систему налогообложения и виды хозяйственной деятельности;</w:t>
      </w:r>
    </w:p>
    <w:p w14:paraId="07A97EDA">
      <w:pPr>
        <w:pStyle w:val="22"/>
      </w:pPr>
      <w:r>
        <w:t>– освоение навыков поиска и обработки информации о деятельности организации с применением технических средств и открытых информационных систем;</w:t>
      </w:r>
    </w:p>
    <w:p w14:paraId="0C7437DB">
      <w:pPr>
        <w:pStyle w:val="22"/>
      </w:pPr>
      <w:r>
        <w:t>– сбор и предварительный анализ данных, необходимых для расчёта экономических показателей, характеризующих результаты работы предприятия;</w:t>
      </w:r>
    </w:p>
    <w:p w14:paraId="618F8B0C">
      <w:pPr>
        <w:pStyle w:val="22"/>
      </w:pPr>
      <w:r>
        <w:t>– освоение подходов к расчёту и интерпретации экономических показателей, отражающих эффективность деятельности организации;</w:t>
      </w:r>
    </w:p>
    <w:p w14:paraId="5AD637EE">
      <w:pPr>
        <w:pStyle w:val="22"/>
      </w:pPr>
      <w:r>
        <w:t>– формирование навыков аналитического мышления при работе с данными финансовой отчётности и трудовых ресурсов.</w:t>
      </w:r>
    </w:p>
    <w:p w14:paraId="672C86DE">
      <w:pPr>
        <w:pStyle w:val="22"/>
      </w:pPr>
    </w:p>
    <w:p w14:paraId="095DF68A">
      <w:pPr>
        <w:spacing w:after="160" w:line="259" w:lineRule="auto"/>
        <w:rPr>
          <w:rFonts w:cs="Arial"/>
          <w:bCs/>
          <w:color w:val="000000" w:themeColor="text1"/>
          <w:kern w:val="32"/>
          <w:sz w:val="28"/>
          <w:szCs w:val="28"/>
          <w14:textFill>
            <w14:solidFill>
              <w14:schemeClr w14:val="tx1"/>
            </w14:solidFill>
          </w14:textFill>
        </w:rPr>
      </w:pPr>
      <w:r>
        <w:br w:type="page"/>
      </w:r>
    </w:p>
    <w:p w14:paraId="0B7664D1">
      <w:pPr>
        <w:pStyle w:val="18"/>
        <w:ind w:left="709"/>
        <w:jc w:val="left"/>
      </w:pPr>
      <w:bookmarkStart w:id="3" w:name="_Toc203149697"/>
      <w:r>
        <w:t>1 Особенности деятельности ИП</w:t>
      </w:r>
      <w:bookmarkEnd w:id="3"/>
    </w:p>
    <w:p w14:paraId="5324B5AD">
      <w:pPr>
        <w:pStyle w:val="22"/>
      </w:pPr>
      <w:r>
        <w:t xml:space="preserve">Индивидуальный предприниматель Галко Яков Николаевич зарегистрирован в соответствии с законодательством Российской Федерации 15 июня 2005 года, что подтверждается ОГРНИП 305253716600032, ИНН </w:t>
      </w:r>
      <w:r>
        <w:rPr>
          <w:rStyle w:val="7"/>
          <w:b w:val="0"/>
          <w:bCs/>
        </w:rPr>
        <w:t>253710873531</w:t>
      </w:r>
      <w:r>
        <w:t xml:space="preserve">. С этого момента он непрерывно ведёт предпринимательскую деятельность, что свидетельствует о высокой устойчивости и длительном присутствии на рынке. Местом регистрации ИП является город Владивосток, Приморский край </w:t>
      </w:r>
      <w:r>
        <w:rPr>
          <w:lang w:val="en-US"/>
        </w:rPr>
        <w:t>[1]</w:t>
      </w:r>
      <w:r>
        <w:t>.</w:t>
      </w:r>
    </w:p>
    <w:p w14:paraId="6698DD8A">
      <w:pPr>
        <w:pStyle w:val="22"/>
      </w:pPr>
      <w:r>
        <w:t xml:space="preserve">Яков Николаевич является гражданином Российской Федерации и осуществляет деятельность на правах физического лица, зарегистрированного в качестве индивидуального предпринимателя без образования юридического лица. Постановка на налоговый учёт произведена 11 января 2021 года в Межрайонной инспекции ФНС № 14 по Приморскому краю </w:t>
      </w:r>
      <w:r>
        <w:rPr>
          <w:lang w:val="en-US"/>
        </w:rPr>
        <w:t>[2].</w:t>
      </w:r>
      <w:r>
        <w:t xml:space="preserve"> </w:t>
      </w:r>
    </w:p>
    <w:p w14:paraId="5B819075">
      <w:pPr>
        <w:pStyle w:val="22"/>
      </w:pPr>
      <w:r>
        <w:t>Он также зарегистрирован в системе обязательного пенсионного страхования (с 2005 года) и в фонде социального страхования (с 2018 года), что подтверждает его статус как плательщика страховых взносов и потенциального работодателя.</w:t>
      </w:r>
    </w:p>
    <w:p w14:paraId="22D3EBF4">
      <w:pPr>
        <w:pStyle w:val="22"/>
      </w:pPr>
      <w:r>
        <w:t>Галко Яков Николаевич осуществляет деятельность в форме индивидуального предпринимательства. Это одна из самых простых в регистрации и администрировании форм ведения бизнеса в России, что делает её востребованной среди специалистов, оказывающих услуги лично или с привлечением ограниченного числа сотрудников. В случае ИП Галко такая форма соответствует характеру его деятельности: он оказывает юридические услуги. Это направление не требует сложной структуры управления, что делает форму ИП обоснованным выбором.</w:t>
      </w:r>
    </w:p>
    <w:p w14:paraId="370FAECE">
      <w:pPr>
        <w:pStyle w:val="22"/>
      </w:pPr>
      <w:r>
        <w:t>При этом статус ИП предполагает, что предприниматель действует от собственного имени и несёт полную имущественную ответственность по обязательствам. Это особенно важно для Галко Я.Н., поскольку он является участником арбитражных споров, связанных с исполнением договорных обязательств. Отсутствие разграничения между личным и деловым имуществом повышает риски, но одновременно позволяет контрагентам рассматривать его как более надёжного партнёра, работающего без формального прикрытия юридического лица.</w:t>
      </w:r>
    </w:p>
    <w:p w14:paraId="6FB1F365">
      <w:pPr>
        <w:pStyle w:val="22"/>
      </w:pPr>
      <w:r>
        <w:t>Согласно сведениям из официального реестра субъектов МСП, ИП Галко Я.Н. относится к категории микропредприятий. Это подтверждает, что численность работников и годовой оборот находятся в пределах, установленных для данной группы. Статус микропредприятия позволяет ИП использовать льготы по налогообложению, участвовать в государственных программах поддержки, применять упрощённые формы отчётности и проходить проверки по облегченному регламенту [3].</w:t>
      </w:r>
    </w:p>
    <w:p w14:paraId="1119D56A">
      <w:pPr>
        <w:pStyle w:val="22"/>
      </w:pPr>
      <w:r>
        <w:t>ИП Галко Яков Николаевич применяет упрощённую систему налогообложения (УСН) с объектом налогообложения «доходы» по ставке 6%. Данный режим позволяет значительно упростить расчёт налогов: налог начисляется на всю сумму полученных доходов без учёта расходов, что удобно при стабильной выручке и относительно низкой себестоимости услуг. Преимущество УСН с таким объектом также заключается в минимизации объёма документации и снижении риска ошибок в расчётах [1].</w:t>
      </w:r>
    </w:p>
    <w:p w14:paraId="271CF3FD">
      <w:pPr>
        <w:pStyle w:val="22"/>
      </w:pPr>
      <w:r>
        <w:t>Выбор УСН подтверждает ориентацию на упрощённую модель ведения бизнеса, характерную для индивидуальных предпринимателей, работающих в сфере юридических услуг. Отсутствие необходимости уплачивать НДС и налог на прибыль также снижает фискальную нагрузку и упрощает взаимодействие с налоговыми органами.</w:t>
      </w:r>
    </w:p>
    <w:p w14:paraId="1CC8F865">
      <w:pPr>
        <w:pStyle w:val="22"/>
      </w:pPr>
      <w:r>
        <w:t>При этом учитывая широкий перечень видов деятельности, зарегистрированных за ИП Галко, в отдельных направлениях используется и патентная система налогообложения (ПСН). Особенно актуально это для сезонных или нерегулярных видов деятельности, таких как розничная торговля. ПСН позволяет заранее зафиксировать сумму налога на год и не вести учёт доходов по этим направлениям.</w:t>
      </w:r>
    </w:p>
    <w:p w14:paraId="187A666A">
      <w:pPr>
        <w:pStyle w:val="22"/>
      </w:pPr>
      <w:r>
        <w:t>Далее будет рассмотрена динамика фактически уплаченных налогов и страховых взносов за два последних отчётных года. Это позволит сделать выводы о стабильности и финансовой активности бизнеса.</w:t>
      </w:r>
    </w:p>
    <w:p w14:paraId="3F6FF169">
      <w:pPr>
        <w:pStyle w:val="22"/>
      </w:pPr>
      <w:r>
        <w:t>Анализ динамики налоговой нагрузки и страховых взносов ИП Галко Я.Н. за 2022–2024 гг. представлен в таблице 1.1</w:t>
      </w:r>
    </w:p>
    <w:p w14:paraId="59ED5E42">
      <w:pPr>
        <w:pStyle w:val="25"/>
      </w:pPr>
      <w:r>
        <w:t>Таблица 1.1 – Динамика налогов и страховых взносов ИП Галко Я.Н. за 2022–2024 гг.</w:t>
      </w:r>
    </w:p>
    <w:p w14:paraId="1BF15E2A">
      <w:pPr>
        <w:pStyle w:val="25"/>
        <w:spacing w:before="0" w:after="120"/>
        <w:jc w:val="right"/>
      </w:pPr>
      <w:r>
        <w:t>В тысячах рублей</w:t>
      </w:r>
    </w:p>
    <w:tbl>
      <w:tblPr>
        <w:tblStyle w:val="5"/>
        <w:tblW w:w="9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876"/>
        <w:gridCol w:w="943"/>
        <w:gridCol w:w="943"/>
        <w:gridCol w:w="1331"/>
        <w:gridCol w:w="1331"/>
        <w:gridCol w:w="1419"/>
        <w:gridCol w:w="1255"/>
      </w:tblGrid>
      <w:tr w14:paraId="44F7D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6" w:type="dxa"/>
            <w:vMerge w:val="restart"/>
            <w:shd w:val="clear" w:color="auto" w:fill="auto"/>
            <w:vAlign w:val="center"/>
          </w:tcPr>
          <w:p w14:paraId="3A61DDD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Показатель</w:t>
            </w:r>
          </w:p>
        </w:tc>
        <w:tc>
          <w:tcPr>
            <w:tcW w:w="876" w:type="dxa"/>
            <w:vMerge w:val="restart"/>
            <w:shd w:val="clear" w:color="auto" w:fill="auto"/>
            <w:vAlign w:val="center"/>
          </w:tcPr>
          <w:p w14:paraId="5787B8CC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2022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 w14:paraId="0CC95F7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2023</w:t>
            </w:r>
          </w:p>
        </w:tc>
        <w:tc>
          <w:tcPr>
            <w:tcW w:w="943" w:type="dxa"/>
            <w:vMerge w:val="restart"/>
            <w:shd w:val="clear" w:color="auto" w:fill="auto"/>
            <w:vAlign w:val="center"/>
          </w:tcPr>
          <w:p w14:paraId="245F837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2024</w:t>
            </w:r>
          </w:p>
        </w:tc>
        <w:tc>
          <w:tcPr>
            <w:tcW w:w="2662" w:type="dxa"/>
            <w:gridSpan w:val="2"/>
            <w:shd w:val="clear" w:color="auto" w:fill="auto"/>
            <w:vAlign w:val="center"/>
          </w:tcPr>
          <w:p w14:paraId="72E161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Отклонение</w:t>
            </w:r>
          </w:p>
        </w:tc>
        <w:tc>
          <w:tcPr>
            <w:tcW w:w="2674" w:type="dxa"/>
            <w:gridSpan w:val="2"/>
            <w:shd w:val="clear" w:color="auto" w:fill="auto"/>
            <w:vAlign w:val="center"/>
          </w:tcPr>
          <w:p w14:paraId="2E5D1B9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Темп прироста, %</w:t>
            </w:r>
          </w:p>
        </w:tc>
      </w:tr>
      <w:tr w14:paraId="0CE9E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6" w:type="dxa"/>
            <w:vMerge w:val="continue"/>
            <w:shd w:val="clear" w:color="auto" w:fill="auto"/>
            <w:vAlign w:val="center"/>
          </w:tcPr>
          <w:p w14:paraId="06AF77C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876" w:type="dxa"/>
            <w:vMerge w:val="continue"/>
            <w:shd w:val="clear" w:color="auto" w:fill="auto"/>
            <w:vAlign w:val="center"/>
          </w:tcPr>
          <w:p w14:paraId="1492BCE0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5C649DF6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943" w:type="dxa"/>
            <w:vMerge w:val="continue"/>
            <w:shd w:val="clear" w:color="auto" w:fill="auto"/>
            <w:vAlign w:val="center"/>
          </w:tcPr>
          <w:p w14:paraId="1B0CD63D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331" w:type="dxa"/>
            <w:shd w:val="clear" w:color="auto" w:fill="auto"/>
            <w:vAlign w:val="center"/>
          </w:tcPr>
          <w:p w14:paraId="634DCF0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2023/2022</w:t>
            </w:r>
          </w:p>
        </w:tc>
        <w:tc>
          <w:tcPr>
            <w:tcW w:w="1331" w:type="dxa"/>
            <w:shd w:val="clear" w:color="auto" w:fill="auto"/>
            <w:vAlign w:val="center"/>
          </w:tcPr>
          <w:p w14:paraId="56839CE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2024/2022</w:t>
            </w:r>
          </w:p>
        </w:tc>
        <w:tc>
          <w:tcPr>
            <w:tcW w:w="1419" w:type="dxa"/>
            <w:shd w:val="clear" w:color="auto" w:fill="auto"/>
            <w:vAlign w:val="center"/>
          </w:tcPr>
          <w:p w14:paraId="6CBAD2D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2023/2022</w:t>
            </w:r>
          </w:p>
        </w:tc>
        <w:tc>
          <w:tcPr>
            <w:tcW w:w="1255" w:type="dxa"/>
            <w:shd w:val="clear" w:color="auto" w:fill="auto"/>
            <w:vAlign w:val="center"/>
          </w:tcPr>
          <w:p w14:paraId="04E9804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2024/2022</w:t>
            </w:r>
          </w:p>
        </w:tc>
      </w:tr>
      <w:tr w14:paraId="7198D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516" w:type="dxa"/>
            <w:shd w:val="clear" w:color="auto" w:fill="auto"/>
            <w:vAlign w:val="center"/>
          </w:tcPr>
          <w:p w14:paraId="73F65E35">
            <w:pPr>
              <w:rPr>
                <w:color w:val="000000"/>
              </w:rPr>
            </w:pPr>
            <w:r>
              <w:rPr>
                <w:color w:val="000000"/>
              </w:rPr>
              <w:t>Налог по УСН</w:t>
            </w:r>
          </w:p>
        </w:tc>
        <w:tc>
          <w:tcPr>
            <w:tcW w:w="876" w:type="dxa"/>
            <w:shd w:val="clear" w:color="auto" w:fill="auto"/>
            <w:vAlign w:val="bottom"/>
          </w:tcPr>
          <w:p w14:paraId="4D891F9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387,76</w:t>
            </w:r>
          </w:p>
        </w:tc>
        <w:tc>
          <w:tcPr>
            <w:tcW w:w="943" w:type="dxa"/>
            <w:shd w:val="clear" w:color="auto" w:fill="auto"/>
            <w:vAlign w:val="bottom"/>
          </w:tcPr>
          <w:p w14:paraId="208F071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560,19</w:t>
            </w:r>
          </w:p>
        </w:tc>
        <w:tc>
          <w:tcPr>
            <w:tcW w:w="943" w:type="dxa"/>
            <w:shd w:val="clear" w:color="auto" w:fill="auto"/>
            <w:vAlign w:val="bottom"/>
          </w:tcPr>
          <w:p w14:paraId="2A0F6ED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464,31</w:t>
            </w:r>
          </w:p>
        </w:tc>
        <w:tc>
          <w:tcPr>
            <w:tcW w:w="1331" w:type="dxa"/>
            <w:shd w:val="clear" w:color="auto" w:fill="auto"/>
            <w:vAlign w:val="bottom"/>
          </w:tcPr>
          <w:p w14:paraId="2D1B3E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172,43</w:t>
            </w:r>
          </w:p>
        </w:tc>
        <w:tc>
          <w:tcPr>
            <w:tcW w:w="1331" w:type="dxa"/>
            <w:shd w:val="clear" w:color="auto" w:fill="auto"/>
            <w:vAlign w:val="bottom"/>
          </w:tcPr>
          <w:p w14:paraId="094C3B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76,55</w:t>
            </w:r>
          </w:p>
        </w:tc>
        <w:tc>
          <w:tcPr>
            <w:tcW w:w="1419" w:type="dxa"/>
            <w:shd w:val="clear" w:color="auto" w:fill="auto"/>
            <w:vAlign w:val="bottom"/>
          </w:tcPr>
          <w:p w14:paraId="4C91151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44,47</w:t>
            </w:r>
          </w:p>
        </w:tc>
        <w:tc>
          <w:tcPr>
            <w:tcW w:w="1255" w:type="dxa"/>
            <w:shd w:val="clear" w:color="auto" w:fill="auto"/>
            <w:vAlign w:val="bottom"/>
          </w:tcPr>
          <w:p w14:paraId="74E4338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19,74</w:t>
            </w:r>
          </w:p>
        </w:tc>
      </w:tr>
      <w:tr w14:paraId="111D9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516" w:type="dxa"/>
            <w:shd w:val="clear" w:color="auto" w:fill="auto"/>
            <w:vAlign w:val="center"/>
          </w:tcPr>
          <w:p w14:paraId="0F48150C">
            <w:pPr>
              <w:rPr>
                <w:color w:val="000000"/>
              </w:rPr>
            </w:pPr>
            <w:r>
              <w:rPr>
                <w:color w:val="000000"/>
              </w:rPr>
              <w:t>Страховые взносы</w:t>
            </w:r>
          </w:p>
        </w:tc>
        <w:tc>
          <w:tcPr>
            <w:tcW w:w="876" w:type="dxa"/>
            <w:shd w:val="clear" w:color="auto" w:fill="auto"/>
            <w:vAlign w:val="bottom"/>
          </w:tcPr>
          <w:p w14:paraId="5B5C309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119,8</w:t>
            </w:r>
          </w:p>
        </w:tc>
        <w:tc>
          <w:tcPr>
            <w:tcW w:w="943" w:type="dxa"/>
            <w:shd w:val="clear" w:color="auto" w:fill="auto"/>
            <w:vAlign w:val="bottom"/>
          </w:tcPr>
          <w:p w14:paraId="7AC0284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280,09</w:t>
            </w:r>
          </w:p>
        </w:tc>
        <w:tc>
          <w:tcPr>
            <w:tcW w:w="943" w:type="dxa"/>
            <w:shd w:val="clear" w:color="auto" w:fill="auto"/>
            <w:vAlign w:val="bottom"/>
          </w:tcPr>
          <w:p w14:paraId="38D52FF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178,22</w:t>
            </w:r>
          </w:p>
        </w:tc>
        <w:tc>
          <w:tcPr>
            <w:tcW w:w="1331" w:type="dxa"/>
            <w:shd w:val="clear" w:color="auto" w:fill="auto"/>
            <w:vAlign w:val="bottom"/>
          </w:tcPr>
          <w:p w14:paraId="659CDA6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160,29</w:t>
            </w:r>
          </w:p>
        </w:tc>
        <w:tc>
          <w:tcPr>
            <w:tcW w:w="1331" w:type="dxa"/>
            <w:shd w:val="clear" w:color="auto" w:fill="auto"/>
            <w:vAlign w:val="bottom"/>
          </w:tcPr>
          <w:p w14:paraId="4D74C2C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58,42</w:t>
            </w:r>
          </w:p>
        </w:tc>
        <w:tc>
          <w:tcPr>
            <w:tcW w:w="1419" w:type="dxa"/>
            <w:shd w:val="clear" w:color="auto" w:fill="auto"/>
            <w:vAlign w:val="bottom"/>
          </w:tcPr>
          <w:p w14:paraId="1360CF5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133,80</w:t>
            </w:r>
          </w:p>
        </w:tc>
        <w:tc>
          <w:tcPr>
            <w:tcW w:w="1255" w:type="dxa"/>
            <w:shd w:val="clear" w:color="auto" w:fill="auto"/>
            <w:vAlign w:val="bottom"/>
          </w:tcPr>
          <w:p w14:paraId="04000DC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48,76</w:t>
            </w:r>
          </w:p>
        </w:tc>
      </w:tr>
    </w:tbl>
    <w:p w14:paraId="05EC5E71">
      <w:pPr>
        <w:pStyle w:val="22"/>
        <w:spacing w:before="120"/>
      </w:pPr>
      <w:r>
        <w:t>В 2023 году объём налога по УСН увеличился на 172,43 тыс. руб. по сравнению с 2022 годом. Это напрямую связано с ростом выручки на 2873,87 тыс. руб., зафиксированным в разделе 2. Учитывая, что ставка налога составляет фиксированные 6 % от доходов, увеличение налоговой нагрузки является прямым следствием расширения объёма поступлений.</w:t>
      </w:r>
    </w:p>
    <w:p w14:paraId="57EFDBDB">
      <w:pPr>
        <w:pStyle w:val="22"/>
      </w:pPr>
      <w:r>
        <w:t>Рост страховых взносов на 160,29 тыс. руб. в 2023 году также имеет конкретное основание - увеличение фонда оплаты труда на 260,56 тыс. руб. Несмотря на то что численность работников снизилась с 6 до 3 человек, сумма ФОТ выросла, что повлекло за собой увеличение страховых начислений. Изменение численного состава не уменьшило общую нагрузку по взносам, поскольку оставшиеся сотрудники получали более высокую оплату труда.</w:t>
      </w:r>
    </w:p>
    <w:p w14:paraId="27D2535A">
      <w:pPr>
        <w:pStyle w:val="22"/>
      </w:pPr>
      <w:r>
        <w:t>В 2024 году налоговая нагрузка по УСН выросла на 76,55 тыс. руб. по сравнению с 2022 годом, что обусловлено приростом выручки на 1275,89 тыс. руб. относительно базового периода. При этом снижение налога относительно 2023 года объясняется тем, что выручка в 2024 году оказалась ниже, чем в 2023, что пропорционально отразилось на сумме начислений по УСН.</w:t>
      </w:r>
    </w:p>
    <w:p w14:paraId="4AD461A9">
      <w:pPr>
        <w:pStyle w:val="22"/>
      </w:pPr>
      <w:r>
        <w:t>Аналогично, увеличение страховых взносов в 2024 году на 58,42 тыс. руб. по сравнению с 2022 годом вызвано ростом фонда оплаты труда на 783,05 тыс. руб. при численности персонала, близкой к уровню 2022 года. Увеличение ФОТ произошло как за счёт прироста средней заработной платы, так и за счёт восстановления численности сотрудников. Сумма взносов закономерно выросла вслед за ФОТ и осталась выше уровня 2022 года, несмотря на снижение относительно 2023 года.</w:t>
      </w:r>
    </w:p>
    <w:p w14:paraId="27182EB5">
      <w:pPr>
        <w:pStyle w:val="22"/>
      </w:pPr>
      <w:r>
        <w:t>Таким образом, все изменения в налоговой и страховой нагрузке за 2022–2024 гг. являются прямым следствием зафиксированных изменений в выручке и фонде оплаты труда.</w:t>
      </w:r>
    </w:p>
    <w:p w14:paraId="64BC035E">
      <w:pPr>
        <w:pStyle w:val="22"/>
      </w:pPr>
      <w:r>
        <w:t>В соответствии с данными ЕГРИП, основной вид деятельности ИП Галко Якова Николаевича - деятельность в области права (код по ОКВЭД 69.10). Это направление охватывает предоставление юридических консультаций, составление договоров, правовое сопровождение сделок и представление интересов клиентов в суде [4].</w:t>
      </w:r>
    </w:p>
    <w:p w14:paraId="2EA34BB8">
      <w:pPr>
        <w:pStyle w:val="22"/>
      </w:pPr>
      <w:r>
        <w:t>Помимо основного направления, за предпринимателем зарегистрирован обширный перечень дополнительных видов деятельности - всего более 30. В числе указанных направлений:</w:t>
      </w:r>
    </w:p>
    <w:p w14:paraId="0FC3E4B5">
      <w:pPr>
        <w:pStyle w:val="22"/>
      </w:pPr>
      <w:r>
        <w:t>– разработка строительных проектов (код ОКВЭД 41.10);</w:t>
      </w:r>
    </w:p>
    <w:p w14:paraId="03B542BB">
      <w:pPr>
        <w:pStyle w:val="22"/>
      </w:pPr>
      <w:r>
        <w:t>– строительство жилых и нежилых зданий (код ОКВЭД 41.20);</w:t>
      </w:r>
    </w:p>
    <w:p w14:paraId="7531C804">
      <w:pPr>
        <w:pStyle w:val="22"/>
      </w:pPr>
      <w:r>
        <w:t>– разборка и снос зданий (код ОКВЭД 43.11);</w:t>
      </w:r>
    </w:p>
    <w:p w14:paraId="02F88AFE">
      <w:pPr>
        <w:pStyle w:val="22"/>
      </w:pPr>
      <w:r>
        <w:t>– подготовка строительной площадки (код ОКВЭД 43.12);</w:t>
      </w:r>
    </w:p>
    <w:p w14:paraId="503C2952">
      <w:pPr>
        <w:pStyle w:val="22"/>
      </w:pPr>
      <w:r>
        <w:t>– производство штукатурных работ (код ОКВЭД 43.31);</w:t>
      </w:r>
    </w:p>
    <w:p w14:paraId="320326EB">
      <w:pPr>
        <w:pStyle w:val="22"/>
      </w:pPr>
      <w:r>
        <w:t>– производство электромонтажных работ (код ОКВЭД 43.21);</w:t>
      </w:r>
    </w:p>
    <w:p w14:paraId="2316D05A">
      <w:pPr>
        <w:pStyle w:val="22"/>
      </w:pPr>
      <w:r>
        <w:t>– производство малярных и стекольных работ (код ОКВЭД 43.34);</w:t>
      </w:r>
    </w:p>
    <w:p w14:paraId="0DCB4AC7">
      <w:pPr>
        <w:pStyle w:val="22"/>
      </w:pPr>
      <w:r>
        <w:t>– торговля оптовая фруктами и овощами (код ОКВЭД 46.31);</w:t>
      </w:r>
    </w:p>
    <w:p w14:paraId="270C111E">
      <w:pPr>
        <w:pStyle w:val="22"/>
      </w:pPr>
      <w:r>
        <w:t>– торговля оптовая мясом и мясными продуктами (код ОКВЭД 46.32);</w:t>
      </w:r>
    </w:p>
    <w:p w14:paraId="68D79BEC">
      <w:pPr>
        <w:pStyle w:val="22"/>
      </w:pPr>
      <w:r>
        <w:t>– торговля розничная преимущественно пищевыми продуктами (код ОКВЭД 47.11);</w:t>
      </w:r>
    </w:p>
    <w:p w14:paraId="37A3FF8A">
      <w:pPr>
        <w:pStyle w:val="22"/>
      </w:pPr>
      <w:r>
        <w:t>– деятельность ресторанов и услуги по доставке продуктов питания (код ОКВЭД 56.10);</w:t>
      </w:r>
    </w:p>
    <w:p w14:paraId="7756F57F">
      <w:pPr>
        <w:pStyle w:val="22"/>
      </w:pPr>
      <w:r>
        <w:t>– покупка и продажа собственного недвижимого имущества (код ОКВЭД 68.10);</w:t>
      </w:r>
    </w:p>
    <w:p w14:paraId="009E4087">
      <w:pPr>
        <w:pStyle w:val="22"/>
      </w:pPr>
      <w:r>
        <w:t>– деятельность в области архитектуры (код ОКВЭД 71.11);</w:t>
      </w:r>
    </w:p>
    <w:p w14:paraId="6F9CC415">
      <w:pPr>
        <w:pStyle w:val="22"/>
      </w:pPr>
      <w:r>
        <w:t>– консультирование по вопросам коммерческой деятельности и управления (код ОКВЭД 70.22);</w:t>
      </w:r>
    </w:p>
    <w:p w14:paraId="17563D8F">
      <w:pPr>
        <w:pStyle w:val="22"/>
      </w:pPr>
      <w:r>
        <w:t>– деятельность в области бухгалтерского учёта и налогового консультирования (код ОКВЭД 69.20).</w:t>
      </w:r>
    </w:p>
    <w:p w14:paraId="62844A59">
      <w:pPr>
        <w:pStyle w:val="22"/>
      </w:pPr>
      <w:r>
        <w:t>Такое количество и разнообразие зарегистрированных ОКВЭДов создаёт широкие возможности для ведения многопрофильной деятельности, адаптации под проекты разных направлений, а также гибкого применения налоговых режимов, включая патентную систему.</w:t>
      </w:r>
    </w:p>
    <w:p w14:paraId="129763DF">
      <w:pPr>
        <w:pStyle w:val="22"/>
      </w:pPr>
      <w:r>
        <w:t>Как уже говорилось выше основным видом деятельности ИП Галко Якова Николаевича является деятельность в области права (ОКВЭД 69.10). Это направление включает юридическое консультирование, подготовку правовых документов, сопровождение сделок и, при наличии соответствующей квалификации, представительство в судах.</w:t>
      </w:r>
    </w:p>
    <w:p w14:paraId="54DF2E36">
      <w:pPr>
        <w:pStyle w:val="22"/>
      </w:pPr>
      <w:r>
        <w:t xml:space="preserve">Правовая деятельность характеризуется низким уровнем постоянных расходов: не требуется аренда производственных помещений, закупка оборудования или формирование складских запасов. Основные затраты приходятся на оплату профессионального труда, программное обеспечение (включая доступ к справочно-правовым системам), оформление документации и обеспечение конфиденциальности клиентских данных. </w:t>
      </w:r>
    </w:p>
    <w:p w14:paraId="10FCC368">
      <w:pPr>
        <w:pStyle w:val="22"/>
      </w:pPr>
      <w:r>
        <w:t>Юридическая сфера предъявляет высокие требования к соблюдению формальных процедур и ведению отчётности. Каждая операция оформляется документально, а взаимодействие с клиентами строится на договорной основе. Такие особенности влияют на структуру налоговой базы: при стабильной выручке и минимальных расходах предприниматель чаще всего выбирает УСН с объектом «доходы», что и имеет место в случае ИП Галко.</w:t>
      </w:r>
    </w:p>
    <w:p w14:paraId="4BE134F0">
      <w:pPr>
        <w:pStyle w:val="22"/>
      </w:pPr>
      <w:r>
        <w:t xml:space="preserve">Характер деятельности обуславливает и специфику расчётной части. При оказании правовых услуг основными показателями, отражающими результативность бизнеса, являются объёмы поступлений, сумма начисленного налога, а также фиксированные и дополнительные страховые взносы. </w:t>
      </w:r>
    </w:p>
    <w:p w14:paraId="5EF79725">
      <w:pPr>
        <w:spacing w:before="100" w:beforeAutospacing="1" w:after="100" w:afterAutospacing="1"/>
      </w:pPr>
    </w:p>
    <w:p w14:paraId="1E5F3BFC">
      <w:pPr>
        <w:spacing w:after="160" w:line="259" w:lineRule="auto"/>
        <w:rPr>
          <w:rFonts w:cs="Arial"/>
          <w:bCs/>
          <w:color w:val="000000" w:themeColor="text1"/>
          <w:kern w:val="32"/>
          <w:sz w:val="28"/>
          <w:szCs w:val="28"/>
          <w14:textFill>
            <w14:solidFill>
              <w14:schemeClr w14:val="tx1"/>
            </w14:solidFill>
          </w14:textFill>
        </w:rPr>
      </w:pPr>
      <w:r>
        <w:br w:type="page"/>
      </w:r>
    </w:p>
    <w:p w14:paraId="22B1867D">
      <w:pPr>
        <w:pStyle w:val="18"/>
        <w:ind w:left="993" w:hanging="284"/>
        <w:jc w:val="left"/>
      </w:pPr>
      <w:bookmarkStart w:id="4" w:name="_Toc203149698"/>
      <w:r>
        <w:t xml:space="preserve">2 </w:t>
      </w:r>
      <w:r>
        <w:rPr>
          <w:lang w:eastAsia="zh-CN"/>
        </w:rPr>
        <w:t>Краткий анализ результатов хозяйственной деятельности ИП</w:t>
      </w:r>
      <w:bookmarkEnd w:id="4"/>
    </w:p>
    <w:p w14:paraId="5A2CA4AF">
      <w:pPr>
        <w:pStyle w:val="22"/>
      </w:pPr>
      <w:r>
        <w:t>Анализ результатов хозяйственной деятельности ИП Галко Я.Н. проводится на основе доступных данных за 2022–2024 годы. В центре внимания - ключевые показатели, отражающие масштабы и динамику предпринимательской активности: выручка, затраты, прибыль, рентабельность, численность персонала, фонд заработной платы. Выбор именно этих параметров обусловлен спецификой применяемого режима налогообложения и характером деятельности, не требующей ведения развёрнутой бухгалтерской отчётности. Рассмотрение этих данных позволяет зафиксировать изменения в объёмах доходов и структуре обязательных платежей, а также выявить тенденции, характерные для анализируемого периода.</w:t>
      </w:r>
    </w:p>
    <w:p w14:paraId="690F63B8">
      <w:pPr>
        <w:pStyle w:val="22"/>
      </w:pPr>
      <w:r>
        <w:t>Динамика ключевых показателей деятельности ИП Галко Я.Н. за 2022–2024 гг. представлена в таблице 2.1.</w:t>
      </w:r>
    </w:p>
    <w:p w14:paraId="7D4FD2EC">
      <w:pPr>
        <w:pStyle w:val="25"/>
      </w:pPr>
      <w:r>
        <w:t xml:space="preserve">Таблица 2.1 – Динамика ключевых показателей деятельности ИП Галко Я.Н. за 2022-2024 гг. </w:t>
      </w:r>
    </w:p>
    <w:p w14:paraId="0E718434">
      <w:pPr>
        <w:pStyle w:val="25"/>
        <w:spacing w:before="0" w:after="120"/>
        <w:jc w:val="right"/>
      </w:pPr>
      <w:r>
        <w:t>В тысячах рублей</w:t>
      </w:r>
    </w:p>
    <w:tbl>
      <w:tblPr>
        <w:tblStyle w:val="5"/>
        <w:tblW w:w="96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6"/>
        <w:gridCol w:w="973"/>
        <w:gridCol w:w="973"/>
        <w:gridCol w:w="973"/>
        <w:gridCol w:w="1212"/>
        <w:gridCol w:w="1212"/>
        <w:gridCol w:w="1212"/>
        <w:gridCol w:w="1213"/>
      </w:tblGrid>
      <w:tr w14:paraId="69DB6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38" w:type="dxa"/>
            <w:vMerge w:val="restart"/>
            <w:shd w:val="clear" w:color="auto" w:fill="auto"/>
            <w:vAlign w:val="center"/>
          </w:tcPr>
          <w:p w14:paraId="0BAA452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Показатель</w:t>
            </w:r>
          </w:p>
        </w:tc>
        <w:tc>
          <w:tcPr>
            <w:tcW w:w="513" w:type="dxa"/>
            <w:vMerge w:val="restart"/>
            <w:shd w:val="clear" w:color="auto" w:fill="auto"/>
            <w:vAlign w:val="center"/>
          </w:tcPr>
          <w:p w14:paraId="1E2CD2D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2022</w:t>
            </w:r>
          </w:p>
        </w:tc>
        <w:tc>
          <w:tcPr>
            <w:tcW w:w="1009" w:type="dxa"/>
            <w:vMerge w:val="restart"/>
            <w:shd w:val="clear" w:color="auto" w:fill="auto"/>
            <w:vAlign w:val="center"/>
          </w:tcPr>
          <w:p w14:paraId="38A1A034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2023</w:t>
            </w:r>
          </w:p>
        </w:tc>
        <w:tc>
          <w:tcPr>
            <w:tcW w:w="1009" w:type="dxa"/>
            <w:vMerge w:val="restart"/>
            <w:shd w:val="clear" w:color="auto" w:fill="auto"/>
            <w:vAlign w:val="center"/>
          </w:tcPr>
          <w:p w14:paraId="2B8BCEC6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2024</w:t>
            </w:r>
          </w:p>
        </w:tc>
        <w:tc>
          <w:tcPr>
            <w:tcW w:w="2643" w:type="dxa"/>
            <w:gridSpan w:val="2"/>
            <w:shd w:val="clear" w:color="auto" w:fill="auto"/>
            <w:vAlign w:val="center"/>
          </w:tcPr>
          <w:p w14:paraId="005D0961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Отклонение</w:t>
            </w:r>
          </w:p>
        </w:tc>
        <w:tc>
          <w:tcPr>
            <w:tcW w:w="2645" w:type="dxa"/>
            <w:gridSpan w:val="2"/>
            <w:shd w:val="clear" w:color="auto" w:fill="auto"/>
            <w:vAlign w:val="center"/>
          </w:tcPr>
          <w:p w14:paraId="5EA7E3C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Темп прироста, %</w:t>
            </w:r>
          </w:p>
        </w:tc>
      </w:tr>
      <w:tr w14:paraId="2D02C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38" w:type="dxa"/>
            <w:vMerge w:val="continue"/>
            <w:shd w:val="clear" w:color="auto" w:fill="auto"/>
            <w:vAlign w:val="center"/>
          </w:tcPr>
          <w:p w14:paraId="28102F7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513" w:type="dxa"/>
            <w:vMerge w:val="continue"/>
            <w:shd w:val="clear" w:color="auto" w:fill="auto"/>
            <w:vAlign w:val="center"/>
          </w:tcPr>
          <w:p w14:paraId="0FF8BE99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09" w:type="dxa"/>
            <w:vMerge w:val="continue"/>
            <w:shd w:val="clear" w:color="auto" w:fill="auto"/>
            <w:vAlign w:val="center"/>
          </w:tcPr>
          <w:p w14:paraId="54B49E11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009" w:type="dxa"/>
            <w:vMerge w:val="continue"/>
            <w:shd w:val="clear" w:color="auto" w:fill="auto"/>
            <w:vAlign w:val="center"/>
          </w:tcPr>
          <w:p w14:paraId="3020CBA4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321" w:type="dxa"/>
            <w:shd w:val="clear" w:color="auto" w:fill="auto"/>
            <w:vAlign w:val="center"/>
          </w:tcPr>
          <w:p w14:paraId="684CE9A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2023/2022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53127C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2024/2022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D13D4FB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2023/2022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79CF9E8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2024/2022</w:t>
            </w:r>
          </w:p>
        </w:tc>
      </w:tr>
      <w:tr w14:paraId="5102A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8" w:type="dxa"/>
            <w:shd w:val="clear" w:color="auto" w:fill="auto"/>
            <w:vAlign w:val="center"/>
          </w:tcPr>
          <w:p w14:paraId="2254C335">
            <w:pPr>
              <w:rPr>
                <w:color w:val="000000"/>
              </w:rPr>
            </w:pPr>
            <w:r>
              <w:rPr>
                <w:color w:val="000000"/>
              </w:rPr>
              <w:t>Выручка</w:t>
            </w:r>
          </w:p>
        </w:tc>
        <w:tc>
          <w:tcPr>
            <w:tcW w:w="513" w:type="dxa"/>
            <w:shd w:val="clear" w:color="auto" w:fill="auto"/>
            <w:vAlign w:val="bottom"/>
          </w:tcPr>
          <w:p w14:paraId="28D1897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6462,61</w:t>
            </w:r>
          </w:p>
        </w:tc>
        <w:tc>
          <w:tcPr>
            <w:tcW w:w="1009" w:type="dxa"/>
            <w:shd w:val="clear" w:color="auto" w:fill="auto"/>
            <w:vAlign w:val="bottom"/>
          </w:tcPr>
          <w:p w14:paraId="09928EF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9336,48</w:t>
            </w:r>
          </w:p>
        </w:tc>
        <w:tc>
          <w:tcPr>
            <w:tcW w:w="1009" w:type="dxa"/>
            <w:shd w:val="clear" w:color="auto" w:fill="auto"/>
            <w:vAlign w:val="bottom"/>
          </w:tcPr>
          <w:p w14:paraId="568273B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7738,5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659D135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2873,87</w:t>
            </w:r>
          </w:p>
        </w:tc>
        <w:tc>
          <w:tcPr>
            <w:tcW w:w="1322" w:type="dxa"/>
            <w:shd w:val="clear" w:color="auto" w:fill="auto"/>
            <w:vAlign w:val="bottom"/>
          </w:tcPr>
          <w:p w14:paraId="55FC83E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1275,89</w:t>
            </w:r>
          </w:p>
        </w:tc>
        <w:tc>
          <w:tcPr>
            <w:tcW w:w="1322" w:type="dxa"/>
            <w:shd w:val="clear" w:color="auto" w:fill="auto"/>
            <w:vAlign w:val="bottom"/>
          </w:tcPr>
          <w:p w14:paraId="535CA90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44,47 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24CC69C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19,74 </w:t>
            </w:r>
          </w:p>
        </w:tc>
      </w:tr>
      <w:tr w14:paraId="0DBA1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8" w:type="dxa"/>
            <w:shd w:val="clear" w:color="auto" w:fill="auto"/>
            <w:vAlign w:val="center"/>
          </w:tcPr>
          <w:p w14:paraId="6D9AA208">
            <w:pPr>
              <w:rPr>
                <w:color w:val="000000"/>
              </w:rPr>
            </w:pPr>
            <w:r>
              <w:rPr>
                <w:color w:val="000000"/>
              </w:rPr>
              <w:t>Затраты</w:t>
            </w:r>
          </w:p>
        </w:tc>
        <w:tc>
          <w:tcPr>
            <w:tcW w:w="513" w:type="dxa"/>
            <w:shd w:val="clear" w:color="auto" w:fill="auto"/>
            <w:vAlign w:val="bottom"/>
          </w:tcPr>
          <w:p w14:paraId="6046F1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4517,36</w:t>
            </w:r>
          </w:p>
        </w:tc>
        <w:tc>
          <w:tcPr>
            <w:tcW w:w="1009" w:type="dxa"/>
            <w:shd w:val="clear" w:color="auto" w:fill="auto"/>
            <w:vAlign w:val="bottom"/>
          </w:tcPr>
          <w:p w14:paraId="1CBE2BB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5844,64</w:t>
            </w:r>
          </w:p>
        </w:tc>
        <w:tc>
          <w:tcPr>
            <w:tcW w:w="1009" w:type="dxa"/>
            <w:shd w:val="clear" w:color="auto" w:fill="auto"/>
            <w:vAlign w:val="bottom"/>
          </w:tcPr>
          <w:p w14:paraId="46A0A74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5215,75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C3F5DA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1327,28</w:t>
            </w:r>
          </w:p>
        </w:tc>
        <w:tc>
          <w:tcPr>
            <w:tcW w:w="1322" w:type="dxa"/>
            <w:shd w:val="clear" w:color="auto" w:fill="auto"/>
            <w:vAlign w:val="bottom"/>
          </w:tcPr>
          <w:p w14:paraId="45F80B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698,39</w:t>
            </w:r>
          </w:p>
        </w:tc>
        <w:tc>
          <w:tcPr>
            <w:tcW w:w="1322" w:type="dxa"/>
            <w:shd w:val="clear" w:color="auto" w:fill="auto"/>
            <w:vAlign w:val="bottom"/>
          </w:tcPr>
          <w:p w14:paraId="57D1E32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29,38 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2A049AF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15,46 </w:t>
            </w:r>
          </w:p>
        </w:tc>
      </w:tr>
      <w:tr w14:paraId="3A88D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8" w:type="dxa"/>
            <w:shd w:val="clear" w:color="auto" w:fill="auto"/>
            <w:vAlign w:val="center"/>
          </w:tcPr>
          <w:p w14:paraId="38385D25">
            <w:pPr>
              <w:rPr>
                <w:color w:val="000000"/>
              </w:rPr>
            </w:pPr>
            <w:r>
              <w:rPr>
                <w:color w:val="000000"/>
              </w:rPr>
              <w:t>Прибыль</w:t>
            </w:r>
          </w:p>
        </w:tc>
        <w:tc>
          <w:tcPr>
            <w:tcW w:w="513" w:type="dxa"/>
            <w:shd w:val="clear" w:color="auto" w:fill="auto"/>
            <w:vAlign w:val="bottom"/>
          </w:tcPr>
          <w:p w14:paraId="655A1D0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1945,25</w:t>
            </w:r>
          </w:p>
        </w:tc>
        <w:tc>
          <w:tcPr>
            <w:tcW w:w="1009" w:type="dxa"/>
            <w:shd w:val="clear" w:color="auto" w:fill="auto"/>
            <w:vAlign w:val="bottom"/>
          </w:tcPr>
          <w:p w14:paraId="4D192F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3491,84</w:t>
            </w:r>
          </w:p>
        </w:tc>
        <w:tc>
          <w:tcPr>
            <w:tcW w:w="1009" w:type="dxa"/>
            <w:shd w:val="clear" w:color="auto" w:fill="auto"/>
            <w:vAlign w:val="bottom"/>
          </w:tcPr>
          <w:p w14:paraId="5A42E88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2522,75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53E0545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1546,59</w:t>
            </w:r>
          </w:p>
        </w:tc>
        <w:tc>
          <w:tcPr>
            <w:tcW w:w="1322" w:type="dxa"/>
            <w:shd w:val="clear" w:color="auto" w:fill="auto"/>
            <w:vAlign w:val="bottom"/>
          </w:tcPr>
          <w:p w14:paraId="6011909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577,5</w:t>
            </w:r>
          </w:p>
        </w:tc>
        <w:tc>
          <w:tcPr>
            <w:tcW w:w="1322" w:type="dxa"/>
            <w:shd w:val="clear" w:color="auto" w:fill="auto"/>
            <w:vAlign w:val="bottom"/>
          </w:tcPr>
          <w:p w14:paraId="1CE5912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79,51 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2DFF69C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29,69 </w:t>
            </w:r>
          </w:p>
        </w:tc>
      </w:tr>
      <w:tr w14:paraId="2764E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38" w:type="dxa"/>
            <w:shd w:val="clear" w:color="auto" w:fill="auto"/>
            <w:vAlign w:val="center"/>
          </w:tcPr>
          <w:p w14:paraId="2E602A35">
            <w:pPr>
              <w:rPr>
                <w:color w:val="000000"/>
              </w:rPr>
            </w:pPr>
            <w:r>
              <w:rPr>
                <w:color w:val="000000"/>
              </w:rPr>
              <w:t>Рентабельность, %</w:t>
            </w:r>
          </w:p>
        </w:tc>
        <w:tc>
          <w:tcPr>
            <w:tcW w:w="513" w:type="dxa"/>
            <w:shd w:val="clear" w:color="auto" w:fill="auto"/>
            <w:vAlign w:val="bottom"/>
          </w:tcPr>
          <w:p w14:paraId="3A3FF87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30,12</w:t>
            </w:r>
          </w:p>
        </w:tc>
        <w:tc>
          <w:tcPr>
            <w:tcW w:w="1009" w:type="dxa"/>
            <w:shd w:val="clear" w:color="auto" w:fill="auto"/>
            <w:vAlign w:val="bottom"/>
          </w:tcPr>
          <w:p w14:paraId="432CA6F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37,47</w:t>
            </w:r>
          </w:p>
        </w:tc>
        <w:tc>
          <w:tcPr>
            <w:tcW w:w="1009" w:type="dxa"/>
            <w:shd w:val="clear" w:color="auto" w:fill="auto"/>
            <w:vAlign w:val="bottom"/>
          </w:tcPr>
          <w:p w14:paraId="230DCCC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32,62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6376154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7,33</w:t>
            </w:r>
          </w:p>
        </w:tc>
        <w:tc>
          <w:tcPr>
            <w:tcW w:w="1322" w:type="dxa"/>
            <w:shd w:val="clear" w:color="auto" w:fill="auto"/>
            <w:vAlign w:val="bottom"/>
          </w:tcPr>
          <w:p w14:paraId="441C4CD1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2,51</w:t>
            </w:r>
          </w:p>
        </w:tc>
        <w:tc>
          <w:tcPr>
            <w:tcW w:w="1322" w:type="dxa"/>
            <w:shd w:val="clear" w:color="auto" w:fill="auto"/>
            <w:vAlign w:val="bottom"/>
          </w:tcPr>
          <w:p w14:paraId="0CBBD4F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24,25 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1CE565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8,31 </w:t>
            </w:r>
          </w:p>
        </w:tc>
      </w:tr>
      <w:tr w14:paraId="6091E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38" w:type="dxa"/>
            <w:shd w:val="clear" w:color="auto" w:fill="auto"/>
            <w:vAlign w:val="center"/>
          </w:tcPr>
          <w:p w14:paraId="64EC661D">
            <w:pPr>
              <w:rPr>
                <w:color w:val="000000"/>
              </w:rPr>
            </w:pPr>
            <w:r>
              <w:rPr>
                <w:color w:val="000000"/>
              </w:rPr>
              <w:t>Количество сотрудников, чел.</w:t>
            </w:r>
          </w:p>
        </w:tc>
        <w:tc>
          <w:tcPr>
            <w:tcW w:w="513" w:type="dxa"/>
            <w:shd w:val="clear" w:color="auto" w:fill="auto"/>
            <w:vAlign w:val="bottom"/>
          </w:tcPr>
          <w:p w14:paraId="5C1652A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009" w:type="dxa"/>
            <w:shd w:val="clear" w:color="auto" w:fill="auto"/>
            <w:vAlign w:val="bottom"/>
          </w:tcPr>
          <w:p w14:paraId="5F6DD4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009" w:type="dxa"/>
            <w:shd w:val="clear" w:color="auto" w:fill="auto"/>
            <w:vAlign w:val="bottom"/>
          </w:tcPr>
          <w:p w14:paraId="1390E5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38C3EEF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–3</w:t>
            </w:r>
          </w:p>
        </w:tc>
        <w:tc>
          <w:tcPr>
            <w:tcW w:w="1322" w:type="dxa"/>
            <w:shd w:val="clear" w:color="auto" w:fill="auto"/>
            <w:vAlign w:val="bottom"/>
          </w:tcPr>
          <w:p w14:paraId="4FB2C31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–1</w:t>
            </w:r>
          </w:p>
        </w:tc>
        <w:tc>
          <w:tcPr>
            <w:tcW w:w="1322" w:type="dxa"/>
            <w:shd w:val="clear" w:color="auto" w:fill="auto"/>
            <w:vAlign w:val="bottom"/>
          </w:tcPr>
          <w:p w14:paraId="17F3D30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–50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7FF4774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–16,67 </w:t>
            </w:r>
          </w:p>
        </w:tc>
      </w:tr>
      <w:tr w14:paraId="6626D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8" w:type="dxa"/>
            <w:shd w:val="clear" w:color="auto" w:fill="auto"/>
            <w:vAlign w:val="center"/>
          </w:tcPr>
          <w:p w14:paraId="58454778">
            <w:pPr>
              <w:rPr>
                <w:color w:val="000000"/>
              </w:rPr>
            </w:pPr>
            <w:r>
              <w:rPr>
                <w:color w:val="000000"/>
              </w:rPr>
              <w:t>ФОТ</w:t>
            </w:r>
          </w:p>
        </w:tc>
        <w:tc>
          <w:tcPr>
            <w:tcW w:w="513" w:type="dxa"/>
            <w:shd w:val="clear" w:color="auto" w:fill="auto"/>
            <w:vAlign w:val="bottom"/>
          </w:tcPr>
          <w:p w14:paraId="74D3A78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837,71</w:t>
            </w:r>
          </w:p>
        </w:tc>
        <w:tc>
          <w:tcPr>
            <w:tcW w:w="1009" w:type="dxa"/>
            <w:shd w:val="clear" w:color="auto" w:fill="auto"/>
            <w:vAlign w:val="bottom"/>
          </w:tcPr>
          <w:p w14:paraId="76CFA7B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1098,27</w:t>
            </w:r>
          </w:p>
        </w:tc>
        <w:tc>
          <w:tcPr>
            <w:tcW w:w="1009" w:type="dxa"/>
            <w:shd w:val="clear" w:color="auto" w:fill="auto"/>
            <w:vAlign w:val="bottom"/>
          </w:tcPr>
          <w:p w14:paraId="1761C2B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1620,76</w:t>
            </w:r>
          </w:p>
        </w:tc>
        <w:tc>
          <w:tcPr>
            <w:tcW w:w="1321" w:type="dxa"/>
            <w:shd w:val="clear" w:color="auto" w:fill="auto"/>
            <w:vAlign w:val="bottom"/>
          </w:tcPr>
          <w:p w14:paraId="1C77B8F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260,56</w:t>
            </w:r>
          </w:p>
        </w:tc>
        <w:tc>
          <w:tcPr>
            <w:tcW w:w="1322" w:type="dxa"/>
            <w:shd w:val="clear" w:color="auto" w:fill="auto"/>
            <w:vAlign w:val="bottom"/>
          </w:tcPr>
          <w:p w14:paraId="3800282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783,05</w:t>
            </w:r>
          </w:p>
        </w:tc>
        <w:tc>
          <w:tcPr>
            <w:tcW w:w="1322" w:type="dxa"/>
            <w:shd w:val="clear" w:color="auto" w:fill="auto"/>
            <w:vAlign w:val="bottom"/>
          </w:tcPr>
          <w:p w14:paraId="79108DF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31,10 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0B23595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93,48 </w:t>
            </w:r>
          </w:p>
        </w:tc>
      </w:tr>
    </w:tbl>
    <w:p w14:paraId="0C39FF64">
      <w:pPr>
        <w:pStyle w:val="22"/>
        <w:spacing w:before="120"/>
      </w:pPr>
      <w:r>
        <w:t>За период 2022–2024 гг. в деятельности ИП Галко Я.Н. прослеживается отчётливая тенденция к росту ключевых показателей с одновременным изменением структуры затрат и кадровой обеспеченности.</w:t>
      </w:r>
    </w:p>
    <w:p w14:paraId="2807440B">
      <w:pPr>
        <w:pStyle w:val="22"/>
      </w:pPr>
      <w:r>
        <w:t>В 2023 году выручка увеличилась на 44,47 % по сравнению с 2022 годом, достигнув 9336,48 тыс. руб. Это стало основой для значительного прироста прибыли на 1546,59 тыс. руб. (+79,51 %), при том, что затраты за тот же период выросли только на 29,38 %. Такое расхождение темпов роста между доходами и расходами обеспечило существенное повышение рентабельности: с 30,1 % до 37,4 %. Параллельно произошло сокращение численности работников с 6 до 3 человек, что позволило снизить нагрузку на фонд оплаты труда, несмотря на его абсолютный рост. Полученная динамика указывает на переход к более экономичной модели функционирования с акцентом на результативность и снижение издержек на персонал. Сокращение численности, сопровождаемое увеличением прибыли, говорит о рационализации трудозатрат без ущерба для масштабов деятельности.</w:t>
      </w:r>
    </w:p>
    <w:p w14:paraId="39CA33FC">
      <w:pPr>
        <w:pStyle w:val="22"/>
      </w:pPr>
      <w:r>
        <w:t>В 2024 году объёмы выручки сократились относительно 2023 года, но остались выше показателя 2022 года на 19,74 %. Прибыль составила 2522,75 тыс. руб., что превышает базовый уровень 2022 года на 29,69 %, однако ниже уровня 2023 года почти на треть. При этом фонд оплаты труда вырос до 1620,76 тыс. руб., что почти в два раза выше значения 2022 года. Рост затрат на оплату труда сопровождался увеличением численности сотрудников до 5 человек, что свидетельствует о расширении объёма задач, передаваемых наёмному персоналу. Увеличение затрат в условиях снижения выручки относительно предыдущего года оказало влияние на уровень рентабельности, который снизился до 32,6 %, оставаясь, тем не менее, выше стартового значения. Такая динамика отражает изменение приоритетов в распределении ресурсов: вместо сохранения максимальной прибыли в 2024 году предприниматель увеличивает вложения в трудовой компонент, возможно, с прицелом на дальнейшее расширение или стабилизацию процессов.</w:t>
      </w:r>
    </w:p>
    <w:p w14:paraId="1D392A28">
      <w:pPr>
        <w:pStyle w:val="22"/>
      </w:pPr>
      <w:r>
        <w:t>По результатам трёх лет можно зафиксировать устойчивый прирост по основным показателям при последовательной корректировке внутренних параметров деятельности. Рост выручки и прибыли сопровождается целенаправленным изменением численности и фонда оплаты труда, что указывает не на случайные колебания, а на управляемый характер изменений. В 2023 году был реализован ресурс эффективности за счёт оптимизации нагрузки на персонал, а в 2024 году предпринята попытка перераспределения части прибыли в пользу укрепления кадрового состава. Такая структура изменений позволяет говорить о формировании гибкой модели управления, в которой предприниматель реагирует на изменения объёмов и задач через настройку внутренних параметров бизнеса.</w:t>
      </w:r>
    </w:p>
    <w:p w14:paraId="70CE5016">
      <w:pPr>
        <w:pStyle w:val="22"/>
      </w:pPr>
      <w:r>
        <w:t>Показатели за 2022–2024 годы демонстрируют, что предпринимательская деятельность ИП Галко Я.Н. развивалась в логике управляемого роста с адаптацией внутренних ресурсов под меняющиеся условия. Прибыль увеличивалась быстрее, чем затраты, что сопровождалось ростом рентабельности и указывало на высокую отдачу от вложенных средств. При этом перераспределение численности сотрудников и фонда оплаты труда в разные годы отражает осознанные кадровые решения, направленные на баланс между эффективностью и устойчивостью. Изменения в финансовых и трудовых показателях происходили не хаотично, а как реакция на реальную динамику доходов. Это позволяет говорить о зрелом подходе к управлению экономикой малого бизнеса, основанном на рациональной настройке затрат и кадровой политики в ответ на финансовые результаты.</w:t>
      </w:r>
    </w:p>
    <w:p w14:paraId="77454100">
      <w:pPr>
        <w:spacing w:after="160" w:line="259" w:lineRule="auto"/>
      </w:pPr>
    </w:p>
    <w:p w14:paraId="1EAF8DBB">
      <w:pPr>
        <w:spacing w:after="160" w:line="259" w:lineRule="auto"/>
      </w:pPr>
    </w:p>
    <w:p w14:paraId="6D0138A5">
      <w:pPr>
        <w:spacing w:after="160" w:line="259" w:lineRule="auto"/>
      </w:pPr>
    </w:p>
    <w:p w14:paraId="05522934">
      <w:pPr>
        <w:spacing w:after="160" w:line="259" w:lineRule="auto"/>
        <w:rPr>
          <w:rFonts w:cs="Arial"/>
          <w:bCs/>
          <w:color w:val="000000" w:themeColor="text1"/>
          <w:kern w:val="32"/>
          <w:sz w:val="28"/>
          <w:szCs w:val="28"/>
          <w14:textFill>
            <w14:solidFill>
              <w14:schemeClr w14:val="tx1"/>
            </w14:solidFill>
          </w14:textFill>
        </w:rPr>
      </w:pPr>
      <w:r>
        <w:br w:type="page"/>
      </w:r>
    </w:p>
    <w:p w14:paraId="4807BC77">
      <w:pPr>
        <w:pStyle w:val="18"/>
      </w:pPr>
      <w:bookmarkStart w:id="5" w:name="_Toc203149699"/>
      <w:r>
        <w:t>Заключение</w:t>
      </w:r>
      <w:bookmarkEnd w:id="5"/>
    </w:p>
    <w:p w14:paraId="04B983B6">
      <w:pPr>
        <w:pStyle w:val="22"/>
      </w:pPr>
      <w:r>
        <w:t>В ходе прохождения учебной практики в ИП Галко Я.Н. была достигнута основная цель – формирование первичных профессиональных умений и навыков, необходимых для анализа хозяйственной деятельности индивидуального предпринимателя в условиях упрощённой системы налогообложения.</w:t>
      </w:r>
    </w:p>
    <w:p w14:paraId="5BFE9ED4">
      <w:pPr>
        <w:pStyle w:val="22"/>
      </w:pPr>
      <w:r>
        <w:t xml:space="preserve">В рамках первого раздела отчёта была изучена правовая и организационная база деятельности ИП: представлены регистрационные и идентификационные сведения, раскрыты особенности организационно-правовой формы, применяемого налогового режима и отраслевой специфики. Особое внимание было уделено динамике налоговой и страховой нагрузки, которая была сопоставлена с данными об объёмах выручки и фонда оплаты труда. </w:t>
      </w:r>
    </w:p>
    <w:p w14:paraId="52201051">
      <w:pPr>
        <w:pStyle w:val="22"/>
      </w:pPr>
      <w:r>
        <w:t>Во втором разделе проведён анализ ключевых показателей хозяйственной деятельности за 2022–2024 гг., включая выручку, затраты, прибыль, рентабельность, численность персонала и фонд оплаты труда. На основе сравнения с базовым 2022 годом выявлены существенные отклонения, а также зафиксирована устойчивая положительная динамика по большинству показателей. Анализ показал, что рост прибыли и выручки сопровождался корректировкой численности персонала и перераспределением фонда оплаты труда, что указывает на управляемость внутренних процессов и адаптивность модели деятельности ИП Галко Я.Н.</w:t>
      </w:r>
    </w:p>
    <w:p w14:paraId="331EE372">
      <w:pPr>
        <w:pStyle w:val="22"/>
      </w:pPr>
      <w:r>
        <w:t>Таким образом, в процессе практики были не только получены и структурированы данные о предприятии, но и применены методы расчёта и интерпретации экономических показателей, что позволило обоснованно оценить состояние и развитие предпринимательской деятельности. Практика способствовала закреплению теоретических знаний и развитию навыков самостоятельного экономического анализа.</w:t>
      </w:r>
    </w:p>
    <w:p w14:paraId="1A8AD6E9">
      <w:pPr>
        <w:spacing w:after="160" w:line="259" w:lineRule="auto"/>
        <w:rPr>
          <w:rFonts w:cs="Arial"/>
          <w:bCs/>
          <w:color w:val="000000" w:themeColor="text1"/>
          <w:kern w:val="32"/>
          <w:sz w:val="28"/>
          <w:szCs w:val="28"/>
          <w14:textFill>
            <w14:solidFill>
              <w14:schemeClr w14:val="tx1"/>
            </w14:solidFill>
          </w14:textFill>
        </w:rPr>
      </w:pPr>
      <w:r>
        <w:t xml:space="preserve"> </w:t>
      </w:r>
      <w:r>
        <w:br w:type="page"/>
      </w:r>
    </w:p>
    <w:p w14:paraId="339BB3E2">
      <w:pPr>
        <w:pStyle w:val="18"/>
      </w:pPr>
      <w:bookmarkStart w:id="6" w:name="_Toc203149700"/>
      <w:r>
        <w:t>Список использованных источников</w:t>
      </w:r>
      <w:bookmarkEnd w:id="6"/>
    </w:p>
    <w:p w14:paraId="0730531F">
      <w:pPr>
        <w:pStyle w:val="22"/>
      </w:pPr>
      <w:r>
        <w:rPr>
          <w:rStyle w:val="7"/>
          <w:b w:val="0"/>
          <w:bCs/>
        </w:rPr>
        <w:t xml:space="preserve">1 </w:t>
      </w:r>
      <w:r>
        <w:t>Индивидуальный предприниматель Галко Яков Николаевич – Текст: электронный // Rusprofile: [сайт]. – URL: </w:t>
      </w:r>
      <w:r>
        <w:fldChar w:fldCharType="begin"/>
      </w:r>
      <w:r>
        <w:instrText xml:space="preserve"> HYPERLINK "https://www.rusprofile.ru/ip/3052537166%2000032" </w:instrText>
      </w:r>
      <w:r>
        <w:fldChar w:fldCharType="separate"/>
      </w:r>
      <w:r>
        <w:rPr>
          <w:rStyle w:val="6"/>
          <w:color w:val="000000" w:themeColor="text1"/>
          <w:u w:val="none"/>
          <w14:textFill>
            <w14:solidFill>
              <w14:schemeClr w14:val="tx1"/>
            </w14:solidFill>
          </w14:textFill>
        </w:rPr>
        <w:t>https://www.rusprofile.ru/ip/3052537166 00032</w:t>
      </w:r>
      <w:r>
        <w:rPr>
          <w:rStyle w:val="6"/>
          <w:color w:val="000000" w:themeColor="text1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t xml:space="preserve"> (дата обращения: 07.07.2025)</w:t>
      </w:r>
    </w:p>
    <w:p w14:paraId="63F16FA0">
      <w:pPr>
        <w:pStyle w:val="22"/>
      </w:pPr>
      <w:r>
        <w:rPr>
          <w:rStyle w:val="7"/>
          <w:b w:val="0"/>
          <w:bCs/>
        </w:rPr>
        <w:t xml:space="preserve">2 </w:t>
      </w:r>
      <w:r>
        <w:t xml:space="preserve">Галко Яков Николаевич – Текст: электронный // Audit-IT: [сайт]. – URL: </w:t>
      </w:r>
      <w:r>
        <w:fldChar w:fldCharType="begin"/>
      </w:r>
      <w:r>
        <w:instrText xml:space="preserve"> HYPERLINK "https://www.audit-it.ru/contragent/fl/253710873531_galko-iakov-nikolaevich" \t "_new" </w:instrText>
      </w:r>
      <w:r>
        <w:fldChar w:fldCharType="separate"/>
      </w:r>
      <w:r>
        <w:rPr>
          <w:rStyle w:val="6"/>
          <w:color w:val="000000" w:themeColor="text1"/>
          <w:u w:val="none"/>
          <w14:textFill>
            <w14:solidFill>
              <w14:schemeClr w14:val="tx1"/>
            </w14:solidFill>
          </w14:textFill>
        </w:rPr>
        <w:t>https://www.audit-it.ru/contragent/fl/253710873531_galko-iakov-nikolaevich</w:t>
      </w:r>
      <w:r>
        <w:rPr>
          <w:rStyle w:val="6"/>
          <w:color w:val="000000" w:themeColor="text1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t xml:space="preserve"> (дата обращения: 08.07.2025)</w:t>
      </w:r>
    </w:p>
    <w:p w14:paraId="40544323">
      <w:pPr>
        <w:pStyle w:val="22"/>
      </w:pPr>
      <w:r>
        <w:rPr>
          <w:rStyle w:val="7"/>
          <w:b w:val="0"/>
          <w:bCs/>
        </w:rPr>
        <w:t xml:space="preserve">3 </w:t>
      </w:r>
      <w:r>
        <w:t>Индивидуальный предприниматель Галко Яков Николаевич – Текст: электронный // ЗаЧестныйБизнес: [сайт]. – URL: </w:t>
      </w:r>
      <w:r>
        <w:fldChar w:fldCharType="begin"/>
      </w:r>
      <w:r>
        <w:instrText xml:space="preserve"> HYPERLINK "https://zachestnyibiznes.ru/comp%20any/ip/305253716600032_253710873531_GALKO-YaKOV-NIKOLAEVICh" </w:instrText>
      </w:r>
      <w:r>
        <w:fldChar w:fldCharType="separate"/>
      </w:r>
      <w:r>
        <w:rPr>
          <w:rStyle w:val="6"/>
          <w:color w:val="000000" w:themeColor="text1"/>
          <w:u w:val="none"/>
          <w14:textFill>
            <w14:solidFill>
              <w14:schemeClr w14:val="tx1"/>
            </w14:solidFill>
          </w14:textFill>
        </w:rPr>
        <w:t>https://zachestnyibiznes.ru/comp any/ip/305253716600032_253710873531_GALKO-YaKOV-NIKOLAEVICh</w:t>
      </w:r>
      <w:r>
        <w:rPr>
          <w:rStyle w:val="6"/>
          <w:color w:val="000000" w:themeColor="text1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t xml:space="preserve"> (дата обращения: 09.07.2025)</w:t>
      </w:r>
    </w:p>
    <w:p w14:paraId="7BA072C6">
      <w:pPr>
        <w:pStyle w:val="22"/>
      </w:pPr>
      <w:r>
        <w:rPr>
          <w:rStyle w:val="7"/>
          <w:b w:val="0"/>
          <w:bCs/>
        </w:rPr>
        <w:t xml:space="preserve">4 </w:t>
      </w:r>
      <w:r>
        <w:t xml:space="preserve">Единый государственный реестр юридических лиц и индивидуальных предпринимателей – Текст: электронный // egrul.nalog.ru: [сайт]. – URL: </w:t>
      </w:r>
      <w:r>
        <w:fldChar w:fldCharType="begin"/>
      </w:r>
      <w:r>
        <w:instrText xml:space="preserve"> HYPERLINK "https://egrul.nalog.ru/index.html" \t "_new" </w:instrText>
      </w:r>
      <w:r>
        <w:fldChar w:fldCharType="separate"/>
      </w:r>
      <w:r>
        <w:rPr>
          <w:rStyle w:val="6"/>
          <w:color w:val="000000" w:themeColor="text1"/>
          <w:u w:val="none"/>
          <w14:textFill>
            <w14:solidFill>
              <w14:schemeClr w14:val="tx1"/>
            </w14:solidFill>
          </w14:textFill>
        </w:rPr>
        <w:t>https://egrul.nalog.ru/index.html</w:t>
      </w:r>
      <w:r>
        <w:rPr>
          <w:rStyle w:val="6"/>
          <w:color w:val="000000" w:themeColor="text1"/>
          <w:u w:val="none"/>
          <w14:textFill>
            <w14:solidFill>
              <w14:schemeClr w14:val="tx1"/>
            </w14:solidFill>
          </w14:textFill>
        </w:rPr>
        <w:fldChar w:fldCharType="end"/>
      </w:r>
      <w:r>
        <w:t xml:space="preserve"> (дата обращения: 10.07.2025)</w:t>
      </w:r>
    </w:p>
    <w:p w14:paraId="203522B5">
      <w:pPr>
        <w:pStyle w:val="22"/>
      </w:pPr>
      <w:r>
        <w:br w:type="page"/>
      </w:r>
    </w:p>
    <w:p w14:paraId="14CC656F">
      <w:pPr>
        <w:pStyle w:val="22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>Приложение А</w:t>
      </w:r>
    </w:p>
    <w:p w14:paraId="4AAE76ED">
      <w:pPr>
        <w:pStyle w:val="22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 xml:space="preserve">Налоговая декларация ИП Галко Я.Н. за 2022 </w:t>
      </w:r>
    </w:p>
    <w:p w14:paraId="57140611">
      <w:pPr>
        <w:pStyle w:val="22"/>
        <w:spacing w:line="240" w:lineRule="auto"/>
        <w:ind w:firstLine="0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drawing>
          <wp:inline distT="0" distB="0" distL="0" distR="0">
            <wp:extent cx="6120130" cy="75291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529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BADB3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А.1 – Налоговая декларация ИП Галко Я.Н. за 2022</w:t>
      </w:r>
    </w:p>
    <w:p w14:paraId="34DC4F1E">
      <w:pPr>
        <w:spacing w:line="259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14:paraId="4441D4BF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drawing>
          <wp:inline distT="0" distB="0" distL="0" distR="0">
            <wp:extent cx="6120130" cy="31527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06FB4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А.2 – Налоговая декларация ИП Галко Я.Н. за 2022</w:t>
      </w:r>
    </w:p>
    <w:p w14:paraId="55E794A1">
      <w:pPr>
        <w:spacing w:after="160" w:line="259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14:paraId="2F2E377A">
      <w:pPr>
        <w:pStyle w:val="22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>Приложение Б</w:t>
      </w:r>
    </w:p>
    <w:p w14:paraId="05DA0B90">
      <w:pPr>
        <w:pStyle w:val="22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>Налоговая декларация ИП Галко Я.Н. за 2023</w:t>
      </w:r>
    </w:p>
    <w:p w14:paraId="44F515EC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drawing>
          <wp:inline distT="0" distB="0" distL="0" distR="0">
            <wp:extent cx="6120130" cy="7611745"/>
            <wp:effectExtent l="0" t="0" r="0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61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24F9E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Б.1 – Налоговая декларация ИП Галко Я.Н. за 2023</w:t>
      </w:r>
    </w:p>
    <w:p w14:paraId="36121DF3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drawing>
          <wp:inline distT="0" distB="0" distL="0" distR="0">
            <wp:extent cx="6120130" cy="305625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05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72DC5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Б.2 – Налоговая декларация ИП Галко Я.Н. за 2023</w:t>
      </w:r>
    </w:p>
    <w:p w14:paraId="66B9AEB1">
      <w:pPr>
        <w:spacing w:after="160" w:line="259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14:paraId="7BD959AB">
      <w:pPr>
        <w:pStyle w:val="22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>Приложение В</w:t>
      </w:r>
    </w:p>
    <w:p w14:paraId="5C51F3F9">
      <w:pPr>
        <w:pStyle w:val="22"/>
        <w:spacing w:after="240" w:line="240" w:lineRule="auto"/>
        <w:ind w:firstLine="0"/>
        <w:jc w:val="center"/>
        <w:rPr>
          <w:rFonts w:ascii="Arial" w:hAnsi="Arial"/>
          <w:sz w:val="30"/>
          <w:szCs w:val="30"/>
        </w:rPr>
      </w:pPr>
      <w:r>
        <w:rPr>
          <w:rFonts w:ascii="Arial" w:hAnsi="Arial"/>
          <w:sz w:val="30"/>
          <w:szCs w:val="30"/>
        </w:rPr>
        <w:t>Налоговая декларация ИП Галко Я.Н. за 2024</w:t>
      </w:r>
    </w:p>
    <w:p w14:paraId="60051311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drawing>
          <wp:inline distT="0" distB="0" distL="0" distR="0">
            <wp:extent cx="6096635" cy="7573010"/>
            <wp:effectExtent l="0" t="0" r="0" b="889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96851" cy="757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C31C6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В.1 – Налоговая декларация ИП Галко Я.Н. за 2024</w:t>
      </w:r>
    </w:p>
    <w:p w14:paraId="3AEEE2FB">
      <w:pPr>
        <w:spacing w:after="160" w:line="259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14:paraId="3706CC6D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drawing>
          <wp:inline distT="0" distB="0" distL="0" distR="0">
            <wp:extent cx="6120130" cy="31051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0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9AE1B4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В.2 – Налоговая декларация ИП Галко Я.Н. за 2024</w:t>
      </w:r>
    </w:p>
    <w:p w14:paraId="3562E2A8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</w:p>
    <w:p w14:paraId="608C5FCF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</w:p>
    <w:p w14:paraId="58CB41FB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</w:p>
    <w:p w14:paraId="02B93A10">
      <w:pPr>
        <w:widowControl w:val="0"/>
        <w:spacing w:before="120" w:after="240" w:line="360" w:lineRule="auto"/>
        <w:jc w:val="center"/>
        <w:rPr>
          <w:color w:val="000000"/>
          <w:sz w:val="28"/>
          <w:szCs w:val="28"/>
        </w:rPr>
      </w:pPr>
    </w:p>
    <w:sectPr>
      <w:pgSz w:w="11906" w:h="16838"/>
      <w:pgMar w:top="1134" w:right="567" w:bottom="1134" w:left="1701" w:header="708" w:footer="708" w:gutter="0"/>
      <w:pgNumType w:start="2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CC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onsolas">
    <w:panose1 w:val="020B0609020204030204"/>
    <w:charset w:val="CC"/>
    <w:family w:val="modern"/>
    <w:pitch w:val="default"/>
    <w:sig w:usb0="E00006FF" w:usb1="0000FCFF" w:usb2="00000001" w:usb3="00000000" w:csb0="6000019F" w:csb1="DFD7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872A84"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945E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39FAB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1921C1">
    <w:pPr>
      <w:pStyle w:val="11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48C1CF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11B32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21487712"/>
      <w:docPartObj>
        <w:docPartGallery w:val="AutoText"/>
      </w:docPartObj>
    </w:sdtPr>
    <w:sdtContent>
      <w:p w14:paraId="0AE79F7F">
        <w:pPr>
          <w:pStyle w:val="8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83981166"/>
      <w:docPartObj>
        <w:docPartGallery w:val="AutoText"/>
      </w:docPartObj>
    </w:sdtPr>
    <w:sdtContent>
      <w:p w14:paraId="0A892102">
        <w:pPr>
          <w:pStyle w:val="8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113"/>
  <w:autoHyphenation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CA5"/>
    <w:rsid w:val="00025301"/>
    <w:rsid w:val="000314C0"/>
    <w:rsid w:val="00072538"/>
    <w:rsid w:val="000765A1"/>
    <w:rsid w:val="000E7ED4"/>
    <w:rsid w:val="000F0074"/>
    <w:rsid w:val="000F1511"/>
    <w:rsid w:val="001E38F1"/>
    <w:rsid w:val="001F28E7"/>
    <w:rsid w:val="002036BF"/>
    <w:rsid w:val="00223D45"/>
    <w:rsid w:val="00272CF2"/>
    <w:rsid w:val="00315EEF"/>
    <w:rsid w:val="00355515"/>
    <w:rsid w:val="00386CA5"/>
    <w:rsid w:val="003B0742"/>
    <w:rsid w:val="003B2AA9"/>
    <w:rsid w:val="003F0B3B"/>
    <w:rsid w:val="003F433D"/>
    <w:rsid w:val="004247D4"/>
    <w:rsid w:val="004723D6"/>
    <w:rsid w:val="004A47D9"/>
    <w:rsid w:val="004D1671"/>
    <w:rsid w:val="00521074"/>
    <w:rsid w:val="00554227"/>
    <w:rsid w:val="00587512"/>
    <w:rsid w:val="00592C9D"/>
    <w:rsid w:val="005E0F67"/>
    <w:rsid w:val="006672FF"/>
    <w:rsid w:val="00723BB0"/>
    <w:rsid w:val="007442FB"/>
    <w:rsid w:val="007A0639"/>
    <w:rsid w:val="007D5D3D"/>
    <w:rsid w:val="008A0B2E"/>
    <w:rsid w:val="008A71DD"/>
    <w:rsid w:val="008C2487"/>
    <w:rsid w:val="008C2E6E"/>
    <w:rsid w:val="009426E2"/>
    <w:rsid w:val="00957DE9"/>
    <w:rsid w:val="00970D18"/>
    <w:rsid w:val="00973797"/>
    <w:rsid w:val="009A4A28"/>
    <w:rsid w:val="009F4DBE"/>
    <w:rsid w:val="00A04317"/>
    <w:rsid w:val="00AD3289"/>
    <w:rsid w:val="00B22E44"/>
    <w:rsid w:val="00BB5CCA"/>
    <w:rsid w:val="00BD2BCE"/>
    <w:rsid w:val="00C01F93"/>
    <w:rsid w:val="00C043AE"/>
    <w:rsid w:val="00C2050C"/>
    <w:rsid w:val="00C46A7A"/>
    <w:rsid w:val="00C51DF6"/>
    <w:rsid w:val="00D36802"/>
    <w:rsid w:val="00D4369F"/>
    <w:rsid w:val="00D50DBA"/>
    <w:rsid w:val="00DA4E65"/>
    <w:rsid w:val="00DC2F07"/>
    <w:rsid w:val="00DD75A5"/>
    <w:rsid w:val="00DF3298"/>
    <w:rsid w:val="00E003B2"/>
    <w:rsid w:val="00E7303A"/>
    <w:rsid w:val="00E874B1"/>
    <w:rsid w:val="00EA5428"/>
    <w:rsid w:val="00EE561F"/>
    <w:rsid w:val="00F13DCB"/>
    <w:rsid w:val="00F26EDD"/>
    <w:rsid w:val="00F714EE"/>
    <w:rsid w:val="00F76960"/>
    <w:rsid w:val="00FB2C08"/>
    <w:rsid w:val="403F2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semiHidden="0" w:name="toc 1"/>
    <w:lsdException w:uiPriority="39" w:name="toc 2"/>
    <w:lsdException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3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203864" w:themeColor="accent1" w:themeShade="80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7">
    <w:name w:val="Strong"/>
    <w:basedOn w:val="4"/>
    <w:qFormat/>
    <w:uiPriority w:val="22"/>
    <w:rPr>
      <w:b/>
      <w:bCs/>
    </w:rPr>
  </w:style>
  <w:style w:type="paragraph" w:styleId="8">
    <w:name w:val="header"/>
    <w:basedOn w:val="1"/>
    <w:link w:val="15"/>
    <w:unhideWhenUsed/>
    <w:qFormat/>
    <w:uiPriority w:val="99"/>
    <w:pPr>
      <w:tabs>
        <w:tab w:val="center" w:pos="4677"/>
        <w:tab w:val="right" w:pos="9355"/>
      </w:tabs>
    </w:pPr>
  </w:style>
  <w:style w:type="paragraph" w:styleId="9">
    <w:name w:val="toc 1"/>
    <w:basedOn w:val="1"/>
    <w:next w:val="1"/>
    <w:autoRedefine/>
    <w:unhideWhenUsed/>
    <w:uiPriority w:val="39"/>
    <w:pPr>
      <w:spacing w:after="100"/>
    </w:pPr>
  </w:style>
  <w:style w:type="paragraph" w:styleId="10">
    <w:name w:val="toc 3"/>
    <w:basedOn w:val="1"/>
    <w:next w:val="1"/>
    <w:autoRedefine/>
    <w:unhideWhenUsed/>
    <w:uiPriority w:val="39"/>
    <w:pPr>
      <w:spacing w:after="100"/>
      <w:ind w:left="480"/>
    </w:pPr>
  </w:style>
  <w:style w:type="paragraph" w:styleId="11">
    <w:name w:val="footer"/>
    <w:basedOn w:val="1"/>
    <w:link w:val="16"/>
    <w:unhideWhenUsed/>
    <w:qFormat/>
    <w:uiPriority w:val="99"/>
    <w:pPr>
      <w:tabs>
        <w:tab w:val="center" w:pos="4677"/>
        <w:tab w:val="right" w:pos="9355"/>
      </w:tabs>
    </w:pPr>
  </w:style>
  <w:style w:type="paragraph" w:styleId="12">
    <w:name w:val="Normal (Web)"/>
    <w:basedOn w:val="1"/>
    <w:unhideWhenUsed/>
    <w:uiPriority w:val="99"/>
    <w:pPr>
      <w:spacing w:before="100" w:beforeAutospacing="1" w:after="100" w:afterAutospacing="1"/>
    </w:pPr>
  </w:style>
  <w:style w:type="paragraph" w:styleId="13">
    <w:name w:val="HTML Preformatted"/>
    <w:basedOn w:val="1"/>
    <w:link w:val="27"/>
    <w:semiHidden/>
    <w:unhideWhenUsed/>
    <w:uiPriority w:val="99"/>
    <w:rPr>
      <w:rFonts w:ascii="Consolas" w:hAnsi="Consolas"/>
      <w:sz w:val="20"/>
      <w:szCs w:val="20"/>
    </w:rPr>
  </w:style>
  <w:style w:type="paragraph" w:styleId="14">
    <w:name w:val="Block Text"/>
    <w:basedOn w:val="1"/>
    <w:qFormat/>
    <w:uiPriority w:val="0"/>
    <w:pPr>
      <w:ind w:left="851" w:right="821"/>
      <w:jc w:val="both"/>
    </w:pPr>
    <w:rPr>
      <w:sz w:val="32"/>
      <w:szCs w:val="20"/>
    </w:rPr>
  </w:style>
  <w:style w:type="character" w:customStyle="1" w:styleId="15">
    <w:name w:val="Верхний колонтитул Знак"/>
    <w:basedOn w:val="4"/>
    <w:link w:val="8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6">
    <w:name w:val="Нижний колонтитул Знак"/>
    <w:basedOn w:val="4"/>
    <w:link w:val="11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17">
    <w:name w:val="List Paragraph"/>
    <w:basedOn w:val="1"/>
    <w:qFormat/>
    <w:uiPriority w:val="34"/>
    <w:pPr>
      <w:ind w:left="720"/>
      <w:contextualSpacing/>
    </w:pPr>
  </w:style>
  <w:style w:type="paragraph" w:customStyle="1" w:styleId="18">
    <w:name w:val="12"/>
    <w:basedOn w:val="2"/>
    <w:next w:val="1"/>
    <w:link w:val="19"/>
    <w:qFormat/>
    <w:uiPriority w:val="0"/>
    <w:pPr>
      <w:keepLines w:val="0"/>
      <w:spacing w:before="0" w:after="240"/>
      <w:jc w:val="center"/>
    </w:pPr>
    <w:rPr>
      <w:rFonts w:ascii="Arial" w:hAnsi="Arial" w:eastAsia="Times New Roman" w:cs="Arial"/>
      <w:bCs/>
      <w:color w:val="000000" w:themeColor="text1"/>
      <w:kern w:val="32"/>
      <w:sz w:val="30"/>
      <w:szCs w:val="28"/>
      <w14:textFill>
        <w14:solidFill>
          <w14:schemeClr w14:val="tx1"/>
        </w14:solidFill>
      </w14:textFill>
    </w:rPr>
  </w:style>
  <w:style w:type="character" w:customStyle="1" w:styleId="19">
    <w:name w:val="12 Знак"/>
    <w:basedOn w:val="20"/>
    <w:link w:val="18"/>
    <w:uiPriority w:val="0"/>
    <w:rPr>
      <w:rFonts w:ascii="Arial" w:hAnsi="Arial" w:eastAsia="Times New Roman" w:cs="Arial"/>
      <w:bCs/>
      <w:color w:val="000000" w:themeColor="text1"/>
      <w:kern w:val="32"/>
      <w:sz w:val="30"/>
      <w:szCs w:val="28"/>
      <w:lang w:eastAsia="ru-RU"/>
      <w14:textFill>
        <w14:solidFill>
          <w14:schemeClr w14:val="tx1"/>
        </w14:solidFill>
      </w14:textFill>
    </w:rPr>
  </w:style>
  <w:style w:type="character" w:customStyle="1" w:styleId="20">
    <w:name w:val="Заголовок 1 Знак"/>
    <w:basedOn w:val="4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  <w:lang w:eastAsia="ru-RU"/>
    </w:rPr>
  </w:style>
  <w:style w:type="character" w:customStyle="1" w:styleId="21">
    <w:name w:val="Заголовок 3 Знак"/>
    <w:basedOn w:val="4"/>
    <w:link w:val="3"/>
    <w:semiHidden/>
    <w:uiPriority w:val="9"/>
    <w:rPr>
      <w:rFonts w:asciiTheme="majorHAnsi" w:hAnsiTheme="majorHAnsi" w:eastAsiaTheme="majorEastAsia" w:cstheme="majorBidi"/>
      <w:color w:val="203864" w:themeColor="accent1" w:themeShade="80"/>
      <w:sz w:val="24"/>
      <w:szCs w:val="24"/>
      <w:lang w:eastAsia="ru-RU"/>
    </w:rPr>
  </w:style>
  <w:style w:type="paragraph" w:customStyle="1" w:styleId="22">
    <w:name w:val="13"/>
    <w:link w:val="23"/>
    <w:qFormat/>
    <w:uiPriority w:val="0"/>
    <w:pPr>
      <w:widowControl w:val="0"/>
      <w:spacing w:after="0" w:line="360" w:lineRule="auto"/>
      <w:ind w:firstLine="709"/>
      <w:jc w:val="both"/>
    </w:pPr>
    <w:rPr>
      <w:rFonts w:ascii="Times New Roman" w:hAnsi="Times New Roman" w:eastAsia="Times New Roman" w:cs="Arial"/>
      <w:bCs/>
      <w:color w:val="000000" w:themeColor="text1"/>
      <w:kern w:val="32"/>
      <w:sz w:val="28"/>
      <w:szCs w:val="28"/>
      <w:lang w:val="ru-RU" w:eastAsia="ru-RU" w:bidi="ar-SA"/>
      <w14:textFill>
        <w14:solidFill>
          <w14:schemeClr w14:val="tx1"/>
        </w14:solidFill>
      </w14:textFill>
    </w:rPr>
  </w:style>
  <w:style w:type="character" w:customStyle="1" w:styleId="23">
    <w:name w:val="13 Знак"/>
    <w:basedOn w:val="4"/>
    <w:link w:val="22"/>
    <w:uiPriority w:val="0"/>
    <w:rPr>
      <w:rFonts w:ascii="Times New Roman" w:hAnsi="Times New Roman" w:eastAsia="Times New Roman" w:cs="Arial"/>
      <w:bCs/>
      <w:color w:val="000000" w:themeColor="text1"/>
      <w:kern w:val="32"/>
      <w:sz w:val="28"/>
      <w:szCs w:val="28"/>
      <w:lang w:eastAsia="ru-RU"/>
      <w14:textFill>
        <w14:solidFill>
          <w14:schemeClr w14:val="tx1"/>
        </w14:solidFill>
      </w14:textFill>
    </w:rPr>
  </w:style>
  <w:style w:type="character" w:customStyle="1" w:styleId="24">
    <w:name w:val="text-token-text-secondary"/>
    <w:basedOn w:val="4"/>
    <w:uiPriority w:val="0"/>
  </w:style>
  <w:style w:type="paragraph" w:customStyle="1" w:styleId="25">
    <w:name w:val="таблиц"/>
    <w:basedOn w:val="13"/>
    <w:link w:val="26"/>
    <w:qFormat/>
    <w:uiPriority w:val="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before="240"/>
      <w:ind w:left="1701" w:hanging="1701"/>
    </w:pPr>
    <w:rPr>
      <w:rFonts w:ascii="Times New Roman" w:hAnsi="Times New Roman"/>
      <w:color w:val="000000" w:themeColor="text1"/>
      <w:sz w:val="28"/>
      <w:szCs w:val="28"/>
      <w14:textFill>
        <w14:solidFill>
          <w14:schemeClr w14:val="tx1"/>
        </w14:solidFill>
      </w14:textFill>
    </w:rPr>
  </w:style>
  <w:style w:type="character" w:customStyle="1" w:styleId="26">
    <w:name w:val="таблиц Знак"/>
    <w:basedOn w:val="27"/>
    <w:link w:val="25"/>
    <w:uiPriority w:val="1"/>
    <w:rPr>
      <w:rFonts w:ascii="Times New Roman" w:hAnsi="Times New Roman" w:eastAsia="Times New Roman" w:cs="Times New Roman"/>
      <w:color w:val="000000" w:themeColor="text1"/>
      <w:sz w:val="28"/>
      <w:szCs w:val="28"/>
      <w:lang w:eastAsia="ru-RU"/>
      <w14:textFill>
        <w14:solidFill>
          <w14:schemeClr w14:val="tx1"/>
        </w14:solidFill>
      </w14:textFill>
    </w:rPr>
  </w:style>
  <w:style w:type="character" w:customStyle="1" w:styleId="27">
    <w:name w:val="Стандартный HTML Знак"/>
    <w:basedOn w:val="4"/>
    <w:link w:val="13"/>
    <w:semiHidden/>
    <w:uiPriority w:val="99"/>
    <w:rPr>
      <w:rFonts w:ascii="Consolas" w:hAnsi="Consolas" w:eastAsia="Times New Roman" w:cs="Times New Roman"/>
      <w:sz w:val="20"/>
      <w:szCs w:val="20"/>
      <w:lang w:eastAsia="ru-RU"/>
    </w:rPr>
  </w:style>
  <w:style w:type="character" w:customStyle="1" w:styleId="28">
    <w:name w:val="Unresolved Mention"/>
    <w:basedOn w:val="4"/>
    <w:semiHidden/>
    <w:unhideWhenUsed/>
    <w:uiPriority w:val="99"/>
    <w:rPr>
      <w:color w:val="605E5C"/>
      <w:shd w:val="clear" w:color="auto" w:fill="E1DFDD"/>
    </w:rPr>
  </w:style>
  <w:style w:type="character" w:customStyle="1" w:styleId="29">
    <w:name w:val="sr-only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pn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516753-A404-4657-90B5-0B312B1346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3730</Words>
  <Characters>21261</Characters>
  <Lines>177</Lines>
  <Paragraphs>49</Paragraphs>
  <TotalTime>676</TotalTime>
  <ScaleCrop>false</ScaleCrop>
  <LinksUpToDate>false</LinksUpToDate>
  <CharactersWithSpaces>24942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2025-06-21T12:48:00Z</dcterms:created>
  <dc:creator>acer</dc:creator>
  <cp:lastModifiedBy>acer</cp:lastModifiedBy>
  <dcterms:modified xsi:type="dcterms:W3CDTF">2025-07-14T22:34:44Z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16571F26E6E34FA49CB8D652DB134DA8_12</vt:lpwstr>
  </property>
</Properties>
</file>