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body>
    <w:p w14:paraId="00000005">
      <w:pPr>
        <w:spacing w:after="0" w:line="360" w:lineRule="auto"/>
        <w:jc w:val="center"/>
        <w:rPr>
          <w:rFonts w:ascii="Times New Roman" w:eastAsia="TimesNewRomanPS-BoldMT" w:hAnsi="Times New Roman"/>
          <w:bCs/>
          <w:sz w:val="24"/>
          <w:szCs w:val="24"/>
          <w:lang w:eastAsia="ru-RU"/>
        </w:rPr>
      </w:pP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Перечень представленных документов, полученных </w:t>
      </w:r>
    </w:p>
    <w:p w14:paraId="00000006">
      <w:pPr>
        <w:spacing w:after="0" w:line="240" w:lineRule="auto"/>
        <w:jc w:val="center"/>
        <w:rPr>
          <w:rFonts w:ascii="Times New Roman" w:eastAsia="TimesNewRomanPS-BoldMT" w:hAnsi="Times New Roman"/>
          <w:b/>
          <w:bCs/>
        </w:rPr>
      </w:pP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за достижения </w:t>
      </w:r>
      <w:r>
        <w:rPr>
          <w:rFonts w:ascii="Times New Roman" w:eastAsia="TimesNewRomanPS-BoldMT" w:hAnsi="Times New Roman"/>
          <w:b/>
          <w:bCs/>
        </w:rPr>
        <w:t xml:space="preserve">в </w:t>
      </w:r>
      <w:r>
        <w:rPr>
          <w:rFonts w:ascii="Times New Roman" w:eastAsia="TimesNewRomanPS-BoldMT" w:hAnsi="Times New Roman"/>
          <w:b/>
          <w:bCs/>
          <w:caps/>
          <w:sz w:val="20"/>
          <w:szCs w:val="20"/>
          <w:u w:val="single"/>
        </w:rPr>
        <w:t>научно исследовательской</w:t>
      </w:r>
      <w:r>
        <w:rPr>
          <w:rFonts w:ascii="Times New Roman" w:eastAsia="TimesNewRomanPS-BoldMT" w:hAnsi="Times New Roman"/>
          <w:b/>
          <w:bCs/>
        </w:rPr>
        <w:t xml:space="preserve"> деятельности</w:t>
      </w:r>
    </w:p>
    <w:p w14:paraId="00000007">
      <w:pPr>
        <w:spacing w:before="120" w:after="0" w:line="240" w:lineRule="auto"/>
        <w:jc w:val="center"/>
        <w:rPr>
          <w:rFonts w:ascii="Times New Roman" w:eastAsia="TimesNewRomanPS-BoldMT" w:hAnsi="Times New Roman"/>
          <w:b/>
          <w:bCs/>
        </w:rPr>
      </w:pPr>
      <w:r>
        <w:rPr>
          <w:rFonts w:ascii="Times New Roman" w:hAnsi="Times New Roman"/>
          <w:b/>
          <w:lang w:eastAsia="ru-RU"/>
        </w:rPr>
        <w:t>ДВОЙНОВА ЕЛИЗАВЕТА АЛЕКСЕЕВНА</w:t>
      </w:r>
    </w:p>
    <w:p w14:paraId="00000008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highlight w:val="yellow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Студента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3 </w:t>
      </w:r>
      <w:r>
        <w:rPr>
          <w:rFonts w:ascii="Times New Roman" w:hAnsi="Times New Roman"/>
          <w:sz w:val="24"/>
          <w:szCs w:val="24"/>
          <w:lang w:eastAsia="ru-RU"/>
        </w:rPr>
        <w:t xml:space="preserve"> курса  гр. СП-23-ПД2</w:t>
      </w:r>
    </w:p>
    <w:p w14:paraId="00000009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highlight w:val="none"/>
          <w:lang w:eastAsia="ru-RU"/>
        </w:rPr>
      </w:pPr>
      <w:r>
        <w:rPr>
          <w:rFonts w:ascii="Times New Roman" w:hAnsi="Times New Roman"/>
          <w:sz w:val="24"/>
          <w:szCs w:val="24"/>
          <w:highlight w:val="none"/>
          <w:lang w:eastAsia="ru-RU"/>
        </w:rPr>
        <w:t xml:space="preserve"> Основной профессиональной образовательной программы</w:t>
      </w:r>
    </w:p>
    <w:p w14:paraId="0000000A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highlight w:val="none"/>
          <w:lang w:eastAsia="ru-RU"/>
        </w:rPr>
      </w:pPr>
      <w:r>
        <w:rPr>
          <w:rFonts w:ascii="Times New Roman" w:hAnsi="Times New Roman"/>
          <w:sz w:val="24"/>
          <w:szCs w:val="24"/>
          <w:highlight w:val="none"/>
          <w:lang w:eastAsia="ru-RU"/>
        </w:rPr>
        <w:t>Судебная и прокурорская деятельность. Прокурорская деятельность.</w:t>
      </w:r>
    </w:p>
    <w:p w14:paraId="0000000B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NormalTable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974"/>
        <w:gridCol w:w="1902"/>
        <w:gridCol w:w="1470"/>
        <w:gridCol w:w="1849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100000000000"/>
        </w:trPr>
        <w:tc>
          <w:tcPr>
            <w:cnfStyle w:val="100010000000"/>
            <w:tcW w:w="1526" w:type="dxa"/>
          </w:tcPr>
          <w:p w14:paraId="00000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Документ</w:t>
            </w:r>
          </w:p>
        </w:tc>
        <w:tc>
          <w:tcPr>
            <w:cnfStyle w:val="100001000000"/>
            <w:tcW w:w="1974" w:type="dxa"/>
          </w:tcPr>
          <w:p w14:paraId="000000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Статус мероприятия</w:t>
            </w:r>
          </w:p>
        </w:tc>
        <w:tc>
          <w:tcPr>
            <w:cnfStyle w:val="100010000000"/>
            <w:tcW w:w="1902" w:type="dxa"/>
          </w:tcPr>
          <w:p w14:paraId="00000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cnfStyle w:val="100001000000"/>
            <w:tcW w:w="1470" w:type="dxa"/>
          </w:tcPr>
          <w:p w14:paraId="000000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Уровень достижения</w:t>
            </w:r>
          </w:p>
        </w:tc>
        <w:tc>
          <w:tcPr>
            <w:cnfStyle w:val="100010000000"/>
            <w:tcW w:w="1849" w:type="dxa"/>
          </w:tcPr>
          <w:p w14:paraId="000000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Номинация</w:t>
            </w:r>
          </w:p>
        </w:tc>
        <w:tc>
          <w:tcPr>
            <w:cnfStyle w:val="100001000000"/>
            <w:tcW w:w="1452" w:type="dxa"/>
          </w:tcPr>
          <w:p w14:paraId="0000001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мероприятия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Всероссийский,</w:t>
            </w:r>
          </w:p>
          <w:p w14:paraId="0000001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</w:tcPr>
          <w:p w14:paraId="000000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«Всероссийский онлайн-зачет по финансовой грамотности» от Банка России и Агентства Стратегических Инициатив</w:t>
            </w:r>
          </w:p>
        </w:tc>
        <w:tc>
          <w:tcPr>
            <w:cnfStyle w:val="000001000000"/>
            <w:tcW w:w="1470" w:type="dxa"/>
          </w:tcPr>
          <w:p w14:paraId="000000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Базовый уровень</w:t>
            </w:r>
          </w:p>
        </w:tc>
        <w:tc>
          <w:tcPr>
            <w:cnfStyle w:val="000010000000"/>
            <w:tcW w:w="1849" w:type="dxa"/>
          </w:tcPr>
          <w:p w14:paraId="000000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18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2 ноября </w:t>
            </w:r>
          </w:p>
          <w:p w14:paraId="00000019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1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Межрегиональный с международным участием,</w:t>
            </w:r>
          </w:p>
          <w:p w14:paraId="000000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Владивосток</w:t>
            </w:r>
          </w:p>
          <w:p w14:paraId="0000001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ФГБОУ ВО Владивостокский государтсвенный университет</w:t>
            </w:r>
          </w:p>
        </w:tc>
        <w:tc>
          <w:tcPr>
            <w:cnfStyle w:val="000010000000"/>
            <w:tcW w:w="1902" w:type="dxa"/>
          </w:tcPr>
          <w:p w14:paraId="000000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II </w:t>
            </w:r>
            <w:r>
              <w:rPr>
                <w:rFonts w:ascii="Times New Roman" w:hAnsi="Times New Roman"/>
                <w:sz w:val="20"/>
                <w:szCs w:val="20"/>
                <w:lang w:val="ru-RU" w:eastAsia="ru-RU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еждународный форум молодых ученых: студенческое научное кружковое движение. «Наука без границ»</w:t>
            </w:r>
          </w:p>
        </w:tc>
        <w:tc>
          <w:tcPr>
            <w:cnfStyle w:val="000001000000"/>
            <w:tcW w:w="1470" w:type="dxa"/>
          </w:tcPr>
          <w:p w14:paraId="000000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21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22-24 ноября</w:t>
            </w:r>
          </w:p>
          <w:p w14:paraId="00000022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Межрегиональный с международным участием,</w:t>
            </w:r>
          </w:p>
          <w:p w14:paraId="00000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Южно-Сахалинск,</w:t>
            </w:r>
          </w:p>
          <w:p w14:paraId="000000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ФГБОУ ВО Сахалинский государственной университет </w:t>
            </w:r>
          </w:p>
        </w:tc>
        <w:tc>
          <w:tcPr>
            <w:cnfStyle w:val="000010000000"/>
            <w:tcW w:w="1902" w:type="dxa"/>
          </w:tcPr>
          <w:p w14:paraId="000000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Межрегиональная научно-практическая конференция с международным участием / Безопасность жизнедеятельности: современные вызовы, наука, образование, практика.</w:t>
            </w:r>
          </w:p>
        </w:tc>
        <w:tc>
          <w:tcPr>
            <w:cnfStyle w:val="000001000000"/>
            <w:tcW w:w="1470" w:type="dxa"/>
          </w:tcPr>
          <w:p w14:paraId="000000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2A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7 – 8 декабря 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2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Сертификат </w:t>
            </w:r>
          </w:p>
        </w:tc>
        <w:tc>
          <w:tcPr>
            <w:cnfStyle w:val="000001000000"/>
            <w:tcW w:w="1974" w:type="dxa"/>
          </w:tcPr>
          <w:p w14:paraId="000000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Всероссийский,</w:t>
            </w:r>
          </w:p>
          <w:p w14:paraId="000000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ЛГПУ</w:t>
            </w:r>
          </w:p>
          <w:p w14:paraId="0000002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им. П.П. Семенова-Тян-Шанского,</w:t>
            </w:r>
          </w:p>
          <w:p w14:paraId="00000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Липецк</w:t>
            </w:r>
          </w:p>
        </w:tc>
        <w:tc>
          <w:tcPr>
            <w:cnfStyle w:val="000010000000"/>
            <w:tcW w:w="1902" w:type="dxa"/>
          </w:tcPr>
          <w:p w14:paraId="000000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Всероссийский правовой конкурс научно-исследовательских работ студентов «Юрист XXI», приуроченному ко Дню юриста и 30-летию Конституции Российской Федерации</w:t>
            </w:r>
          </w:p>
        </w:tc>
        <w:tc>
          <w:tcPr>
            <w:cnfStyle w:val="000001000000"/>
            <w:tcW w:w="1470" w:type="dxa"/>
          </w:tcPr>
          <w:p w14:paraId="000000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4 место</w:t>
            </w:r>
          </w:p>
        </w:tc>
        <w:tc>
          <w:tcPr>
            <w:cnfStyle w:val="000010000000"/>
            <w:tcW w:w="1849" w:type="dxa"/>
          </w:tcPr>
          <w:p w14:paraId="000000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Секция «Уголовно-правовые исследования»</w:t>
            </w:r>
          </w:p>
        </w:tc>
        <w:tc>
          <w:tcPr>
            <w:cnfStyle w:val="000001000000"/>
            <w:tcW w:w="1452" w:type="dxa"/>
          </w:tcPr>
          <w:p w14:paraId="00000033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12 декабря 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  <w:p w14:paraId="000000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1000000"/>
            <w:tcW w:w="1974" w:type="dxa"/>
          </w:tcPr>
          <w:p w14:paraId="0000003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Международный,</w:t>
            </w:r>
          </w:p>
          <w:p w14:paraId="000000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</w:tcPr>
          <w:p w14:paraId="000000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Международная научно-практическая конференция: Приоритетные направления развития науки в современном мире. «Вестник науки»</w:t>
            </w:r>
          </w:p>
        </w:tc>
        <w:tc>
          <w:tcPr>
            <w:cnfStyle w:val="000001000000"/>
            <w:tcW w:w="1470" w:type="dxa"/>
          </w:tcPr>
          <w:p w14:paraId="000000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cnfStyle w:val="000010000000"/>
            <w:tcW w:w="1849" w:type="dxa"/>
          </w:tcPr>
          <w:p w14:paraId="0000003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Лучшая научная статья</w:t>
            </w:r>
          </w:p>
        </w:tc>
        <w:tc>
          <w:tcPr>
            <w:cnfStyle w:val="000001000000"/>
            <w:tcW w:w="1452" w:type="dxa"/>
          </w:tcPr>
          <w:p w14:paraId="000000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22 декабря 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056" w:hRule="atLeast"/>
        </w:trPr>
        <w:tc>
          <w:tcPr>
            <w:cnfStyle w:val="000010000000"/>
            <w:tcW w:w="1526" w:type="dxa"/>
          </w:tcPr>
          <w:p w14:paraId="000000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1000000"/>
            <w:tcW w:w="1974" w:type="dxa"/>
          </w:tcPr>
          <w:p w14:paraId="0000003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Международный,</w:t>
            </w:r>
          </w:p>
          <w:p w14:paraId="000000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</w:tcPr>
          <w:p w14:paraId="000000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Международная научно-практическая конференция: Приоритетные направления развития науки в современном мире. «Вестник науки»</w:t>
            </w:r>
          </w:p>
        </w:tc>
        <w:tc>
          <w:tcPr>
            <w:cnfStyle w:val="000001000000"/>
            <w:tcW w:w="1470" w:type="dxa"/>
          </w:tcPr>
          <w:p w14:paraId="00000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cnfStyle w:val="000010000000"/>
            <w:tcW w:w="1849" w:type="dxa"/>
          </w:tcPr>
          <w:p w14:paraId="000000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Инновационные  идеи исследования</w:t>
            </w:r>
          </w:p>
        </w:tc>
        <w:tc>
          <w:tcPr>
            <w:cnfStyle w:val="000001000000"/>
            <w:tcW w:w="1452" w:type="dxa"/>
          </w:tcPr>
          <w:p w14:paraId="000000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22 декабря 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Благодарственное письмо</w:t>
            </w:r>
          </w:p>
        </w:tc>
        <w:tc>
          <w:tcPr>
            <w:cnfStyle w:val="000001000000"/>
            <w:tcW w:w="1974" w:type="dxa"/>
          </w:tcPr>
          <w:p w14:paraId="000000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Региональный,</w:t>
            </w:r>
          </w:p>
          <w:p w14:paraId="000000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</w:tcPr>
          <w:p w14:paraId="000000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За особые достижения и активное участие в молодёжном объединении Правовой студенческий центр и весомый вклад в развитие института право ВВГУ</w:t>
            </w:r>
          </w:p>
        </w:tc>
        <w:tc>
          <w:tcPr>
            <w:cnfStyle w:val="000001000000"/>
            <w:tcW w:w="1470" w:type="dxa"/>
          </w:tcPr>
          <w:p w14:paraId="000000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12 декабря</w:t>
            </w:r>
          </w:p>
          <w:p w14:paraId="000000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Благодарственное письмо</w:t>
            </w:r>
          </w:p>
        </w:tc>
        <w:tc>
          <w:tcPr>
            <w:cnfStyle w:val="000001000000"/>
            <w:tcW w:w="1974" w:type="dxa"/>
          </w:tcPr>
          <w:p w14:paraId="000000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Региональный,</w:t>
            </w:r>
          </w:p>
          <w:p w14:paraId="000000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Владивосток</w:t>
            </w:r>
          </w:p>
          <w:p w14:paraId="0000005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МБОУ СОШ № 2</w:t>
            </w:r>
          </w:p>
        </w:tc>
        <w:tc>
          <w:tcPr>
            <w:cnfStyle w:val="000010000000"/>
            <w:tcW w:w="1902" w:type="dxa"/>
          </w:tcPr>
          <w:p w14:paraId="000000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За помощь в организации и проведении городской интеллектуальной игры для старшеклассников «Я знаю конституцию»</w:t>
            </w:r>
          </w:p>
        </w:tc>
        <w:tc>
          <w:tcPr>
            <w:cnfStyle w:val="000001000000"/>
            <w:tcW w:w="1470" w:type="dxa"/>
          </w:tcPr>
          <w:p w14:paraId="000000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5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12 декабря 2023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526" w:type="dxa"/>
          </w:tcPr>
          <w:p w14:paraId="000000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Диплом</w:t>
            </w:r>
          </w:p>
        </w:tc>
        <w:tc>
          <w:tcPr>
            <w:cnfStyle w:val="000001000000"/>
            <w:tcW w:w="1974" w:type="dxa"/>
          </w:tcPr>
          <w:p w14:paraId="000000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Региональный,</w:t>
            </w:r>
          </w:p>
          <w:p w14:paraId="000000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</w:tcPr>
          <w:p w14:paraId="000000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Олимпиада «Молодой юрист Приморья»,  Правовой студенческий центр ВВГУ</w:t>
            </w:r>
          </w:p>
        </w:tc>
        <w:tc>
          <w:tcPr>
            <w:cnfStyle w:val="000001000000"/>
            <w:tcW w:w="1470" w:type="dxa"/>
          </w:tcPr>
          <w:p w14:paraId="000000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12 декабря 2023 г.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362" w:hRule="atLeast"/>
        </w:trPr>
        <w:tc>
          <w:tcPr>
            <w:cnfStyle w:val="000010000000"/>
            <w:tcW w:w="1526" w:type="dxa"/>
          </w:tcPr>
          <w:p w14:paraId="000000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Региональный,</w:t>
            </w:r>
          </w:p>
          <w:p w14:paraId="000000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</w:tcPr>
          <w:p w14:paraId="0000005F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Оналйн-курс</w:t>
            </w:r>
          </w:p>
          <w:p w14:paraId="0000006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«Формирование комфортной городской среды»</w:t>
            </w:r>
          </w:p>
        </w:tc>
        <w:tc>
          <w:tcPr>
            <w:cnfStyle w:val="000001000000"/>
            <w:tcW w:w="1470" w:type="dxa"/>
          </w:tcPr>
          <w:p w14:paraId="00000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5 марта</w:t>
            </w:r>
          </w:p>
          <w:p w14:paraId="000000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324" w:hRule="atLeast"/>
        </w:trPr>
        <w:tc>
          <w:tcPr>
            <w:cnfStyle w:val="000010000000"/>
            <w:tcW w:w="1526" w:type="dxa"/>
          </w:tcPr>
          <w:p w14:paraId="000000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</w:tcPr>
          <w:p w14:paraId="00000068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«Актуальные вопросы современной науки: теория, технология, методология и практика»</w:t>
            </w:r>
          </w:p>
        </w:tc>
        <w:tc>
          <w:tcPr>
            <w:cnfStyle w:val="000001000000"/>
            <w:tcW w:w="1470" w:type="dxa"/>
          </w:tcPr>
          <w:p w14:paraId="000000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26 ноября </w:t>
            </w:r>
          </w:p>
          <w:p w14:paraId="00000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696" w:hRule="atLeast"/>
        </w:trPr>
        <w:tc>
          <w:tcPr>
            <w:cnfStyle w:val="000010000000"/>
            <w:tcW w:w="1526" w:type="dxa"/>
          </w:tcPr>
          <w:p w14:paraId="000000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70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lang w:val="en-US"/>
              </w:rPr>
              <w:t xml:space="preserve">LVI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Международн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ая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 xml:space="preserve"> научно-практическ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а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й конференци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 xml:space="preserve">я: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Своременные научные исследования: гумманитарные и технические науки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»</w:t>
            </w:r>
          </w:p>
        </w:tc>
        <w:tc>
          <w:tcPr>
            <w:cnfStyle w:val="000001000000"/>
            <w:tcW w:w="1470" w:type="dxa"/>
          </w:tcPr>
          <w:p w14:paraId="00000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25 ноября</w:t>
            </w:r>
          </w:p>
          <w:p w14:paraId="000000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" w:hRule="atLeast"/>
        </w:trPr>
        <w:tc>
          <w:tcPr>
            <w:cnfStyle w:val="000010000000"/>
            <w:tcW w:w="1526" w:type="dxa"/>
          </w:tcPr>
          <w:p w14:paraId="000000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1000000"/>
            <w:tcW w:w="1974" w:type="dxa"/>
          </w:tcPr>
          <w:p w14:paraId="000000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</w:tcPr>
          <w:p w14:paraId="00000079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«Актуальные вопросы современной науки: теория, технология, методология и практика»</w:t>
            </w:r>
          </w:p>
        </w:tc>
        <w:tc>
          <w:tcPr>
            <w:cnfStyle w:val="000001000000"/>
            <w:tcW w:w="1470" w:type="dxa"/>
          </w:tcPr>
          <w:p w14:paraId="000000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Инновационные идеи исследователей</w:t>
            </w:r>
          </w:p>
        </w:tc>
        <w:tc>
          <w:tcPr>
            <w:cnfStyle w:val="000001000000"/>
            <w:tcW w:w="1452" w:type="dxa"/>
          </w:tcPr>
          <w:p w14:paraId="000000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26 ноября</w:t>
            </w:r>
          </w:p>
          <w:p w14:paraId="000000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 степени </w:t>
            </w:r>
          </w:p>
        </w:tc>
        <w:tc>
          <w:tcPr>
            <w:cnfStyle w:val="000001000000"/>
            <w:tcW w:w="1974" w:type="dxa"/>
          </w:tcPr>
          <w:p w14:paraId="000000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</w:tcPr>
          <w:p w14:paraId="00000082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«Актуальные вопросы современной науки: теория, технология, методология и практика»</w:t>
            </w:r>
          </w:p>
        </w:tc>
        <w:tc>
          <w:tcPr>
            <w:cnfStyle w:val="000001000000"/>
            <w:tcW w:w="1470" w:type="dxa"/>
          </w:tcPr>
          <w:p w14:paraId="000000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Лучшая научная статья</w:t>
            </w:r>
          </w:p>
        </w:tc>
        <w:tc>
          <w:tcPr>
            <w:cnfStyle w:val="000001000000"/>
            <w:tcW w:w="1452" w:type="dxa"/>
          </w:tcPr>
          <w:p w14:paraId="000000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26 ноября</w:t>
            </w:r>
          </w:p>
          <w:p w14:paraId="000000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</w:tcPr>
          <w:p w14:paraId="0000008A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«Актуальные вопросы современной науки: теория, технология, методология и практика»</w:t>
            </w:r>
          </w:p>
        </w:tc>
        <w:tc>
          <w:tcPr>
            <w:cnfStyle w:val="000001000000"/>
            <w:tcW w:w="1470" w:type="dxa"/>
          </w:tcPr>
          <w:p w14:paraId="000000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10000000"/>
            <w:tcW w:w="1849" w:type="dxa"/>
          </w:tcPr>
          <w:p w14:paraId="0000008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26 ноября </w:t>
            </w:r>
          </w:p>
          <w:p w14:paraId="000000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8F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>Диплом</w:t>
            </w:r>
          </w:p>
        </w:tc>
        <w:tc>
          <w:tcPr>
            <w:cnfStyle w:val="000001000000"/>
            <w:tcW w:w="1974" w:type="dxa"/>
          </w:tcPr>
          <w:p w14:paraId="00000090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Региональный,</w:t>
            </w:r>
          </w:p>
          <w:p w14:paraId="00000091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Южно-сахалинск</w:t>
            </w:r>
          </w:p>
        </w:tc>
        <w:tc>
          <w:tcPr>
            <w:cnfStyle w:val="000010000000"/>
            <w:tcW w:w="1902" w:type="dxa"/>
          </w:tcPr>
          <w:p w14:paraId="000000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>Региональная площадка "Вернадский - Сахалин" Международной научной конференции студентов, аспирантов и молодых учёных «Ломоносов-2025»</w:t>
            </w: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 xml:space="preserve"> </w:t>
            </w:r>
          </w:p>
        </w:tc>
        <w:tc>
          <w:tcPr>
            <w:cnfStyle w:val="000001000000"/>
            <w:tcW w:w="1470" w:type="dxa"/>
          </w:tcPr>
          <w:p w14:paraId="00000093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>1 место</w:t>
            </w:r>
          </w:p>
        </w:tc>
        <w:tc>
          <w:tcPr>
            <w:cnfStyle w:val="000010000000"/>
            <w:tcW w:w="1849" w:type="dxa"/>
          </w:tcPr>
          <w:p w14:paraId="00000094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 xml:space="preserve">Безопасность человека в современном мире: </w:t>
            </w:r>
          </w:p>
          <w:p w14:paraId="000000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>теоретические и практические аспекты </w:t>
            </w:r>
          </w:p>
        </w:tc>
        <w:tc>
          <w:tcPr>
            <w:cnfStyle w:val="000001000000"/>
            <w:tcW w:w="1452" w:type="dxa"/>
          </w:tcPr>
          <w:p w14:paraId="00000096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>11-25 апреля</w:t>
            </w:r>
          </w:p>
          <w:p w14:paraId="00000097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>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98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99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 xml:space="preserve">Региональный, </w:t>
            </w:r>
          </w:p>
          <w:p w14:paraId="0000009A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</w:tcPr>
          <w:p w14:paraId="0000009B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IV межвузовск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ая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 xml:space="preserve"> научн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ая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 xml:space="preserve"> студенческ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ая</w:t>
            </w:r>
          </w:p>
          <w:p w14:paraId="0000009C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конференци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 xml:space="preserve"> </w:t>
            </w:r>
          </w:p>
          <w:p w14:paraId="0000009D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b w:val="off"/>
                <w:bCs w:val="off"/>
                <w:color w:val="000000"/>
                <w:sz w:val="20"/>
                <w:szCs w:val="20"/>
                <w:lang w:val="en-US"/>
              </w:rPr>
            </w:pP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 xml:space="preserve">Роль юридических наук в развитии правовой </w:t>
            </w:r>
          </w:p>
          <w:p w14:paraId="0000009E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культуры российского общества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»</w:t>
            </w:r>
          </w:p>
          <w:p w14:paraId="000000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1000000"/>
            <w:tcW w:w="1470" w:type="dxa"/>
          </w:tcPr>
          <w:p w14:paraId="000000A0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</w:p>
        </w:tc>
        <w:tc>
          <w:tcPr>
            <w:cnfStyle w:val="000010000000"/>
            <w:tcW w:w="1849" w:type="dxa"/>
          </w:tcPr>
          <w:p w14:paraId="000000A1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A2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20 </w:t>
            </w: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 xml:space="preserve">марта </w:t>
            </w:r>
          </w:p>
          <w:p w14:paraId="000000A3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2025 </w:t>
            </w: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A4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Диплом 1 степени</w:t>
            </w:r>
          </w:p>
        </w:tc>
        <w:tc>
          <w:tcPr>
            <w:cnfStyle w:val="000001000000"/>
            <w:tcW w:w="1974" w:type="dxa"/>
          </w:tcPr>
          <w:p w14:paraId="000000A5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 xml:space="preserve">Международный, </w:t>
            </w:r>
          </w:p>
          <w:p w14:paraId="000000A6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Екатеринбург</w:t>
            </w:r>
          </w:p>
        </w:tc>
        <w:tc>
          <w:tcPr>
            <w:cnfStyle w:val="000010000000"/>
            <w:tcW w:w="1902" w:type="dxa"/>
          </w:tcPr>
          <w:p w14:paraId="000000A7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lang w:val="ru-RU"/>
              </w:rPr>
              <w:t xml:space="preserve">Международная научно-практическая конференция 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Межотраслвые исследования. Безбарьерная среда научной деятельности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»</w:t>
            </w:r>
          </w:p>
        </w:tc>
        <w:tc>
          <w:tcPr>
            <w:cnfStyle w:val="000001000000"/>
            <w:tcW w:w="1470" w:type="dxa"/>
          </w:tcPr>
          <w:p w14:paraId="000000A8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 xml:space="preserve"> </w:t>
            </w:r>
          </w:p>
        </w:tc>
        <w:tc>
          <w:tcPr>
            <w:cnfStyle w:val="000010000000"/>
            <w:tcW w:w="1849" w:type="dxa"/>
          </w:tcPr>
          <w:p w14:paraId="000000A9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AA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2 </w:t>
            </w: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июня</w:t>
            </w:r>
          </w:p>
          <w:p w14:paraId="000000AB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2025 </w:t>
            </w: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AC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1000000"/>
            <w:tcW w:w="1974" w:type="dxa"/>
          </w:tcPr>
          <w:p w14:paraId="000000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Всероссийский,</w:t>
            </w:r>
          </w:p>
          <w:p w14:paraId="000000AE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г.Москва</w:t>
            </w:r>
          </w:p>
        </w:tc>
        <w:tc>
          <w:tcPr>
            <w:cnfStyle w:val="000010000000"/>
            <w:tcW w:w="1902" w:type="dxa"/>
          </w:tcPr>
          <w:p w14:paraId="000000AF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lang w:val="en-US"/>
              </w:rPr>
              <w:t xml:space="preserve">IX 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lang w:val="ru-RU"/>
              </w:rPr>
              <w:t xml:space="preserve">Всероссийский 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lang w:val="ru-RU"/>
              </w:rPr>
              <w:t xml:space="preserve">юридический форум 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Проблемы правового регулирования имущественного оборота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»</w:t>
            </w:r>
          </w:p>
        </w:tc>
        <w:tc>
          <w:tcPr>
            <w:cnfStyle w:val="000001000000"/>
            <w:tcW w:w="1470" w:type="dxa"/>
          </w:tcPr>
          <w:p w14:paraId="000000B0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</w:p>
        </w:tc>
        <w:tc>
          <w:tcPr>
            <w:cnfStyle w:val="000010000000"/>
            <w:tcW w:w="1849" w:type="dxa"/>
          </w:tcPr>
          <w:p w14:paraId="000000B1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24 сентября</w:t>
            </w:r>
          </w:p>
          <w:p w14:paraId="000000B3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B5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1000000"/>
            <w:tcW w:w="1974" w:type="dxa"/>
          </w:tcPr>
          <w:p w14:paraId="000000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Всероссийский, </w:t>
            </w:r>
          </w:p>
          <w:p w14:paraId="000000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B8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 xml:space="preserve">Всероссийский 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>к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онкурс научно-исследова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>т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ельских работ молодых ученых «Вперед к открытиям — 2025»</w:t>
            </w:r>
            <w:r>
              <w:rPr>
                <w:rFonts w:ascii="Segoe UI"/>
                <w:color w:val="000000"/>
                <w:sz w:val="20"/>
                <w:szCs w:val="20"/>
                <w:rtl w:val="off"/>
                <w:lang w:val="en-US"/>
              </w:rPr>
              <w:t xml:space="preserve"> </w:t>
            </w:r>
          </w:p>
          <w:p w14:paraId="000000B9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</w:pPr>
          </w:p>
        </w:tc>
        <w:tc>
          <w:tcPr>
            <w:cnfStyle w:val="000001000000"/>
            <w:tcW w:w="1470" w:type="dxa"/>
          </w:tcPr>
          <w:p w14:paraId="000000BA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cnfStyle w:val="000010000000"/>
            <w:tcW w:w="1849" w:type="dxa"/>
          </w:tcPr>
          <w:p w14:paraId="000000BB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>Лучшая научная статья</w:t>
            </w:r>
          </w:p>
        </w:tc>
        <w:tc>
          <w:tcPr>
            <w:cnfStyle w:val="000001000000"/>
            <w:tcW w:w="1452" w:type="dxa"/>
          </w:tcPr>
          <w:p w14:paraId="000000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13 октября</w:t>
            </w:r>
          </w:p>
          <w:p w14:paraId="000000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BF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1000000"/>
            <w:tcW w:w="1974" w:type="dxa"/>
          </w:tcPr>
          <w:p w14:paraId="000000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C2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 xml:space="preserve">Международная Олимпиада по юриспруденции «Правовой горизонт — 2025» </w:t>
            </w:r>
          </w:p>
          <w:p w14:paraId="000000C3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</w:pPr>
          </w:p>
        </w:tc>
        <w:tc>
          <w:tcPr>
            <w:cnfStyle w:val="000001000000"/>
            <w:tcW w:w="1470" w:type="dxa"/>
          </w:tcPr>
          <w:p w14:paraId="000000C4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cnfStyle w:val="000010000000"/>
            <w:tcW w:w="1849" w:type="dxa"/>
          </w:tcPr>
          <w:p w14:paraId="000000C5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>Участник</w:t>
            </w:r>
          </w:p>
        </w:tc>
        <w:tc>
          <w:tcPr>
            <w:cnfStyle w:val="000001000000"/>
            <w:tcW w:w="1452" w:type="dxa"/>
          </w:tcPr>
          <w:p w14:paraId="000000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27 октября 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1000000"/>
            <w:tcW w:w="1974" w:type="dxa"/>
          </w:tcPr>
          <w:p w14:paraId="00000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CB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 xml:space="preserve">Международный Конкурс научно-исследовательских работ молодых ученых «Наука без границ: открытия, меняющие будущее» </w:t>
            </w:r>
          </w:p>
          <w:p w14:paraId="000000CC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cnfStyle w:val="000001000000"/>
            <w:tcW w:w="1470" w:type="dxa"/>
          </w:tcPr>
          <w:p w14:paraId="000000CD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10000000"/>
            <w:tcW w:w="1849" w:type="dxa"/>
          </w:tcPr>
          <w:p w14:paraId="000000CE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Лучшая научно-исследовательская работа </w:t>
            </w:r>
          </w:p>
          <w:p w14:paraId="000000CF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1000000"/>
            <w:tcW w:w="1452" w:type="dxa"/>
          </w:tcPr>
          <w:p w14:paraId="000000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15 декабря 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D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1000000"/>
            <w:tcW w:w="1974" w:type="dxa"/>
          </w:tcPr>
          <w:p w14:paraId="000000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D5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Международн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>ый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 xml:space="preserve"> Конкурс научно-исследовательских работ «Вектор Науки — 2025» </w:t>
            </w:r>
          </w:p>
          <w:p w14:paraId="000000D6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cnfStyle w:val="000001000000"/>
            <w:tcW w:w="1470" w:type="dxa"/>
          </w:tcPr>
          <w:p w14:paraId="000000D7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10000000"/>
            <w:tcW w:w="1849" w:type="dxa"/>
          </w:tcPr>
          <w:p w14:paraId="000000D8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>Лучшая научная стать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ru-RU"/>
              </w:rPr>
              <w:t>я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 </w:t>
            </w:r>
          </w:p>
        </w:tc>
        <w:tc>
          <w:tcPr>
            <w:cnfStyle w:val="000001000000"/>
            <w:tcW w:w="1452" w:type="dxa"/>
          </w:tcPr>
          <w:p w14:paraId="000000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18 декабря 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D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 степени</w:t>
            </w:r>
          </w:p>
        </w:tc>
        <w:tc>
          <w:tcPr>
            <w:cnfStyle w:val="000001000000"/>
            <w:tcW w:w="1974" w:type="dxa"/>
          </w:tcPr>
          <w:p w14:paraId="000000D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DE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lang w:val="ru-RU"/>
              </w:rPr>
              <w:t xml:space="preserve">Международный конкурс научно-исследовательских работ 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>Пространство исследований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 xml:space="preserve">» </w:t>
            </w:r>
          </w:p>
        </w:tc>
        <w:tc>
          <w:tcPr>
            <w:cnfStyle w:val="000001000000"/>
            <w:tcW w:w="1470" w:type="dxa"/>
          </w:tcPr>
          <w:p w14:paraId="000000DF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10000000"/>
            <w:tcW w:w="1849" w:type="dxa"/>
          </w:tcPr>
          <w:p w14:paraId="000000E0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>Лучшая научная стать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ru-RU"/>
              </w:rPr>
              <w:t>я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 </w:t>
            </w:r>
          </w:p>
        </w:tc>
        <w:tc>
          <w:tcPr>
            <w:cnfStyle w:val="000001000000"/>
            <w:tcW w:w="1452" w:type="dxa"/>
          </w:tcPr>
          <w:p w14:paraId="000000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18 декабря 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27" w:hRule="atLeast"/>
        </w:trPr>
        <w:tc>
          <w:tcPr>
            <w:cnfStyle w:val="000010000000"/>
            <w:tcW w:w="1526" w:type="dxa"/>
          </w:tcPr>
          <w:p w14:paraId="000000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Благодарность за вклад в поддержку благотворительности</w:t>
            </w:r>
          </w:p>
        </w:tc>
        <w:tc>
          <w:tcPr>
            <w:cnfStyle w:val="000001000000"/>
            <w:tcW w:w="1974" w:type="dxa"/>
          </w:tcPr>
          <w:p w14:paraId="000000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</w:tcPr>
          <w:p w14:paraId="000000E5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lang w:val="ru-RU"/>
              </w:rPr>
              <w:t xml:space="preserve">Благотворительная помощь фонду 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>ДОКТОР ЛИЗА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 xml:space="preserve">» </w:t>
            </w:r>
          </w:p>
        </w:tc>
        <w:tc>
          <w:tcPr>
            <w:cnfStyle w:val="000001000000"/>
            <w:tcW w:w="1470" w:type="dxa"/>
          </w:tcPr>
          <w:p w14:paraId="000000E6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>-</w:t>
            </w:r>
          </w:p>
        </w:tc>
        <w:tc>
          <w:tcPr>
            <w:cnfStyle w:val="000010000000"/>
            <w:tcW w:w="1849" w:type="dxa"/>
          </w:tcPr>
          <w:p w14:paraId="000000E7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  <w:t>-</w:t>
            </w:r>
          </w:p>
        </w:tc>
        <w:tc>
          <w:tcPr>
            <w:cnfStyle w:val="000001000000"/>
            <w:tcW w:w="1452" w:type="dxa"/>
          </w:tcPr>
          <w:p w14:paraId="000000E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Декабрь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2025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2439" w:hRule="atLeast"/>
        </w:trPr>
        <w:tc>
          <w:tcPr>
            <w:cnfStyle w:val="000010000000"/>
            <w:tcW w:w="1526" w:type="dxa"/>
          </w:tcPr>
          <w:p w14:paraId="000000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1000000"/>
            <w:tcW w:w="1974" w:type="dxa"/>
          </w:tcPr>
          <w:p w14:paraId="000000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Всероссийский, г. Москва</w:t>
            </w:r>
          </w:p>
        </w:tc>
        <w:tc>
          <w:tcPr>
            <w:cnfStyle w:val="000010000000"/>
            <w:tcW w:w="1902" w:type="dxa"/>
          </w:tcPr>
          <w:p w14:paraId="000000EC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cs="Times New Roman" w:hAnsi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lang w:val="ru-RU"/>
              </w:rPr>
              <w:t>Всероссийская олимпиада по юриспруденции:</w:t>
            </w:r>
          </w:p>
          <w:p w14:paraId="000000ED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 xml:space="preserve">Закон в печати: Наследие 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ru-RU"/>
              </w:rPr>
              <w:t>Российской газеты</w:t>
            </w:r>
            <w:r>
              <w:rPr>
                <w:rFonts w:ascii="Times New Roman" w:cs="Times New Roman" w:hAnsi="Times New Roman"/>
                <w:color w:val="000000"/>
                <w:sz w:val="20"/>
                <w:szCs w:val="20"/>
                <w:rtl w:val="off"/>
                <w:lang w:val="en-US"/>
              </w:rPr>
              <w:t>»</w:t>
            </w:r>
          </w:p>
        </w:tc>
        <w:tc>
          <w:tcPr>
            <w:cnfStyle w:val="000001000000"/>
            <w:tcW w:w="1470" w:type="dxa"/>
          </w:tcPr>
          <w:p w14:paraId="000000EE">
            <w:pPr>
              <w:spacing w:after="0" w:line="240" w:lineRule="auto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10000000"/>
            <w:tcW w:w="1849" w:type="dxa"/>
          </w:tcPr>
          <w:p w14:paraId="000000EF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  <w:t>-</w:t>
            </w:r>
          </w:p>
        </w:tc>
        <w:tc>
          <w:tcPr>
            <w:cnfStyle w:val="000001000000"/>
            <w:tcW w:w="1452" w:type="dxa"/>
          </w:tcPr>
          <w:p w14:paraId="000000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18 декабря 2025 г.</w:t>
            </w:r>
          </w:p>
        </w:tc>
      </w:tr>
    </w:tbl>
    <w:p w14:paraId="000000F1">
      <w:pPr>
        <w:spacing w:after="0" w:line="240" w:lineRule="auto"/>
        <w:ind w:firstLine="708"/>
        <w:rPr>
          <w:rFonts w:ascii="Times New Roman" w:eastAsia="TimesNewRomanPS-BoldMT" w:hAnsi="Times New Roman"/>
          <w:sz w:val="20"/>
          <w:szCs w:val="20"/>
          <w:lang w:eastAsia="ru-RU"/>
        </w:rPr>
      </w:pPr>
    </w:p>
    <w:tbl>
      <w:tblPr>
        <w:tblStyle w:val="NormalTable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2107"/>
        <w:gridCol w:w="1902"/>
        <w:gridCol w:w="1931"/>
        <w:gridCol w:w="176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100000000000"/>
        </w:trPr>
        <w:tc>
          <w:tcPr>
            <w:cnfStyle w:val="100010000000"/>
            <w:tcW w:w="1393" w:type="dxa"/>
          </w:tcPr>
          <w:p w14:paraId="000000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выхода</w:t>
            </w:r>
          </w:p>
          <w:p w14:paraId="000000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публикации</w:t>
            </w:r>
          </w:p>
        </w:tc>
        <w:tc>
          <w:tcPr>
            <w:cnfStyle w:val="100001000000"/>
            <w:tcW w:w="2107" w:type="dxa"/>
          </w:tcPr>
          <w:p w14:paraId="000000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Статус  издания</w:t>
            </w:r>
          </w:p>
        </w:tc>
        <w:tc>
          <w:tcPr>
            <w:cnfStyle w:val="100010000000"/>
            <w:tcW w:w="1902" w:type="dxa"/>
          </w:tcPr>
          <w:p w14:paraId="000000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Название издания</w:t>
            </w:r>
          </w:p>
        </w:tc>
        <w:tc>
          <w:tcPr>
            <w:cnfStyle w:val="100001000000"/>
            <w:tcW w:w="1931" w:type="dxa"/>
          </w:tcPr>
          <w:p w14:paraId="000000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Авторство </w:t>
            </w:r>
          </w:p>
          <w:p w14:paraId="000000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(коллективное / индивидуальное)</w:t>
            </w:r>
          </w:p>
        </w:tc>
        <w:tc>
          <w:tcPr>
            <w:cnfStyle w:val="100010000000"/>
            <w:tcW w:w="1760" w:type="dxa"/>
          </w:tcPr>
          <w:p w14:paraId="000000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Тема публикации</w:t>
            </w:r>
          </w:p>
        </w:tc>
        <w:tc>
          <w:tcPr>
            <w:cnfStyle w:val="100001000000"/>
            <w:tcW w:w="1080" w:type="dxa"/>
          </w:tcPr>
          <w:p w14:paraId="000000F9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b/>
                <w:sz w:val="20"/>
                <w:szCs w:val="20"/>
                <w:lang w:eastAsia="ru-RU"/>
              </w:rPr>
              <w:t>Объем публикации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393" w:type="dxa"/>
          </w:tcPr>
          <w:p w14:paraId="00000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24-26 ноября</w:t>
            </w:r>
          </w:p>
          <w:p w14:paraId="000000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2023 г.</w:t>
            </w:r>
          </w:p>
        </w:tc>
        <w:tc>
          <w:tcPr>
            <w:cnfStyle w:val="000001000000"/>
            <w:tcW w:w="2107" w:type="dxa"/>
          </w:tcPr>
          <w:p w14:paraId="000000F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</w:t>
            </w:r>
          </w:p>
        </w:tc>
        <w:tc>
          <w:tcPr>
            <w:cnfStyle w:val="000010000000"/>
            <w:tcW w:w="1902" w:type="dxa"/>
          </w:tcPr>
          <w:p w14:paraId="00000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«Наука без границ: студенческое научное кружковое движение»: сборник материалов международного форума молодых ученых (г. Владивосток, 22 – 25 ноября 2023 г.) / под общ. ред. канд. пед. наук Г.В. Петрук, канд. соц. наук Е.Е. Абросимовой; Владивостокский государственный университет; Электрон. текст. дан. – Владивосток: Изд-во ВВГУ, 2023.</w:t>
            </w:r>
          </w:p>
        </w:tc>
        <w:tc>
          <w:tcPr>
            <w:cnfStyle w:val="000001000000"/>
            <w:tcW w:w="1931" w:type="dxa"/>
          </w:tcPr>
          <w:p w14:paraId="000000F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</w:tcPr>
          <w:p w14:paraId="0000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К вопросу о профилактике подростковой преступности на территории Российской Федерации</w:t>
            </w:r>
          </w:p>
        </w:tc>
        <w:tc>
          <w:tcPr>
            <w:cnfStyle w:val="000001000000"/>
            <w:tcW w:w="1080" w:type="dxa"/>
          </w:tcPr>
          <w:p w14:paraId="00000100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5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393" w:type="dxa"/>
            <w:tcBorders>
              <w:bottom w:val="single" w:color="000000" w:sz="4" w:space="0"/>
            </w:tcBorders>
          </w:tcPr>
          <w:p w14:paraId="000001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22 декабря 2023 г.</w:t>
            </w:r>
          </w:p>
        </w:tc>
        <w:tc>
          <w:tcPr>
            <w:cnfStyle w:val="000001000000"/>
            <w:tcW w:w="2107" w:type="dxa"/>
            <w:tcBorders>
              <w:bottom w:val="single" w:color="000000" w:sz="4" w:space="0"/>
            </w:tcBorders>
          </w:tcPr>
          <w:p w14:paraId="000001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1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  <w:tcBorders>
              <w:bottom w:val="single" w:color="000000" w:sz="4" w:space="0"/>
            </w:tcBorders>
          </w:tcPr>
          <w:p w14:paraId="000001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Приоритетные направления развития науки в</w:t>
            </w:r>
          </w:p>
          <w:p w14:paraId="000001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современном мире / Сборник научных статей по</w:t>
            </w:r>
          </w:p>
          <w:p w14:paraId="000001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материалам XIII Международной научно-практической</w:t>
            </w:r>
          </w:p>
          <w:p w14:paraId="000001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конференцию. В 2 ч. Ч.1 / –</w:t>
            </w:r>
          </w:p>
          <w:p w14:paraId="000001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Уфа: Изд. НИЦ Вестник науки, 2023.С. 192 – 199.</w:t>
            </w:r>
          </w:p>
        </w:tc>
        <w:tc>
          <w:tcPr>
            <w:cnfStyle w:val="000001000000"/>
            <w:tcW w:w="1931" w:type="dxa"/>
            <w:tcBorders>
              <w:bottom w:val="single" w:color="000000" w:sz="4" w:space="0"/>
            </w:tcBorders>
          </w:tcPr>
          <w:p w14:paraId="000001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  <w:p w14:paraId="00000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10000000"/>
            <w:tcW w:w="1760" w:type="dxa"/>
            <w:tcBorders>
              <w:bottom w:val="single" w:color="000000" w:sz="4" w:space="0"/>
            </w:tcBorders>
          </w:tcPr>
          <w:p w14:paraId="0000010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Особенности подростковой преступности на территории Российской</w:t>
            </w:r>
          </w:p>
          <w:p w14:paraId="000001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Федерации</w:t>
            </w:r>
          </w:p>
        </w:tc>
        <w:tc>
          <w:tcPr>
            <w:cnfStyle w:val="000001000000"/>
            <w:tcW w:w="1080" w:type="dxa"/>
            <w:tcBorders>
              <w:bottom w:val="single" w:color="000000" w:sz="4" w:space="0"/>
            </w:tcBorders>
          </w:tcPr>
          <w:p w14:paraId="0000010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7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</w:trPr>
        <w:tc>
          <w:tcPr>
            <w:cnfStyle w:val="000010000000"/>
            <w:tcW w:w="13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00010E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  <w:tc>
          <w:tcPr>
            <w:cnfStyle w:val="000001000000"/>
            <w:tcW w:w="2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0001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Межрегиональный с международным участием,</w:t>
            </w:r>
          </w:p>
          <w:p w14:paraId="000001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Южно-Сахалинск,</w:t>
            </w:r>
          </w:p>
          <w:p w14:paraId="00000111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ФГБОУ ВО Сахалинский государственной университет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cnfStyle w:val="000010000000"/>
            <w:tcW w:w="19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000112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Безопасность жизнедеятельности: современные вызовы, наука, образование, практика: материалы XIII Межрегиональной научно-практической конференции с международным участием.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cnfStyle w:val="000001000000"/>
            <w:tcW w:w="1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000113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000114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Преступность среди подростков как проблема безопасности современного общества на территории Российской Федерации</w:t>
            </w:r>
          </w:p>
        </w:tc>
        <w:tc>
          <w:tcPr>
            <w:cnfStyle w:val="000001000000"/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000115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4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3120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16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19 марта </w:t>
            </w:r>
          </w:p>
          <w:p w14:paraId="00000117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2024 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Всероссийский,</w:t>
            </w:r>
          </w:p>
          <w:p w14:paraId="000001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ЛГПУ</w:t>
            </w:r>
          </w:p>
          <w:p w14:paraId="0000011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им. П.П. Семенова-Тян-Шанского,</w:t>
            </w:r>
          </w:p>
          <w:p w14:paraId="0000011B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г. Липецк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1C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Всероссийский правовой конкурс научно-исследовательских работ студентов «Юрист XXI», приуроченному ко Дню юриста и 30-летию Конституции Российской Федерации</w:t>
            </w: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1D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1E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К вопросу о профилактике подростковой преступности на территории Российской Федерации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1F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5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71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20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26 ноября</w:t>
            </w:r>
          </w:p>
          <w:p w14:paraId="00000121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2024 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22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Международный, </w:t>
            </w:r>
          </w:p>
          <w:p w14:paraId="00000123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г. Уфа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24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cs="Times New Roman" w:hAnsi="Times New Roman"/>
                <w:color w:val="1a1a1a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XVI Международн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ая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 xml:space="preserve"> научно-практическ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а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й конференци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я</w:t>
            </w:r>
          </w:p>
          <w:p w14:paraId="00000125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cs="Times New Roman" w:hAnsi="Times New Roman"/>
                <w:color w:val="1a1a1a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«Актуальные вопросы современной науки:</w:t>
            </w:r>
          </w:p>
          <w:p w14:paraId="00000126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1a1a1a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теория, технология, методология и практика»</w:t>
            </w:r>
          </w:p>
          <w:p w14:paraId="00000127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28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29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Личная и семейная тайна как нематериальное благо и его гражданско-правовая защита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2A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7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114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2B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25 ноября</w:t>
            </w:r>
          </w:p>
          <w:p w14:paraId="0000012C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2024 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2D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Международный, </w:t>
            </w:r>
          </w:p>
          <w:p w14:paraId="0000012E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2F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1a1a1a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lang w:val="en-US"/>
              </w:rPr>
              <w:t xml:space="preserve">LVI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Международн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ая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 xml:space="preserve"> научно-практическ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а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й конференци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 xml:space="preserve">я: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ru-RU"/>
              </w:rPr>
              <w:t>Своременные научные исследования: гумманитарные и технические науки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rtl w:val="off"/>
                <w:lang w:val="en-US"/>
              </w:rPr>
              <w:t>»</w:t>
            </w:r>
          </w:p>
          <w:p w14:paraId="00000130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cs="Times New Roman" w:hAnsi="Times New Roman"/>
                <w:color w:val="1a1a1a"/>
                <w:sz w:val="20"/>
                <w:szCs w:val="20"/>
                <w:lang w:val="en-US"/>
              </w:rPr>
            </w:pP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31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32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Правовая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lang w:val="en-US" w:eastAsia="ru-RU"/>
              </w:rPr>
              <w:t xml:space="preserve"> охрана личной и семейной тайны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33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4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114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34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16-17 марта </w:t>
            </w:r>
          </w:p>
          <w:p w14:paraId="00000135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2025 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36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Международный,</w:t>
            </w:r>
          </w:p>
          <w:p w14:paraId="00000137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г. Пенза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38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1a1a1a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lang w:val="en-US"/>
              </w:rPr>
              <w:t xml:space="preserve">XI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lang w:val="ru-RU"/>
              </w:rPr>
              <w:t>Всероссийская научно-техническая конференция молодых ученых и студентов с международным участием</w:t>
            </w: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39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3A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lang w:val="ru-RU" w:eastAsia="ru-RU"/>
              </w:rPr>
              <w:t>Теореические основы терминологии охраны труда в условиях современного производства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3B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5 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71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3C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bookmarkStart w:id="0" w:name="_GoBack"/>
            <w:bookmarkEnd w:id="0"/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>1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0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апреля</w:t>
            </w:r>
          </w:p>
          <w:p w14:paraId="0000013D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2025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3E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 xml:space="preserve">Региональный, </w:t>
            </w:r>
          </w:p>
          <w:p w14:paraId="0000013F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40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 w:val="off"/>
                <w:bCs w:val="off"/>
                <w:sz w:val="20"/>
                <w:szCs w:val="20"/>
                <w:highlight w:val="none"/>
                <w:rtl w:val="off"/>
                <w:lang w:val="ru-RU" w:eastAsia="ru-RU"/>
              </w:rPr>
              <w:t>Интеллектуальный потенциал вузов – на развитие Дальневосточного региона России и стран АТР</w:t>
            </w: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41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42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b w:val="off"/>
                <w:bCs w:val="off"/>
                <w:sz w:val="20"/>
                <w:szCs w:val="20"/>
                <w:highlight w:val="none"/>
                <w:lang w:eastAsia="ru-RU"/>
              </w:rPr>
              <w:t>Сравнительный анализ административной и уголовной ответственности за нарушения в области охраны труда</w:t>
            </w:r>
          </w:p>
          <w:p w14:paraId="00000143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44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5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71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45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11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апреля</w:t>
            </w:r>
          </w:p>
          <w:p w14:paraId="00000146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2025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47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Региональный,</w:t>
            </w:r>
          </w:p>
          <w:p w14:paraId="00000148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Владивосток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49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 w:val="off"/>
                <w:bCs w:val="off"/>
                <w:sz w:val="20"/>
                <w:szCs w:val="20"/>
                <w:highlight w:val="none"/>
                <w:rtl w:val="off"/>
                <w:lang w:val="ru-RU" w:eastAsia="ru-RU"/>
              </w:rPr>
              <w:t>Интеллектуальный потенциал вузов – на развитие Дальневосточного региона России и стран АТР</w:t>
            </w: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4A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4B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 w:hint="default"/>
                <w:b w:val="off"/>
                <w:bCs w:val="off"/>
                <w:sz w:val="20"/>
                <w:szCs w:val="20"/>
                <w:highlight w:val="none"/>
                <w:lang w:val="ru-RU" w:bidi="ar-SA" w:eastAsia="ru-RU"/>
              </w:rPr>
              <w:t>Понятие и особенности административной ответственности за нарушение требований охраны труда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4C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5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71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4D">
            <w:pPr>
              <w:bidi w:val="off"/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4 Марта — 20 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ru-RU"/>
              </w:rPr>
              <w:t>а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преля </w:t>
            </w:r>
          </w:p>
          <w:p w14:paraId="0000014E">
            <w:pPr>
              <w:bidi w:val="off"/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2025 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ru-RU"/>
              </w:rPr>
              <w:t>г.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 </w:t>
            </w:r>
          </w:p>
          <w:p w14:paraId="0000014F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50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Региональный,</w:t>
            </w:r>
          </w:p>
          <w:p w14:paraId="00000151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Южно-сахалинск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52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Региональная площадка "Вернадский - Сахалин" Международной научной конференции студентов, аспирантов и молодых учёных «Ломоносов-2025» </w:t>
            </w:r>
          </w:p>
          <w:p w14:paraId="00000153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54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55">
            <w:pPr>
              <w:bidi w:val="off"/>
              <w:spacing w:after="0" w:line="240" w:lineRule="auto"/>
              <w:ind w:left="0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eastAsia="TimesNewRomanPS-BoldMT" w:hAnsi="Times New Roman"/>
                <w:b w:val="off"/>
                <w:bCs w:val="off"/>
                <w:sz w:val="20"/>
                <w:szCs w:val="20"/>
                <w:highlight w:val="none"/>
                <w:rtl w:val="off"/>
                <w:lang w:val="en-US"/>
              </w:rPr>
              <w:t xml:space="preserve">Основы терминологии охраны труда в условиях современного производства </w:t>
            </w:r>
          </w:p>
          <w:p w14:paraId="00000156">
            <w:pPr>
              <w:spacing w:after="0" w:line="240" w:lineRule="auto"/>
              <w:ind w:left="0"/>
              <w:jc w:val="center"/>
              <w:rPr>
                <w:rFonts w:ascii="Times New Roman" w:eastAsia="TimesNewRomanPS-BoldMT" w:hAnsi="Times New Roman" w:hint="default"/>
                <w:b/>
                <w:sz w:val="20"/>
                <w:szCs w:val="20"/>
                <w:highlight w:val="none"/>
                <w:lang w:val="ru-RU" w:bidi="ar-SA" w:eastAsia="ru-RU"/>
              </w:rPr>
            </w:pP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57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7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71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58">
            <w:pPr>
              <w:bidi w:val="off"/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2 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ru-RU"/>
              </w:rPr>
              <w:t xml:space="preserve">июня </w:t>
            </w:r>
          </w:p>
          <w:p w14:paraId="00000159">
            <w:pPr>
              <w:bidi w:val="off"/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  <w:t xml:space="preserve">2025 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ru-RU"/>
              </w:rPr>
              <w:t>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5A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Международный,</w:t>
            </w:r>
          </w:p>
          <w:p w14:paraId="0000015B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г. Екатеринбург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5C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0"/>
                <w:lang w:val="ru-RU"/>
              </w:rPr>
              <w:t xml:space="preserve">Международная научно-практическая конференция 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b w:val="off"/>
                <w:bCs w:val="off"/>
                <w:color w:val="000000"/>
                <w:sz w:val="20"/>
                <w:szCs w:val="20"/>
                <w:rtl w:val="off"/>
                <w:lang w:val="ru-RU"/>
              </w:rPr>
              <w:t>Межотраслвые исследования. Безбарьерная среда научной деятельности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0"/>
                <w:rtl w:val="off"/>
                <w:lang w:val="en-US"/>
              </w:rPr>
              <w:t>»</w:t>
            </w: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5D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5E">
            <w:pPr>
              <w:bidi w:val="off"/>
              <w:spacing w:after="0" w:line="240" w:lineRule="auto"/>
              <w:ind w:left="0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eastAsia="TimesNewRomanPS-BoldMT" w:hAnsi="Times New Roman"/>
                <w:b w:val="off"/>
                <w:bCs w:val="off"/>
                <w:sz w:val="20"/>
                <w:szCs w:val="20"/>
                <w:highlight w:val="none"/>
                <w:lang w:val="ru-RU"/>
              </w:rPr>
              <w:t>Приоритетные правовые понятия охраны труда в условиях современного производства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5F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 xml:space="preserve">4 </w:t>
            </w: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nfStyle w:val="000000000000"/>
          <w:trHeight w:val="171" w:hRule="atLeast"/>
        </w:trPr>
        <w:tc>
          <w:tcPr>
            <w:cnfStyle w:val="000010000000"/>
            <w:tcW w:w="1393" w:type="dxa"/>
            <w:tcBorders>
              <w:left w:val="single" w:color="000000" w:sz="4" w:space="0"/>
              <w:right w:val="single" w:color="000000" w:sz="4" w:space="0"/>
            </w:tcBorders>
          </w:tcPr>
          <w:p w14:paraId="00000160">
            <w:pPr>
              <w:bidi w:val="off"/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en-US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ru-RU"/>
              </w:rPr>
              <w:t>4 декбря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rtl w:val="off"/>
                <w:lang w:val="ru-RU"/>
              </w:rPr>
              <w:t xml:space="preserve"> 2025 г.</w:t>
            </w:r>
          </w:p>
        </w:tc>
        <w:tc>
          <w:tcPr>
            <w:cnfStyle w:val="000001000000"/>
            <w:tcW w:w="2107" w:type="dxa"/>
            <w:tcBorders>
              <w:left w:val="single" w:color="000000" w:sz="4" w:space="0"/>
              <w:right w:val="single" w:color="000000" w:sz="4" w:space="0"/>
            </w:tcBorders>
          </w:tcPr>
          <w:p w14:paraId="00000161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ru-RU" w:eastAsia="ru-RU"/>
              </w:rPr>
              <w:t>Международный, г. Москва</w:t>
            </w:r>
          </w:p>
        </w:tc>
        <w:tc>
          <w:tcPr>
            <w:cnfStyle w:val="000010000000"/>
            <w:tcW w:w="1902" w:type="dxa"/>
            <w:tcBorders>
              <w:left w:val="single" w:color="000000" w:sz="4" w:space="0"/>
              <w:right w:val="single" w:color="000000" w:sz="4" w:space="0"/>
            </w:tcBorders>
          </w:tcPr>
          <w:p w14:paraId="00000162">
            <w:pPr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</w:pBdr>
              <w:shd w:val="clear" w:fill="ffffff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ru-RU"/>
              </w:rPr>
              <w:t>Научный журнал Юридические исследования №11, К2, ВАК</w:t>
            </w:r>
          </w:p>
        </w:tc>
        <w:tc>
          <w:tcPr>
            <w:cnfStyle w:val="000001000000"/>
            <w:tcW w:w="1931" w:type="dxa"/>
            <w:tcBorders>
              <w:left w:val="single" w:color="000000" w:sz="4" w:space="0"/>
              <w:right w:val="single" w:color="000000" w:sz="4" w:space="0"/>
            </w:tcBorders>
          </w:tcPr>
          <w:p w14:paraId="00000163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10000000"/>
            <w:tcW w:w="1760" w:type="dxa"/>
            <w:tcBorders>
              <w:left w:val="single" w:color="000000" w:sz="4" w:space="0"/>
              <w:right w:val="single" w:color="000000" w:sz="4" w:space="0"/>
            </w:tcBorders>
          </w:tcPr>
          <w:p w14:paraId="00000164">
            <w:pPr>
              <w:bidi w:val="off"/>
              <w:spacing w:after="0" w:line="240" w:lineRule="auto"/>
              <w:ind w:left="0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eastAsia="TimesNewRomanPS-BoldMT" w:hAnsi="Times New Roman"/>
                <w:b w:val="off"/>
                <w:bCs w:val="off"/>
                <w:sz w:val="20"/>
                <w:szCs w:val="20"/>
                <w:highlight w:val="none"/>
                <w:rtl w:val="off"/>
                <w:lang w:val="en-US"/>
              </w:rPr>
              <w:t>Международно-правовые основы регулирования изменения климата и пути повышения эффективности международного сотрудничества</w:t>
            </w:r>
            <w:r>
              <w:rPr>
                <w:rFonts w:ascii="Times New Roman" w:eastAsia="TimesNewRomanPS-BoldMT" w:hAnsi="Times New Roman"/>
                <w:b/>
                <w:sz w:val="20"/>
                <w:szCs w:val="20"/>
                <w:highlight w:val="none"/>
                <w:rtl w:val="off"/>
                <w:lang w:val="en-US"/>
              </w:rPr>
              <w:t xml:space="preserve"> </w:t>
            </w:r>
          </w:p>
        </w:tc>
        <w:tc>
          <w:tcPr>
            <w:cnfStyle w:val="000001000000"/>
            <w:tcW w:w="1080" w:type="dxa"/>
            <w:tcBorders>
              <w:left w:val="single" w:color="000000" w:sz="4" w:space="0"/>
              <w:right w:val="single" w:color="000000" w:sz="4" w:space="0"/>
            </w:tcBorders>
          </w:tcPr>
          <w:p w14:paraId="00000165">
            <w:pPr>
              <w:spacing w:after="0" w:line="240" w:lineRule="auto"/>
              <w:jc w:val="center"/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</w:pPr>
            <w:r>
              <w:rPr>
                <w:rFonts w:ascii="Times New Roman" w:eastAsia="TimesNewRomanPS-BoldMT" w:hAnsi="Times New Roman" w:hint="default"/>
                <w:sz w:val="20"/>
                <w:szCs w:val="20"/>
                <w:highlight w:val="none"/>
                <w:lang w:val="en-US" w:eastAsia="ru-RU"/>
              </w:rPr>
              <w:t>13 c.</w:t>
            </w:r>
          </w:p>
        </w:tc>
      </w:tr>
    </w:tbl>
    <w:p w14:paraId="00000166">
      <w:pPr>
        <w:spacing w:after="0" w:line="240" w:lineRule="auto"/>
        <w:ind w:firstLine="708"/>
        <w:rPr>
          <w:rFonts w:ascii="Times New Roman" w:eastAsia="TimesNewRomanPS-BoldMT" w:hAnsi="Times New Roman"/>
          <w:sz w:val="24"/>
          <w:szCs w:val="24"/>
          <w:lang w:eastAsia="ru-RU"/>
        </w:rPr>
      </w:pPr>
    </w:p>
    <w:p w14:paraId="00000167">
      <w:pPr>
        <w:spacing w:after="0" w:line="240" w:lineRule="auto"/>
        <w:ind w:firstLine="708"/>
        <w:rPr>
          <w:rFonts w:ascii="Times New Roman" w:eastAsia="TimesNewRomanPS-BoldMT" w:hAnsi="Times New Roman"/>
          <w:sz w:val="24"/>
          <w:szCs w:val="24"/>
          <w:lang w:eastAsia="ru-RU"/>
        </w:rPr>
      </w:pPr>
    </w:p>
    <w:p w14:paraId="00000168">
      <w:pPr>
        <w:spacing w:after="0" w:line="240" w:lineRule="auto"/>
        <w:ind w:firstLine="708"/>
        <w:rPr>
          <w:rFonts w:ascii="Times New Roman" w:eastAsia="TimesNewRomanPS-BoldMT" w:hAnsi="Times New Roman"/>
          <w:sz w:val="24"/>
          <w:szCs w:val="24"/>
          <w:lang w:eastAsia="ru-RU"/>
        </w:rPr>
      </w:pPr>
      <w:r>
        <w:rPr>
          <w:rFonts w:ascii="Times New Roman" w:eastAsia="TimesNewRomanPS-BoldMT" w:hAnsi="Times New Roman"/>
          <w:sz w:val="24"/>
          <w:szCs w:val="24"/>
          <w:lang w:eastAsia="ru-RU"/>
        </w:rPr>
        <w:t xml:space="preserve">Копии документов  в количестве </w:t>
      </w:r>
      <w:r>
        <w:rPr>
          <w:rFonts w:ascii="Times New Roman" w:eastAsia="TimesNewRomanPS-BoldMT" w:hAnsi="Times New Roman"/>
          <w:sz w:val="24"/>
          <w:szCs w:val="24"/>
          <w:u w:val="single"/>
          <w:lang w:eastAsia="ru-RU"/>
        </w:rPr>
        <w:t>35</w:t>
      </w:r>
      <w:r>
        <w:rPr>
          <w:rFonts w:ascii="Times New Roman" w:eastAsia="TimesNewRomanPS-BoldMT" w:hAnsi="Times New Roman"/>
          <w:sz w:val="24"/>
          <w:szCs w:val="24"/>
          <w:u w:val="none"/>
          <w:lang w:eastAsia="ru-RU"/>
        </w:rPr>
        <w:t xml:space="preserve"> </w:t>
      </w:r>
      <w:r>
        <w:rPr>
          <w:rFonts w:ascii="Times New Roman" w:eastAsia="TimesNewRomanPS-BoldMT" w:hAnsi="Times New Roman"/>
          <w:sz w:val="24"/>
          <w:szCs w:val="24"/>
          <w:u w:val="none"/>
          <w:lang w:eastAsia="ru-RU"/>
        </w:rPr>
        <w:t>штук</w:t>
      </w:r>
      <w:r>
        <w:rPr>
          <w:rFonts w:ascii="Times New Roman" w:eastAsia="TimesNewRomanPS-BoldMT" w:hAnsi="Times New Roman"/>
          <w:sz w:val="24"/>
          <w:szCs w:val="24"/>
          <w:lang w:eastAsia="ru-RU"/>
        </w:rPr>
        <w:t xml:space="preserve">  прилагаются                                                                                                                                                                         </w:t>
      </w:r>
    </w:p>
    <w:p w14:paraId="00000169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14:paraId="0000016A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Подпись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  </w:t>
      </w:r>
    </w:p>
    <w:p w14:paraId="0000016B">
      <w:pPr>
        <w:spacing w:after="0" w:line="240" w:lineRule="auto"/>
        <w:ind w:firstLine="708"/>
        <w:rPr>
          <w:rFonts w:ascii="Times New Roman" w:eastAsia="TimesNewRomanPS-BoldMT" w:hAnsi="Times New Roman"/>
          <w:bCs/>
          <w:i/>
          <w:sz w:val="20"/>
          <w:szCs w:val="20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Дата_</w:t>
      </w:r>
      <w:r>
        <w:rPr>
          <w:rFonts w:ascii="Times New Roman" w:hAnsi="Times New Roman"/>
          <w:sz w:val="24"/>
          <w:szCs w:val="24"/>
          <w:u w:val="single"/>
        </w:rPr>
        <w:t xml:space="preserve">____________    </w:t>
      </w:r>
    </w:p>
    <w:sectPr>
      <w:pgSz w:w="11906" w:h="16838"/>
      <w:pgMar w:top="567" w:right="1134" w:bottom="1701" w:left="1134" w:header="709" w:footer="709" w:gutter="0"/>
      <w:cols w:space="708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endnote w:type="separator" w:id="0">
    <w:p w14:paraId="00000003">
      <w:pPr>
        <w:spacing w:line="240" w:lineRule="auto"/>
        <w:rPr/>
      </w:pPr>
      <w:r>
        <w:rPr/>
        <w:separator/>
      </w:r>
    </w:p>
  </w:endnote>
  <w:endnote w:type="continuationSeparator" w:id="1">
    <w:p w14:paraId="00000004">
      <w:pPr>
        <w:spacing w:line="240" w:lineRule="auto"/>
        <w:rPr/>
      </w:pPr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0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00000000" w:usb1="00000000" w:usb2="00000009" w:usb3="00000000" w:csb0="400001ff" w:csb1="00000000"/>
  </w:font>
  <w:font w:name="Courier New">
    <w:panose1 w:val="02070309020205020404"/>
    <w:charset w:val="00"/>
    <w:family w:val="modern"/>
    <w:pitch w:val="default"/>
    <w:sig w:usb0="00000000" w:usb1="00000000" w:usb2="00000009" w:usb3="00000000" w:csb0="400001ff" w:csb1="00000000"/>
  </w:font>
  <w:font w:name="黑体">
    <w:altName w:val="SimSun"/>
    <w:panose1 w:val="02010609060101010101"/>
    <w:charset w:val="86"/>
    <w:family w:val="modern"/>
    <w:pitch w:val="default"/>
    <w:sig w:usb0="00000000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00000000" w:usb1="00000000" w:usb2="00000009" w:usb3="00000000" w:csb0="200001ff" w:csb1="00000000"/>
  </w:font>
  <w:font w:name="Cambria">
    <w:panose1 w:val="02040503050406030204"/>
    <w:charset w:val="00"/>
    <w:family w:val="roman"/>
    <w:pitch w:val="default"/>
    <w:sig w:usb0="00000000" w:usb1="420024ff" w:usb2="02000000" w:usb3="00000000" w:csb0="2000019f" w:csb1="00000000"/>
  </w:font>
  <w:font w:name="Segoe UI">
    <w:panose1 w:val="020b0502040204020203"/>
    <w:charset w:val="00"/>
    <w:family w:val="swiss"/>
    <w:pitch w:val="default"/>
    <w:sig w:usb0="00000000" w:usb1="00000000" w:usb2="00000009" w:usb3="00000000" w:csb0="200001ff" w:csb1="00000000"/>
  </w:font>
  <w:font w:name="TimesNewRomanPS-BoldMT">
    <w:altName w:val="Yu Gothic UI"/>
    <w:panose1 w:val="020b0604020202020204"/>
    <w:charset w:val="80"/>
    <w:family w:val="auto"/>
    <w:pitch w:val="default"/>
    <w:sig w:usb0="00000000" w:usb1="00000000" w:usb2="00000010" w:usb3="00000000" w:csb0="00020004" w:csb1="00000000"/>
  </w:font>
  <w:font w:name="Yu Gothic UI">
    <w:panose1 w:val="020b0500000000000000"/>
    <w:charset w:val="80"/>
    <w:family w:val="auto"/>
    <w:pitch w:val="default"/>
    <w:sig w:usb0="00000000" w:usb1="2ac7fdff" w:usb2="00000016" w:usb3="00000000" w:csb0="2002009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Helvetica Neue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footnote w:type="separator" w:id="0">
    <w:p w14:paraId="00000001">
      <w:pPr>
        <w:spacing w:before="0" w:after="0" w:line="276" w:lineRule="auto"/>
        <w:rPr/>
      </w:pPr>
      <w:r>
        <w:rPr/>
        <w:separator/>
      </w:r>
    </w:p>
  </w:footnote>
  <w:footnote w:type="continuationSeparator" w:id="1">
    <w:p w14:paraId="00000002">
      <w:pPr>
        <w:spacing w:before="0" w:after="0" w:line="276" w:lineRule="auto"/>
        <w:rPr/>
      </w:pPr>
      <w:r>
        <w:rPr/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294"/>
    <w:rsid w:val="00000378"/>
    <w:rsid w:val="0000276B"/>
    <w:rsid w:val="0001253F"/>
    <w:rsid w:val="000138DD"/>
    <w:rsid w:val="000201C6"/>
    <w:rsid w:val="00020B7C"/>
    <w:rsid w:val="00020C01"/>
    <w:rsid w:val="00021202"/>
    <w:rsid w:val="00026A6E"/>
    <w:rsid w:val="0006303B"/>
    <w:rsid w:val="00065B8E"/>
    <w:rsid w:val="00072446"/>
    <w:rsid w:val="0008002B"/>
    <w:rsid w:val="00080752"/>
    <w:rsid w:val="000815AE"/>
    <w:rsid w:val="00087575"/>
    <w:rsid w:val="000878F3"/>
    <w:rsid w:val="00090294"/>
    <w:rsid w:val="00091E38"/>
    <w:rsid w:val="00095DD5"/>
    <w:rsid w:val="000B0158"/>
    <w:rsid w:val="000B67C1"/>
    <w:rsid w:val="000C19C6"/>
    <w:rsid w:val="000C2681"/>
    <w:rsid w:val="000C7107"/>
    <w:rsid w:val="000D1691"/>
    <w:rsid w:val="000D50A6"/>
    <w:rsid w:val="000E1998"/>
    <w:rsid w:val="000E1AD7"/>
    <w:rsid w:val="000F5D5D"/>
    <w:rsid w:val="00111203"/>
    <w:rsid w:val="001137EF"/>
    <w:rsid w:val="00114F56"/>
    <w:rsid w:val="00120601"/>
    <w:rsid w:val="00127B10"/>
    <w:rsid w:val="00132DB8"/>
    <w:rsid w:val="00142B14"/>
    <w:rsid w:val="00155035"/>
    <w:rsid w:val="001555B8"/>
    <w:rsid w:val="001628D1"/>
    <w:rsid w:val="00166526"/>
    <w:rsid w:val="0017431C"/>
    <w:rsid w:val="00176479"/>
    <w:rsid w:val="0017697F"/>
    <w:rsid w:val="00186AD2"/>
    <w:rsid w:val="00192852"/>
    <w:rsid w:val="00194573"/>
    <w:rsid w:val="00196005"/>
    <w:rsid w:val="00197A1A"/>
    <w:rsid w:val="001A359D"/>
    <w:rsid w:val="001A5E70"/>
    <w:rsid w:val="001B206A"/>
    <w:rsid w:val="001D7D8E"/>
    <w:rsid w:val="001E2C94"/>
    <w:rsid w:val="00212722"/>
    <w:rsid w:val="00234A55"/>
    <w:rsid w:val="00251099"/>
    <w:rsid w:val="00252167"/>
    <w:rsid w:val="00252FD2"/>
    <w:rsid w:val="002555B9"/>
    <w:rsid w:val="00255E0B"/>
    <w:rsid w:val="00257654"/>
    <w:rsid w:val="00257A4A"/>
    <w:rsid w:val="00272888"/>
    <w:rsid w:val="00285B27"/>
    <w:rsid w:val="00297671"/>
    <w:rsid w:val="002A09AB"/>
    <w:rsid w:val="002A0D43"/>
    <w:rsid w:val="002A4B5A"/>
    <w:rsid w:val="002B4727"/>
    <w:rsid w:val="002B74ED"/>
    <w:rsid w:val="002C5882"/>
    <w:rsid w:val="002C7820"/>
    <w:rsid w:val="002D2AD1"/>
    <w:rsid w:val="002D5407"/>
    <w:rsid w:val="002D6B3F"/>
    <w:rsid w:val="002E0025"/>
    <w:rsid w:val="002E7DEF"/>
    <w:rsid w:val="00300991"/>
    <w:rsid w:val="00303359"/>
    <w:rsid w:val="0030345F"/>
    <w:rsid w:val="00306DC4"/>
    <w:rsid w:val="003100D6"/>
    <w:rsid w:val="00315A79"/>
    <w:rsid w:val="00320031"/>
    <w:rsid w:val="00321169"/>
    <w:rsid w:val="00343C56"/>
    <w:rsid w:val="00367506"/>
    <w:rsid w:val="00372EFD"/>
    <w:rsid w:val="00381D0C"/>
    <w:rsid w:val="00382376"/>
    <w:rsid w:val="003904DB"/>
    <w:rsid w:val="00392EE3"/>
    <w:rsid w:val="003A1BAF"/>
    <w:rsid w:val="003A7D05"/>
    <w:rsid w:val="003C192E"/>
    <w:rsid w:val="003C3F46"/>
    <w:rsid w:val="003E24D4"/>
    <w:rsid w:val="003E3454"/>
    <w:rsid w:val="003E6DA7"/>
    <w:rsid w:val="003F3520"/>
    <w:rsid w:val="00411C68"/>
    <w:rsid w:val="0042186D"/>
    <w:rsid w:val="0042278C"/>
    <w:rsid w:val="004458FE"/>
    <w:rsid w:val="00463E4D"/>
    <w:rsid w:val="0046550E"/>
    <w:rsid w:val="00466F21"/>
    <w:rsid w:val="00474CDD"/>
    <w:rsid w:val="004841B6"/>
    <w:rsid w:val="004A7A68"/>
    <w:rsid w:val="004B030F"/>
    <w:rsid w:val="004B620C"/>
    <w:rsid w:val="004C1A2B"/>
    <w:rsid w:val="004D6D45"/>
    <w:rsid w:val="004F09E2"/>
    <w:rsid w:val="00501F82"/>
    <w:rsid w:val="005112AE"/>
    <w:rsid w:val="00511A65"/>
    <w:rsid w:val="005147E6"/>
    <w:rsid w:val="00521910"/>
    <w:rsid w:val="005354D7"/>
    <w:rsid w:val="00537C6C"/>
    <w:rsid w:val="005474AB"/>
    <w:rsid w:val="00554466"/>
    <w:rsid w:val="00560746"/>
    <w:rsid w:val="00563119"/>
    <w:rsid w:val="00576918"/>
    <w:rsid w:val="005819D5"/>
    <w:rsid w:val="00584CD6"/>
    <w:rsid w:val="005A643C"/>
    <w:rsid w:val="00603CEF"/>
    <w:rsid w:val="0060566C"/>
    <w:rsid w:val="00611047"/>
    <w:rsid w:val="00614B69"/>
    <w:rsid w:val="0064638E"/>
    <w:rsid w:val="00651151"/>
    <w:rsid w:val="00656E30"/>
    <w:rsid w:val="00661A0B"/>
    <w:rsid w:val="00662F84"/>
    <w:rsid w:val="006745DF"/>
    <w:rsid w:val="00677D71"/>
    <w:rsid w:val="00680F0D"/>
    <w:rsid w:val="00683FEF"/>
    <w:rsid w:val="0068667E"/>
    <w:rsid w:val="006A2827"/>
    <w:rsid w:val="006A47C3"/>
    <w:rsid w:val="006B3534"/>
    <w:rsid w:val="006B542A"/>
    <w:rsid w:val="006C6051"/>
    <w:rsid w:val="006D5046"/>
    <w:rsid w:val="006E2D4D"/>
    <w:rsid w:val="006F0FCA"/>
    <w:rsid w:val="007057D2"/>
    <w:rsid w:val="00706C2F"/>
    <w:rsid w:val="00722215"/>
    <w:rsid w:val="00722AEB"/>
    <w:rsid w:val="0072460C"/>
    <w:rsid w:val="00727E5C"/>
    <w:rsid w:val="00731437"/>
    <w:rsid w:val="00732F9B"/>
    <w:rsid w:val="007343FD"/>
    <w:rsid w:val="00736F84"/>
    <w:rsid w:val="00743BDB"/>
    <w:rsid w:val="007565ED"/>
    <w:rsid w:val="00756D7D"/>
    <w:rsid w:val="00763278"/>
    <w:rsid w:val="00764835"/>
    <w:rsid w:val="00772E8C"/>
    <w:rsid w:val="00781181"/>
    <w:rsid w:val="0079633F"/>
    <w:rsid w:val="007B3AFD"/>
    <w:rsid w:val="007E0D42"/>
    <w:rsid w:val="007E1E0E"/>
    <w:rsid w:val="007F1ABA"/>
    <w:rsid w:val="007F2EFF"/>
    <w:rsid w:val="007F3175"/>
    <w:rsid w:val="00811C11"/>
    <w:rsid w:val="00823A78"/>
    <w:rsid w:val="00861085"/>
    <w:rsid w:val="00884D84"/>
    <w:rsid w:val="008A41AD"/>
    <w:rsid w:val="008E04F6"/>
    <w:rsid w:val="008E09B4"/>
    <w:rsid w:val="008F01F9"/>
    <w:rsid w:val="008F3EC8"/>
    <w:rsid w:val="008F4557"/>
    <w:rsid w:val="00914772"/>
    <w:rsid w:val="0091656D"/>
    <w:rsid w:val="00921271"/>
    <w:rsid w:val="00921B5D"/>
    <w:rsid w:val="00930787"/>
    <w:rsid w:val="0093173F"/>
    <w:rsid w:val="009426DE"/>
    <w:rsid w:val="00944044"/>
    <w:rsid w:val="009451DD"/>
    <w:rsid w:val="0095120C"/>
    <w:rsid w:val="00953947"/>
    <w:rsid w:val="00957B79"/>
    <w:rsid w:val="00982FA2"/>
    <w:rsid w:val="009900B0"/>
    <w:rsid w:val="009A05B6"/>
    <w:rsid w:val="009A4E93"/>
    <w:rsid w:val="009B091E"/>
    <w:rsid w:val="009C0CB8"/>
    <w:rsid w:val="009D2DCC"/>
    <w:rsid w:val="009D2FE9"/>
    <w:rsid w:val="009E2A83"/>
    <w:rsid w:val="009E5B13"/>
    <w:rsid w:val="009F595C"/>
    <w:rsid w:val="00A036BF"/>
    <w:rsid w:val="00A03858"/>
    <w:rsid w:val="00A40388"/>
    <w:rsid w:val="00A52B23"/>
    <w:rsid w:val="00A54DE3"/>
    <w:rsid w:val="00A56988"/>
    <w:rsid w:val="00A578F9"/>
    <w:rsid w:val="00A65CCA"/>
    <w:rsid w:val="00A746CE"/>
    <w:rsid w:val="00A93087"/>
    <w:rsid w:val="00A9476C"/>
    <w:rsid w:val="00AA4951"/>
    <w:rsid w:val="00AB05CD"/>
    <w:rsid w:val="00AB16EE"/>
    <w:rsid w:val="00AB69A1"/>
    <w:rsid w:val="00AD5B90"/>
    <w:rsid w:val="00AF4E2A"/>
    <w:rsid w:val="00B04BA8"/>
    <w:rsid w:val="00B16783"/>
    <w:rsid w:val="00B21529"/>
    <w:rsid w:val="00B270B2"/>
    <w:rsid w:val="00B423C7"/>
    <w:rsid w:val="00B56E3B"/>
    <w:rsid w:val="00B8799E"/>
    <w:rsid w:val="00BA5C0C"/>
    <w:rsid w:val="00BA7C55"/>
    <w:rsid w:val="00BC24AF"/>
    <w:rsid w:val="00BC4B95"/>
    <w:rsid w:val="00BC7BC6"/>
    <w:rsid w:val="00BD0E46"/>
    <w:rsid w:val="00BD510C"/>
    <w:rsid w:val="00BE6684"/>
    <w:rsid w:val="00BE70D6"/>
    <w:rsid w:val="00C04716"/>
    <w:rsid w:val="00C048A2"/>
    <w:rsid w:val="00C05E25"/>
    <w:rsid w:val="00C06FC3"/>
    <w:rsid w:val="00C14A09"/>
    <w:rsid w:val="00C150CB"/>
    <w:rsid w:val="00C41513"/>
    <w:rsid w:val="00C42BF1"/>
    <w:rsid w:val="00C43D85"/>
    <w:rsid w:val="00C44941"/>
    <w:rsid w:val="00C478FD"/>
    <w:rsid w:val="00C5519E"/>
    <w:rsid w:val="00C56099"/>
    <w:rsid w:val="00C56A71"/>
    <w:rsid w:val="00C63104"/>
    <w:rsid w:val="00C701F0"/>
    <w:rsid w:val="00C7259E"/>
    <w:rsid w:val="00CA0CEF"/>
    <w:rsid w:val="00CA2A83"/>
    <w:rsid w:val="00CA2BFE"/>
    <w:rsid w:val="00CB097C"/>
    <w:rsid w:val="00CC5C77"/>
    <w:rsid w:val="00CD0656"/>
    <w:rsid w:val="00CF0043"/>
    <w:rsid w:val="00CF1CE4"/>
    <w:rsid w:val="00CF2592"/>
    <w:rsid w:val="00D248CA"/>
    <w:rsid w:val="00D2657D"/>
    <w:rsid w:val="00D348B1"/>
    <w:rsid w:val="00D3670E"/>
    <w:rsid w:val="00D46F8D"/>
    <w:rsid w:val="00D5443C"/>
    <w:rsid w:val="00D57447"/>
    <w:rsid w:val="00D67C20"/>
    <w:rsid w:val="00D85933"/>
    <w:rsid w:val="00DA22DD"/>
    <w:rsid w:val="00DA4D65"/>
    <w:rsid w:val="00DA519E"/>
    <w:rsid w:val="00DD031D"/>
    <w:rsid w:val="00DD3C9A"/>
    <w:rsid w:val="00DE775F"/>
    <w:rsid w:val="00DF3D08"/>
    <w:rsid w:val="00DF7258"/>
    <w:rsid w:val="00E070EA"/>
    <w:rsid w:val="00E24C88"/>
    <w:rsid w:val="00E31139"/>
    <w:rsid w:val="00E40E87"/>
    <w:rsid w:val="00E43D85"/>
    <w:rsid w:val="00E44D77"/>
    <w:rsid w:val="00E50966"/>
    <w:rsid w:val="00E571CB"/>
    <w:rsid w:val="00E61298"/>
    <w:rsid w:val="00E65F23"/>
    <w:rsid w:val="00E66715"/>
    <w:rsid w:val="00EA0906"/>
    <w:rsid w:val="00EC35CA"/>
    <w:rsid w:val="00EC6FF2"/>
    <w:rsid w:val="00EE40DA"/>
    <w:rsid w:val="00EE4751"/>
    <w:rsid w:val="00EE6925"/>
    <w:rsid w:val="00EF13DE"/>
    <w:rsid w:val="00EF4907"/>
    <w:rsid w:val="00F00306"/>
    <w:rsid w:val="00F05647"/>
    <w:rsid w:val="00F06FEE"/>
    <w:rsid w:val="00F11178"/>
    <w:rsid w:val="00F1690F"/>
    <w:rsid w:val="00F44CE2"/>
    <w:rsid w:val="00F510C5"/>
    <w:rsid w:val="00F55496"/>
    <w:rsid w:val="00F60321"/>
    <w:rsid w:val="00F6551C"/>
    <w:rsid w:val="00FA0941"/>
    <w:rsid w:val="00FA1D29"/>
    <w:rsid w:val="00FB2BFD"/>
    <w:rsid w:val="00FB5573"/>
    <w:rsid w:val="00FC1A97"/>
    <w:rsid w:val="00FC7A44"/>
    <w:rsid w:val="00FD1023"/>
    <w:rsid w:val="00FD3CC5"/>
    <w:rsid w:val="00FE3AA9"/>
    <w:rsid w:val="00FF6164"/>
    <w:rsid w:val="00FF7A5C"/>
    <w:rsid w:val="00FF7BA5"/>
    <w:rsid w:val="55315866"/>
    <w:rsid w:val="5C5D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0"/>
    <w:footnote w:id="1"/>
  </w:footnotePr>
  <w:endnotePr>
    <w:endnote w:id="0"/>
    <w:endnote w:id="1"/>
  </w:endnotePr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Calibri" w:cs="Times New Roman" w:eastAsia="Calibri" w:hAnsi="Calibri"/>
      </w:rPr>
    </w:rPrDefault>
    <w:pPrDefault/>
  </w:docDefaults>
  <w:style w:type="numbering" w:styleId="NoList">
    <w:name w:val="No List"/>
    <w:uiPriority w:val="99"/>
    <w:semiHidden w:val="on"/>
    <w:unhideWhenUsed w:val="on"/>
  </w:style>
  <w:style w:type="paragraph" w:default="1" w:styleId="Normal">
    <w:name w:val="Normal"/>
    <w:uiPriority w:val="99"/>
    <w:qFormat w:val="on"/>
    <w:pPr>
      <w:spacing w:after="200" w:line="276" w:lineRule="auto"/>
    </w:pPr>
    <w:rPr>
      <w:rFonts w:ascii="Calibri" w:cs="Times New Roman" w:eastAsia="Calibri" w:hAnsi="Calibri"/>
      <w:sz w:val="22"/>
      <w:szCs w:val="22"/>
      <w:lang w:val="ru-RU" w:bidi="ar-SA" w:eastAsia="en-US"/>
    </w:rPr>
  </w:style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  <w:lang w:val="ru-RU" w:bidi="ar-SA" w:eastAsia="ru-RU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sz w:val="26"/>
      <w:szCs w:val="26"/>
      <w:lang w:val="ru-RU" w:bidi="ar-SA" w:eastAsia="ru-RU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lang w:val="ru-RU" w:bidi="ar-SA" w:eastAsia="ru-RU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  <w:lang w:val="ru-RU" w:bidi="ar-SA" w:eastAsia="ru-RU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54061" w:themeColor="accent1" w:themeShade="80"/>
      <w:lang w:val="ru-RU" w:bidi="ar-SA" w:eastAsia="ru-RU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54061" w:themeColor="accent1" w:themeShade="80"/>
      <w:lang w:val="ru-RU" w:bidi="ar-SA" w:eastAsia="ru-RU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lang w:val="ru-RU" w:bidi="ar-SA" w:eastAsia="ru-RU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  <w:lang w:val="ru-RU" w:bidi="ar-SA" w:eastAsia="ru-RU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  <w:lang w:val="ru-RU" w:bidi="ar-SA" w:eastAsia="ru-RU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800080" w:themeColor="followedHyperlink"/>
      <w:u w:val="single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Emphasis">
    <w:name w:val="Emphasis"/>
    <w:uiPriority w:val="20"/>
    <w:qFormat w:val="on"/>
    <w:rPr>
      <w:i/>
      <w:iCs/>
    </w:rPr>
  </w:style>
  <w:style w:type="character" w:styleId="Hyperlink">
    <w:name w:val="Hyperlink"/>
    <w:uiPriority w:val="99"/>
    <w:unhideWhenUsed w:val="on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BalloonText">
    <w:name w:val="Balloon Text"/>
    <w:basedOn w:val="Normal"/>
    <w:link w:val="ТекствыноскиЗнак"/>
    <w:uiPriority w:val="99"/>
    <w:semiHidden w:val="on"/>
    <w:unhideWhenUsed w:val="on"/>
    <w:pPr>
      <w:spacing w:after="0" w:line="240" w:lineRule="auto"/>
    </w:pPr>
    <w:rPr>
      <w:rFonts w:ascii="Segoe UI" w:cs="Segoe UI" w:hAnsi="Segoe UI"/>
      <w:sz w:val="18"/>
      <w:szCs w:val="18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eastAsia="Calibri" w:hAnsi="Courier New"/>
      <w:sz w:val="21"/>
      <w:szCs w:val="21"/>
      <w:lang w:val="ru-RU" w:bidi="ar-SA" w:eastAsia="ru-RU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rFonts w:ascii="Calibri" w:cs="Times New Roman" w:eastAsia="Calibri" w:hAnsi="Calibri"/>
      <w:sz w:val="20"/>
      <w:szCs w:val="20"/>
      <w:lang w:val="ru-RU" w:bidi="ar-SA" w:eastAsia="ru-RU"/>
    </w:rPr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rFonts w:ascii="Calibri" w:cs="Times New Roman" w:eastAsia="Calibri" w:hAnsi="Calibri"/>
      <w:i/>
      <w:iCs/>
      <w:color w:val="1f497d" w:themeColor="text2"/>
      <w:sz w:val="18"/>
      <w:szCs w:val="18"/>
      <w:lang w:val="ru-RU" w:bidi="ar-SA" w:eastAsia="ru-RU"/>
    </w:rPr>
  </w:style>
  <w:style w:type="paragraph" w:styleId="Footnotetext">
    <w:name w:val="Footnote text"/>
    <w:link w:val="FootnoteTextChar"/>
    <w:uiPriority w:val="99"/>
    <w:semiHidden w:val="on"/>
    <w:unhideWhenUsed w:val="on"/>
    <w:qFormat w:val="on"/>
    <w:pPr>
      <w:spacing w:after="0" w:line="240" w:lineRule="auto"/>
    </w:pPr>
    <w:rPr>
      <w:rFonts w:ascii="Calibri" w:cs="Times New Roman" w:eastAsia="Calibri" w:hAnsi="Calibri"/>
      <w:sz w:val="20"/>
      <w:szCs w:val="20"/>
      <w:lang w:val="ru-RU" w:bidi="ar-SA" w:eastAsia="ru-RU"/>
    </w:rPr>
  </w:style>
  <w:style w:type="paragraph" w:styleId="Header">
    <w:name w:val="Header"/>
    <w:link w:val="HeaderChar"/>
    <w:uiPriority w:val="99"/>
    <w:unhideWhenUsed w:val="on"/>
    <w:qFormat w:val="on"/>
    <w:pPr>
      <w:spacing w:after="0" w:line="240" w:lineRule="auto"/>
    </w:pPr>
    <w:rPr>
      <w:rFonts w:ascii="Calibri" w:cs="Times New Roman" w:eastAsia="Calibri" w:hAnsi="Calibri"/>
      <w:lang w:val="ru-RU" w:bidi="ar-SA" w:eastAsia="ru-RU"/>
    </w:rPr>
  </w:style>
  <w:style w:type="paragraph" w:styleId="Title">
    <w:name w:val="Title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  <w:lang w:val="ru-RU" w:bidi="ar-SA" w:eastAsia="ru-RU"/>
    </w:rPr>
  </w:style>
  <w:style w:type="paragraph" w:styleId="Footer">
    <w:name w:val="Footer"/>
    <w:link w:val="FooterChar"/>
    <w:uiPriority w:val="99"/>
    <w:unhideWhenUsed w:val="on"/>
    <w:qFormat w:val="on"/>
    <w:pPr>
      <w:spacing w:after="0" w:line="240" w:lineRule="auto"/>
    </w:pPr>
    <w:rPr>
      <w:rFonts w:ascii="Calibri" w:cs="Times New Roman" w:eastAsia="Calibri" w:hAnsi="Calibri"/>
      <w:lang w:val="ru-RU" w:bidi="ar-SA" w:eastAsia="ru-RU"/>
    </w:rPr>
  </w:style>
  <w:style w:type="paragraph" w:styleId="Subtitle">
    <w:name w:val="Subtitle"/>
    <w:link w:val="SubtitleChar"/>
    <w:uiPriority w:val="11"/>
    <w:qFormat w:val="on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  <w:lang w:val="ru-RU" w:bidi="ar-SA" w:eastAsia="ru-RU"/>
    </w:rPr>
  </w:style>
  <w:style w:type="table" w:styleId="TableGrid">
    <w:name w:val="Table Grid"/>
    <w:basedOn w:val="NormalTable"/>
    <w:uiPriority w:val="59"/>
    <w:qFormat w:val="on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 w:val="on"/>
    <w:pPr>
      <w:spacing w:after="0" w:line="240" w:lineRule="auto"/>
    </w:pPr>
    <w:rPr>
      <w:rFonts w:ascii="Calibri" w:cs="Times New Roman" w:eastAsia="Calibri" w:hAnsi="Calibri"/>
      <w:lang w:val="ru-RU" w:bidi="ar-SA" w:eastAsia="ru-RU"/>
    </w:rPr>
  </w:style>
  <w:style w:type="character" w:customStyle="1" w:styleId="Heading1Char">
    <w:name w:val="Heading 1 Char"/>
    <w:link w:val="Heading1"/>
    <w:uiPriority w:val="9"/>
    <w:qFormat w:val="on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qFormat w:val="on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qFormat w:val="on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qFormat w:val="on"/>
    <w:rPr>
      <w:rFonts w:asciiTheme="majorHAnsi" w:cstheme="majorBidi" w:eastAsiaTheme="majorEastAsia" w:hAnsiTheme="majorHAnsi"/>
      <w:color w:val="254061" w:themeColor="accent1" w:themeShade="80"/>
    </w:rPr>
  </w:style>
  <w:style w:type="character" w:customStyle="1" w:styleId="Heading6Char">
    <w:name w:val="Heading 6 Char"/>
    <w:link w:val="Heading6"/>
    <w:uiPriority w:val="9"/>
    <w:qFormat w:val="on"/>
    <w:rPr>
      <w:rFonts w:asciiTheme="majorHAnsi" w:cstheme="majorBidi" w:eastAsiaTheme="majorEastAsia" w:hAnsiTheme="majorHAnsi"/>
      <w:i/>
      <w:iCs/>
      <w:color w:val="254061" w:themeColor="accent1" w:themeShade="80"/>
    </w:rPr>
  </w:style>
  <w:style w:type="character" w:customStyle="1" w:styleId="Heading7Char">
    <w:name w:val="Heading 7 Char"/>
    <w:link w:val="Heading7"/>
    <w:uiPriority w:val="9"/>
    <w:qFormat w:val="on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qFormat w:val="on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link w:val="Title"/>
    <w:uiPriority w:val="10"/>
    <w:qFormat w:val="on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leEmphasis">
    <w:name w:val="Subtle Emphasis"/>
    <w:uiPriority w:val="19"/>
    <w:qFormat w:val="on"/>
    <w:rPr>
      <w:i/>
      <w:iCs/>
      <w:color w:val="7f7f7f" w:themeColor="text1" w:themeTint="80"/>
    </w:rPr>
  </w:style>
  <w:style w:type="character" w:customStyle="1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paragraph" w:styleId="Quote">
    <w:name w:val="Quote"/>
    <w:link w:val="QuoteChar"/>
    <w:uiPriority w:val="29"/>
    <w:qFormat w:val="on"/>
    <w:rPr>
      <w:rFonts w:ascii="Calibri" w:cs="Times New Roman" w:eastAsia="Calibri" w:hAnsi="Calibri"/>
      <w:i/>
      <w:iCs/>
      <w:color w:val="000000" w:themeColor="text1"/>
      <w:lang w:val="ru-RU" w:bidi="ar-SA" w:eastAsia="ru-RU"/>
    </w:rPr>
  </w:style>
  <w:style w:type="character" w:customStyle="1" w:styleId="QuoteChar">
    <w:name w:val="Quote Char"/>
    <w:link w:val="Quote"/>
    <w:uiPriority w:val="29"/>
    <w:qFormat w:val="on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rFonts w:ascii="Calibri" w:cs="Times New Roman" w:eastAsia="Calibri" w:hAnsi="Calibri"/>
      <w:b/>
      <w:bCs/>
      <w:i/>
      <w:iCs/>
      <w:color w:val="4f81bd" w:themeColor="accent1"/>
      <w:lang w:val="ru-RU" w:bidi="ar-SA" w:eastAsia="ru-RU"/>
    </w:rPr>
  </w:style>
  <w:style w:type="character" w:customStyle="1" w:styleId="IntenseQuoteChar">
    <w:name w:val="Intense Quote Char"/>
    <w:link w:val="IntenseQuote"/>
    <w:uiPriority w:val="30"/>
    <w:qFormat w:val="on"/>
    <w:rPr>
      <w:b/>
      <w:bCs/>
      <w:i/>
      <w:iCs/>
      <w:color w:val="4f81bd" w:themeColor="accent1"/>
    </w:rPr>
  </w:style>
  <w:style w:type="character" w:customStyle="1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customStyle="1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customStyle="1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  <w:rPr>
      <w:rFonts w:ascii="Calibri" w:cs="Times New Roman" w:eastAsia="Calibri" w:hAnsi="Calibri"/>
      <w:lang w:val="ru-RU" w:bidi="ar-SA" w:eastAsia="ru-RU"/>
    </w:rPr>
  </w:style>
  <w:style w:type="character" w:customStyle="1" w:styleId="FootnoteTextChar">
    <w:name w:val="Footnote Text Char"/>
    <w:link w:val="Footnotetext"/>
    <w:uiPriority w:val="99"/>
    <w:semiHidden w:val="on"/>
    <w:qFormat w:val="on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qFormat w:val="on"/>
    <w:rPr>
      <w:sz w:val="20"/>
      <w:szCs w:val="20"/>
    </w:rPr>
  </w:style>
  <w:style w:type="character" w:customStyle="1" w:styleId="PlainTextChar">
    <w:name w:val="Plain Text Char"/>
    <w:link w:val="PlainText"/>
    <w:uiPriority w:val="99"/>
    <w:qFormat w:val="on"/>
    <w:rPr>
      <w:rFonts w:ascii="Courier New" w:cs="Courier New" w:hAnsi="Courier New"/>
      <w:sz w:val="21"/>
      <w:szCs w:val="21"/>
    </w:rPr>
  </w:style>
  <w:style w:type="character" w:customStyle="1" w:styleId="HeaderChar">
    <w:name w:val="Header Char"/>
    <w:link w:val="Header"/>
    <w:uiPriority w:val="99"/>
    <w:qFormat w:val="on"/>
  </w:style>
  <w:style w:type="character" w:customStyle="1" w:styleId="FooterChar">
    <w:name w:val="Footer Char"/>
    <w:link w:val="Footer"/>
    <w:uiPriority w:val="99"/>
    <w:qFormat w:val="on"/>
  </w:style>
  <w:style w:type="character" w:customStyle="1" w:styleId="ТекствыноскиЗнак">
    <w:name w:val="Текст выноски Знак"/>
    <w:basedOn w:val="DefaultParagraphFont"/>
    <w:link w:val="BalloonText"/>
    <w:uiPriority w:val="99"/>
    <w:semiHidden w:val="on"/>
    <w:qFormat w:val="on"/>
    <w:rPr>
      <w:rFonts w:ascii="Segoe UI" w:cs="Segoe UI" w:hAnsi="Segoe U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theme" Target="theme/theme1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word/_rels/endnotes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B6BDC1-85C7-4398-B2C2-35042ACD1F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604</Words>
  <Characters>3444</Characters>
  <Lines>28</Lines>
  <Paragraphs>8</Paragraphs>
  <TotalTime>6</TotalTime>
  <ScaleCrop>false</ScaleCrop>
  <LinksUpToDate>false</LinksUpToDate>
  <CharactersWithSpaces>4040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Елизавета Алексеевна Двойнова</cp:lastModifiedB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2280EE68373C409498B895579FC2EC17_12</vt:lpwstr>
  </property>
</Properties>
</file>