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9F297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Введение</w:t>
      </w:r>
    </w:p>
    <w:p w14:paraId="63F3E0A9">
      <w:pPr>
        <w:spacing w:after="0" w:line="36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>Производственная педагогическая практика является неотъемлемой частью профессиональной подготовки будущих педагогов, направленной на формирование практических навыков и компетенций, необходимых для успешной деятельности в образовательной среде. Втор</w:t>
      </w:r>
      <w:r>
        <w:rPr>
          <w:rFonts w:ascii="Times New Roman" w:hAnsi="Times New Roman" w:cs="Times New Roman"/>
          <w:sz w:val="24"/>
          <w:szCs w:val="24"/>
          <w:highlight w:val="none"/>
          <w:lang w:val="ru-RU" w:eastAsia="ru-RU"/>
        </w:rPr>
        <w:t>ая</w:t>
      </w: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 w:eastAsia="ru-RU"/>
        </w:rPr>
        <w:t>производственная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ru-RU"/>
        </w:rPr>
        <w:t xml:space="preserve"> практика</w:t>
      </w: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>, проходящ</w:t>
      </w:r>
      <w:r>
        <w:rPr>
          <w:rFonts w:ascii="Times New Roman" w:hAnsi="Times New Roman" w:cs="Times New Roman"/>
          <w:sz w:val="24"/>
          <w:szCs w:val="24"/>
          <w:highlight w:val="none"/>
          <w:lang w:val="ru-RU" w:eastAsia="ru-RU"/>
        </w:rPr>
        <w:t>ая</w:t>
      </w: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 xml:space="preserve"> в пришкольном лагере, представляет собой уникальную возможность для студентов применить теоретические знания, полученные в ходе обучения, в реальных условиях организации детского отдыха и воспитательной работы. В современных условиях образовательная деятельность все чаще выходит за рамки традиционного учебного процесса, включающего только уроки, и охватывает разнообразные формы внеурочной деятельности, что способствует всестороннему развитию личности ребенка. В связи с этим организация и проведение внеурочных мероприятий в пришкольных лагерях становится важным направлением педагогической практики и профессионального роста будущих педагогов.</w:t>
      </w:r>
    </w:p>
    <w:p w14:paraId="6F587377">
      <w:pPr>
        <w:spacing w:after="0" w:line="36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>Практика в пришкольном лагере позволяет студентам не только ознакомиться с организационными аспектами работы детского оздоровительного учреждения, но и самостоятельно планировать, проводить и анализировать внеурочные мероприятия. Реализация мероприятий требует от будущих педагогов владения методиками игровой и проектной деятельности, умения работать с группой детей разного возраста и учитывать их индивидуальные особенности. Кроме того, опыт взаимодействия с педагогами и воспитателями лагеря способствует развитию коммуникативных и организационных навыков, которые являются важными составляющими профессиональной компетентности вожатого.</w:t>
      </w:r>
    </w:p>
    <w:p w14:paraId="5908BBE7">
      <w:pPr>
        <w:spacing w:after="0" w:line="36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none"/>
          <w:lang w:val="ru-RU" w:eastAsia="ru-RU"/>
        </w:rPr>
        <w:t>Организация внеурочной деятельности в пришкольном лагере связана с необходимостью соблюдения требований безопасности, создания комфортных условий для детей и учета их интересов и потребностей. Педагогическая практика в этом направлении предполагает глубокое понимание нормативно-правовой базы, в том числе федеральных стандартов и локальных актов образовательного учреждения, что обеспечивает качество и эффективность проводимых мероприятий. Важным аспектом является также оценка результатов внеурочной деятельности, которая осуществляется на основе наблюдений, анализа творческих работ и обратной связи от участников и педагогов. Такой подход позволяет корректировать программы, повышать их качество и адаптировать к меняющимся потребностям детей и образовательной среды.</w:t>
      </w:r>
    </w:p>
    <w:p w14:paraId="1893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Целями учебной педагогической практики являются:</w:t>
      </w:r>
    </w:p>
    <w:p w14:paraId="7794CB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sz w:val="24"/>
          <w:highlight w:val="none"/>
        </w:rPr>
        <w:t>риобретение практических навыков по организации детского отдыха и развитие профессиональных компетенций, необходимых для успешного выполнения обязанностей вожатого.</w:t>
      </w:r>
    </w:p>
    <w:p w14:paraId="6ED3D57F">
      <w:pPr>
        <w:pStyle w:val="18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Задачи практики:</w:t>
      </w:r>
    </w:p>
    <w:p w14:paraId="79289D51">
      <w:pPr>
        <w:pStyle w:val="1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Изучить нормативно-правовые документы, регламентирующие образовательную</w:t>
      </w:r>
    </w:p>
    <w:p w14:paraId="29BE266A">
      <w:pPr>
        <w:pStyle w:val="18"/>
        <w:numPr>
          <w:numId w:val="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деятельность</w:t>
      </w:r>
      <w:r>
        <w:rPr>
          <w:rFonts w:ascii="Times New Roman" w:hAnsi="Times New Roman" w:cs="Times New Roman"/>
          <w:sz w:val="24"/>
          <w:szCs w:val="24"/>
          <w:highlight w:val="none"/>
        </w:rPr>
        <w:t>;</w:t>
      </w:r>
    </w:p>
    <w:p w14:paraId="3585E842">
      <w:pPr>
        <w:pStyle w:val="1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iCs/>
          <w:highlight w:val="none"/>
        </w:rPr>
        <w:t>Рассмотреть особенности функционирования детского оздоровительного лагеря</w:t>
      </w:r>
      <w:r>
        <w:rPr>
          <w:rFonts w:ascii="Times New Roman" w:hAnsi="Times New Roman" w:cs="Times New Roman"/>
          <w:iCs/>
          <w:highlight w:val="none"/>
        </w:rPr>
        <w:t>;</w:t>
      </w:r>
    </w:p>
    <w:p w14:paraId="6217DD38">
      <w:pPr>
        <w:pStyle w:val="1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Ознакомиться с требованиями и видами внеурочной деятельности в школе;</w:t>
      </w:r>
    </w:p>
    <w:p w14:paraId="57CEB81A">
      <w:pPr>
        <w:pStyle w:val="1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Организовать и провести комплекс отрядных мероприятий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(включая подготовку, реализацию и последующий анализ)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.</w:t>
      </w:r>
    </w:p>
    <w:p w14:paraId="0B53307C">
      <w:pPr>
        <w:tabs>
          <w:tab w:val="left" w:pos="993"/>
        </w:tabs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highlight w:val="none"/>
          <w:lang w:val="ru-RU"/>
        </w:rPr>
        <w:t>В ходе прохождения практики была проведена работа по обобщению полученного</w:t>
      </w:r>
    </w:p>
    <w:p w14:paraId="33763B58">
      <w:pPr>
        <w:tabs>
          <w:tab w:val="left" w:pos="993"/>
        </w:tabs>
        <w:spacing w:after="0" w:line="360" w:lineRule="auto"/>
        <w:jc w:val="both"/>
        <w:rPr>
          <w:rFonts w:hint="default" w:ascii="Times New Roman" w:hAnsi="Times New Roman" w:cs="Times New Roman"/>
          <w:sz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highlight w:val="none"/>
          <w:lang w:val="ru-RU"/>
        </w:rPr>
        <w:t>опыта, выявлению и анализу сильных и слабых сторон профессиональной подготовки. На основе этого сделаны соответствующие выводы, направленные на улучшение навыков вожатской деятельности.</w:t>
      </w:r>
    </w:p>
    <w:p w14:paraId="31B20C35">
      <w:pPr>
        <w:tabs>
          <w:tab w:val="left" w:pos="993"/>
        </w:tabs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highlight w:val="none"/>
          <w:lang w:val="ru-RU"/>
        </w:rPr>
      </w:pPr>
    </w:p>
    <w:p w14:paraId="3E659491">
      <w:pPr>
        <w:pStyle w:val="18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4BCA3732">
      <w:pPr>
        <w:pStyle w:val="18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14:paraId="112AC004">
      <w:pPr>
        <w:pStyle w:val="18"/>
        <w:spacing w:after="0"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14:paraId="61FB0CA4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6AD13A2C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56BEA21B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492765B4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67ABD07C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749AC0F3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77C3E430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19B7547B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0A6C9F04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5D775104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3504F6E0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45FE9C7F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6DEE8E5E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080AD96D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68C30735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1A438520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7961934D">
      <w:pPr>
        <w:pStyle w:val="18"/>
        <w:spacing w:after="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 w14:paraId="06C3ACC2">
      <w:pPr>
        <w:spacing w:after="240" w:line="240" w:lineRule="auto"/>
        <w:ind w:left="709"/>
        <w:jc w:val="both"/>
        <w:rPr>
          <w:rFonts w:ascii="Arial" w:hAnsi="Arial" w:cs="Arial"/>
          <w:sz w:val="28"/>
          <w:szCs w:val="28"/>
          <w:highlight w:val="none"/>
        </w:rPr>
      </w:pPr>
      <w:r>
        <w:rPr>
          <w:rFonts w:ascii="Arial" w:hAnsi="Arial" w:cs="Arial"/>
          <w:iCs/>
          <w:sz w:val="28"/>
          <w:szCs w:val="28"/>
          <w:highlight w:val="none"/>
        </w:rPr>
        <w:t xml:space="preserve">1 </w:t>
      </w:r>
      <w:r>
        <w:rPr>
          <w:rFonts w:ascii="Arial" w:hAnsi="Arial" w:eastAsia="SimSun" w:cs="Arial"/>
          <w:iCs/>
          <w:sz w:val="28"/>
          <w:szCs w:val="28"/>
          <w:highlight w:val="none"/>
          <w:lang w:val="ru-RU" w:eastAsia="ru-RU"/>
        </w:rPr>
        <w:t>Нормативно правовые документы, регулирующие образовательную деятельность</w:t>
      </w:r>
    </w:p>
    <w:p w14:paraId="73A7C1E0">
      <w:pPr>
        <w:spacing w:after="240" w:line="240" w:lineRule="auto"/>
        <w:ind w:firstLine="709"/>
        <w:jc w:val="both"/>
        <w:rPr>
          <w:rFonts w:ascii="Arial" w:hAnsi="Arial" w:cs="Arial"/>
          <w:sz w:val="26"/>
          <w:szCs w:val="26"/>
          <w:highlight w:val="none"/>
        </w:rPr>
      </w:pPr>
      <w:r>
        <w:rPr>
          <w:rFonts w:ascii="Arial" w:hAnsi="Arial" w:cs="Arial"/>
          <w:sz w:val="26"/>
          <w:szCs w:val="26"/>
          <w:highlight w:val="none"/>
        </w:rPr>
        <w:t xml:space="preserve">   1.1 </w:t>
      </w:r>
      <w:r>
        <w:rPr>
          <w:rFonts w:hint="default" w:ascii="Arial" w:hAnsi="Arial" w:cs="Arial"/>
          <w:sz w:val="26"/>
          <w:szCs w:val="26"/>
          <w:lang w:val="ru-RU" w:eastAsia="ru-RU"/>
        </w:rPr>
        <w:t>Конституция РФ</w:t>
      </w:r>
      <w:r>
        <w:rPr>
          <w:rFonts w:ascii="Arial" w:hAnsi="Arial" w:cs="Arial"/>
          <w:sz w:val="26"/>
          <w:szCs w:val="26"/>
          <w:highlight w:val="none"/>
        </w:rPr>
        <w:t xml:space="preserve"> </w:t>
      </w:r>
    </w:p>
    <w:p w14:paraId="570066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Конституция Российской Федерации занимает центральное место в системе нормативно-правового регулирования образовательной деятельности, выступая фундаментом, на котором строятся все последующие законодательные акты в сфере образования. В частности, статья 43 Конституции закрепляет право каждого гражданина на образование как одно из основных и неотъемлемых прав человека. Это положение отражает не только социальную значимость образования, но и его роль в развитии личности, общества и государства в целом. Право на образование в Конституции РФ трактуется не только как возможность получения знаний, но и как гарантия доступности образовательных услуг для всех граждан без дискриминации по каким-либо признакам.</w:t>
      </w:r>
    </w:p>
    <w:p w14:paraId="6066AF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Исторически закрепление права на образование в основном законе страны стало важным этапом в развитии российского общества, особенно учитывая переход от советской системы к современной правовой модели. В советское время образование рассматривалось как государственная обязанность, направленная на формирование социалистического человека. В новой Конституции акцент смещается в сторону прав и свобод личности, что отражает демократические принципы и международные стандарты в области прав человека. Это изменение подчеркивает важность индивидуального выбора и свободы в сфере образования, что подтверждается и международными документами, такими как Всеобщая декларация прав человека и Конвенция о правах ребенка[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5429D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Конституция РФ не только провозглашает право на образование, но и устанавливает обязательность общего образования, что служит основой для формирования единой образовательной системы страны. Обязательное общее образование направлено на обеспечение минимального уровня знаний и навыков, необходимых для полноценного участия в общественной жизни и дальнейшего профессионального развития. Это положение обеспечивает государственный контроль за качеством и доступностью образовательных услуг, что особенно важно в условиях многообразия региональных и социальных особенностей России. В рамках реализации этого права образовательные учреждения должны обеспечивать условия для получения общего образования, соответствующего федеральным государственным образовательным стандартам (ФГОС)[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27978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Свобода выбора образовательных программ, закрепленная в Конституции, является одним из ключевых принципов, обеспечивающих многообразие и гибкость образовательной системы. Это право предоставляет гражданам возможность выбирать формы, уровни и направления образования в соответствии с их интересами, способностями и жизненными целями. В практике это проявляется в наличии различных типов образовательных учреждений, программ дополнительного образования, а также возможности обучения в очной, заочной и дистанционной формах. Свобода выбора становится особенно актуальной в условиях развития цифровых технологий и появления новых форм образовательной деятельности, что требует от педагогов и администрации школ постоянного обновления подходов и методов обучения.</w:t>
      </w:r>
    </w:p>
    <w:p w14:paraId="6BE79B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Особое внимание в Конституции уделено роли государства в обеспечении права на образование. Государство обязано создавать условия для реализации этого права, что включает финансирование образовательных учреждений, разработку нормативных актов, контроль качества образования и защиту прав обучающихся и педагогов. Такая государственная политика направлена на создание равных возможностей для всех граждан, независимо от их социального положения, места жительства или иных факторов. В этом контексте значимы положения о поддержке детей с особыми образовательными потребностями, обеспечении инклюзивного образования и развитии системы дополнительного образования, что способствует социальной справедливости и интеграции в общество[1].</w:t>
      </w:r>
    </w:p>
    <w:p w14:paraId="65FEC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аспектом, вытекающим из статьи 43 Конституции, является обеспечение не только права на образование, но и свободы научного творчества и преподавания. Это положение подчеркивает необходимость создания условий для инновационного развития образования, внедрения новых педагогических технологий и методов обучения. Свобода научного творчества способствует развитию критического мышления, творческих способностей и исследовательской активности у обучающихся, что является одной из главных задач современной школы. В образовательной практике это проявляется в поддержке проектной деятельности, научных кружков и внеурочных мероприятий, направленных на развитие личности и профессиональных компетенций.</w:t>
      </w:r>
    </w:p>
    <w:p w14:paraId="0EDB57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Рассматривая Конституцию РФ как нормативно-правовую основу, необходимо отметить её влияние на формирование образовательной политики на региональном и муниципальном уровнях. Конституционные нормы служат ориентиром для разработки локальных актов и программ, которые учитывают специфику конкретных территорий и образовательных учреждений. Например, в школе №35 г. Владивостока, где проходила практика, нормативы Конституции реализуются через соответствие образовательных программ федеральным стандартам и обеспечение права детей на качественное и безопасное обучение. Такая практика демонстрирует, как конституционные принципы воплощаются в реальных условиях образовательной среды, создавая основу для успешной педагогической деятельности.</w:t>
      </w:r>
    </w:p>
    <w:p w14:paraId="3B5603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Сопоставляя российские конституционные нормы с международными стандартами, можно выделить общие тенденции и особенности. Право на образование признано во многих международных документах, однако Конституция РФ придает этому праву особое значение, связывая его с национальной идентичностью, культурным наследием и социальным развитием. В то же время, российская Конституция подчеркивает важность государственного суверенитета в регулировании образовательной сферы, что отражает стремление к сохранению национальных традиций и адаптации образования к внутренним потребностям общества. Такой баланс между международными обязательствами и национальными интересами является характерной чертой российского законодательства в области образования.</w:t>
      </w:r>
    </w:p>
    <w:p w14:paraId="1CA97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360" w:lineRule="auto"/>
        <w:ind w:firstLine="709"/>
        <w:jc w:val="both"/>
        <w:textAlignment w:val="auto"/>
        <w:rPr>
          <w:rFonts w:ascii="Arial" w:hAnsi="Arial" w:cs="Arial"/>
          <w:sz w:val="26"/>
          <w:szCs w:val="26"/>
          <w:highlight w:val="none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 заключение следует отметить, что статья 43 Конституции РФ не только закрепляет право на образование как фундаментальное право человека, но и задает рамки для всей системы образовательных отношений в стране. Она определяет основные принципы, которые должны соблюдаться всеми участниками образовательного процесса, включая государство, педагогов, обучающихся и их родителей. Понимание и применение этих конституционных норм является ключевым аспектом в организации внеурочной деятельности в пришкольном лагере, так как именно они обеспечивают правовую основу для создания условий, способствующих всестороннему развитию детей и реализации их образовательных прав. Таким образом, Конституция РФ выступает не просто источником права, но и стратегическим ориентиром для педагогов и образовательных учреждений в их повседневной деятельности[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5A92C8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firstLine="706"/>
        <w:jc w:val="both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highlight w:val="none"/>
        </w:rPr>
        <w:t xml:space="preserve">1.2 </w:t>
      </w:r>
      <w:r>
        <w:rPr>
          <w:rFonts w:hint="default" w:ascii="Arial" w:hAnsi="Arial" w:eastAsia="SimSun" w:cs="Arial"/>
          <w:sz w:val="26"/>
          <w:szCs w:val="26"/>
          <w:lang w:val="ru-RU" w:eastAsia="ru-RU"/>
        </w:rPr>
        <w:t>Федеральный закон "Об образовании в Российской Федерации</w:t>
      </w:r>
    </w:p>
    <w:p w14:paraId="7C106C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Федеральный закон № 273-ФЗ «Об образовании в Российской Федерации», принятый 29 декабря 2012 года, является одним из ключевых нормативно-правовых актов, регулирующих систему образования в стране. Этот закон устанавливает правовые основы функционирования образовательной системы, определяет права и обязанности всех участников образовательного процесса, а также формирует рамки для обеспечения качества и доступности образования. Его принятие стало важным этапом в развитии российского образования, поскольку закон объединил разрозненные нормы и стандарты, обеспечив комплексный подход к регулированию сферы.</w:t>
      </w:r>
    </w:p>
    <w:p w14:paraId="403A09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Одним из центральных положений закона является закрепление права каждого гражданина на образование, что соответствует конституционным гарантиям, изложенным в статье 43 Конституции РФ. Закон расширяет это право, детализируя формы и уровни образования, включая дошкольное, общее, дополнительное, профессиональное и высшее образование. Это позволяет гражданам свободно выбирать образовательные программы и формы обучения, что способствует развитию индивидуальных способностей и профессиональной мобильности. Важным аспектом является также обеспечение равного доступа к образованию для всех категорий граждан, включая лиц с ограниченными возможностями здоровья, что отражает принципы инклюзивного образования и социальной справедливости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028519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Закон подробно регламентирует права и обязанности педагогических работников, подчеркивая их ключевую роль в образовательном процессе. Учителя, воспитатели и преподаватели наделяются правом самостоятельно выбирать методы и формы обучения в рамках утвержденных образовательных программ, что стимулирует творческий подход и инновации в педагогике. Вместе с тем, закон накладывает на педагогов ответственность за соблюдение этических норм, профессиональных стандартов и законодательства, что обеспечивает высокий уровень качества образования и защиту интересов обучающихся. Особое внимание уделяется профессиональному развитию учителей, включая возможность повышения квалификации, что способствует постоянному обновлению педагогических компетенций и адаптации к современным требованиям образования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7FF695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Значительным нововведением, введенным законом, стало понятие образовательной программы как основного инструмента организации учебного процесса. Закон устанавливает, что образовательные программы должны соответствовать федеральным государственным образовательным стандартам (ФГОС), которые определяют обязательные требования к результатам, структуре и условиям реализации образования. Это обеспечивает единство образовательного пространства на всей территории России и гарантирует достижение определенного уровня подготовки выпускников. При этом закон предусматривает возможность адаптации программ с учетом региональных особенностей и потребностей обучающихся, что способствует развитию региональных образовательных систем и учет культурного многообразия страны.</w:t>
      </w:r>
    </w:p>
    <w:p w14:paraId="4D5BDB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Особое место в законе занимает регулирование системы оценки качества образования и итоговой аттестации обучающихся. Закон вводит единые стандарты и процедуры контроля знаний, что способствует объективности и прозрачности оценки образовательных результатов. Это важно для формирования доверия к системе образования и обеспечения равных возможностей для всех учащихся. Кроме того, закон предусматривает создание механизмов мониторинга и анализа качества образования на различных уровнях, что позволяет выявлять проблемные зоны и разрабатывать меры по их устранению.</w:t>
      </w:r>
    </w:p>
    <w:p w14:paraId="2E3BF5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аспектом закона является регулирование взаимодействия образовательных учреждений с родителями и законными представителями обучающихся. Закон закрепляет право родителей участвовать в управлении образовательным процессом, выражать свое мнение и получать полную информацию о ходе обучения и воспитания детей. Такая открытость и партнерство между педагогами и семьями способствуют созданию благоприятной образовательной среды и повышению эффективности воспитательной работы. Кроме того, закон стимулирует вовлечение общественных организаций и местного сообщества в образовательную деятельность, что расширяет возможности для дополнительного развития детей и укрепляет социальные связи.</w:t>
      </w:r>
    </w:p>
    <w:p w14:paraId="2A302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Закон также отражает современные тенденции в развитии образования, включая внедрение информационных технологий и дистанционных форм обучения. Он предусматривает использование электронных образовательных ресурсов, сетевых форматов и современных технических средств, что расширяет доступ к качественному образованию и способствует формированию цифровой компетентности обучающихся. В условиях глобализации и быстро меняющихся требований рынка труда такие изменения являются необходимыми для подготовки конкурентоспособных специалистов и успешной социализации молодежи.</w:t>
      </w:r>
    </w:p>
    <w:p w14:paraId="647C5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С точки зрения организации внеурочной деятельности, закон подчеркивает её важность как средства развития творческого потенциала, социальной активности и здорового образа жизни учащихся. Внеурочная деятельность рассматривается как неотъемлемая часть образовательного процесса, направленная на формирование универсальных учебных действий и ключевых компетенций. Закон устанавливает требования к организации таких мероприятий, обеспечивая их соответствие образовательным стандартам и безопасности детей. Это создает условия для реализации программ, подобных «Город будущего», направленных на экологическое воспитание, развитие проектных навыков и формирование гражданской ответственности.</w:t>
      </w:r>
    </w:p>
    <w:p w14:paraId="576623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Немаловажным является и регулирование правового статуса образовательных организаций, в том числе пришкольных лагерей и детских оздоровительных учреждений. Закон определяет порядок их создания, функционирования и финансирования, а также устанавливает требования к кадровому составу и материально-технической базе. Это обеспечивает системность и устойчивость работы таких учреждений, способствует реализации образовательных и воспитательных задач в условиях летнего отдыха детей. В результате педагогическая практика в таких лагерях становится важным этапом профессионального становления будущих педагогов, позволяя им применять нормативные знания на практике и развивать профессиональные компетенции.</w:t>
      </w:r>
    </w:p>
    <w:p w14:paraId="3D052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 целом, Федеральный закон «Об образовании в Российской Федерации» создает правовую основу для развития современной и эффективной системы образования, ориентированной на потребности личности, общества и государства. Его положения способствуют формированию единой образовательной среды, обеспечивают права и защиту участников образовательного процесса, стимулируют инновации и повышение качества образования. В контексте производственной педагогической практики в пришкольном лагере данный закон служит ориентиром для организации внеурочной деятельности, разработки программ и проведения мероприятий, что позволяет реализовать цели и задачи практики в соответствии с законодательными требованиями и профессиональными стандартами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16F66A7D">
      <w:pPr>
        <w:spacing w:before="240" w:after="12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highlight w:val="none"/>
        </w:rPr>
        <w:t xml:space="preserve">1.3 </w:t>
      </w:r>
      <w:r>
        <w:rPr>
          <w:rFonts w:hint="default" w:ascii="Arial" w:hAnsi="Arial" w:eastAsia="SimSun" w:cs="Arial"/>
          <w:sz w:val="26"/>
          <w:szCs w:val="26"/>
          <w:highlight w:val="none"/>
          <w:lang w:val="ru-RU" w:eastAsia="ru-RU"/>
        </w:rPr>
        <w:t>Федеральные государственные образовательные стандарты</w:t>
      </w:r>
      <w:r>
        <w:rPr>
          <w:rFonts w:ascii="Arial" w:hAnsi="Arial" w:cs="Arial"/>
          <w:sz w:val="26"/>
          <w:szCs w:val="26"/>
        </w:rPr>
        <w:t xml:space="preserve"> </w:t>
      </w:r>
    </w:p>
    <w:p w14:paraId="16AB62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Федеральные государственные образовательные стандарты (ФГОС) являются краеугольным камнем современной системы образования в Российской Федерации, формируя не только содержание, но и организационные основы образовательного процесса на всех уровнях. Впервые введённые в начале 2000-х годов и постоянно совершенствуемые, они отражают стратегию государства по обеспечению единого образовательного пространства, направленного на развитие личности обучающегося, его ключевых компетенций и универсальных учебных действий. В основе ФГОС лежит идея перехода от традиционной модели передачи знаний к компетентностно-ориентированному подходу, что соответствует мировым тенденциям в педагогике и требованиям современного общества.</w:t>
      </w:r>
    </w:p>
    <w:p w14:paraId="074AB6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Одним из центральных элементов ФГОС является формирование универсальных учебных действий (УУД), которые включают личностные, регулятивные, познавательные и коммуникативные умения. Такой подход позволяет не только передавать знания, но и развивать у обучающихся навыки самостоятельного мышления, критического анализа информации, умения работать в коллективе и принимать ответственные решения. Например, в исследовании российской педагогики последних лет подчёркивается, что именно развитие УУД способствует успешной социализации и адаптации выпускников к быстро меняющемуся миру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 Это особенно актуально в контексте цифровой трансформации общества и глобализации, когда способность к непрерывному обучению становится ключевым ресурсом личности.</w:t>
      </w:r>
    </w:p>
    <w:p w14:paraId="197D6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ФГОС регламентируют не только результаты образования, но и структуру образовательных программ, требования к условиям реализации и оценке качества обучения. В частности, стандарты предусматривают обязательное включение в учебные планы межпредметных связей и интеграции знаний, что способствует формированию целостного мировоззрения у школьников. Такой подход поддерживается и зарубежными исследователями, например, американским педагогом Л. Брунером, который утверждал, что обучение должно строиться на принципах активного познания и взаимосвязи различных областей знаний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 В российской практике это выражается в создании комплексных проектов и внеурочных мероприятий, которые позволяют применять теоретические знания на практике и развивать творческий потенциал детей.</w:t>
      </w:r>
    </w:p>
    <w:p w14:paraId="271A8A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Особое внимание в ФГОС уделяется личностному развитию обучающихся, что отражается в требованиях к воспитательному компоненту образования. Стандарты призваны формировать у детей ценностные ориентиры, гражданскую позицию и мотивацию к здоровому образу жизни. В этом контексте важна роль педагога как наставника и организатора, который не только передаёт знания, но и способствует развитию эмоционального интеллекта и социальной ответственности. Российские исследователи, такие как В. Сластёнкин и Н. Кузьмина, отмечают, что именно через воспитательную функцию образования возможно формирование гармонично развитой личности, способной к активному участию в жизни общества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7A2AF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Внедрение ФГОС сопровождается значительными изменениями в методах и технологиях обучения. Современные стандарты требуют использования интерактивных форм работы, проектной деятельности, игровых технологий и информационно-коммуникационных средств. Это направлено на повышение мотивации и вовлечённости учащихся, развитие их самостоятельности и критического мышления. Например, в практике пришкольных лагерей, таких как школа №35 г. Владивостока, реализация программ по ФГОС позволяет организовать внеурочную деятельность, которая соответствует требованиям безопасности, разнообразия и учёта индивидуальных особенностей детей, одновременно развивая их творческие и коммуникативные навыки.</w:t>
      </w:r>
    </w:p>
    <w:p w14:paraId="7F9B3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Кроме того, ФГОС регулируют требования к условиям реализации образовательной программы, включая кадровое обеспечение, материально-техническую базу и организационные аспекты. Это обеспечивает комплексный подход к созданию эффективной образовательной среды. В частности, стандарты предусматривают необходимость повышения квалификации педагогов, что способствует постоянному обновлению профессиональных компетенций и внедрению инновационных практик. Такой системный подход позволяет не только повысить качество образования, но и обеспечить его доступность и равенство для всех категорий обучающихся.</w:t>
      </w:r>
    </w:p>
    <w:p w14:paraId="5D169F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аспектом является и система оценки достижения планируемых результатов, которая в рамках ФГОС становится более комплексной и ориентированной на личностное развитие. Оценка включает не только традиционные знания и умения, но и уровень сформированности универсальных учебных действий, творческих и исследовательских способностей. Это требует от педагогов новых компетенций в организации диагностической и коррекционной работы, а также активного использования обратной связи с обучающимися и их родителями. Такой подход способствует формированию у детей мотивации к саморазвитию и самоконтролю.</w:t>
      </w:r>
    </w:p>
    <w:p w14:paraId="6A8BC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ФГОС также отражают современные требования к инклюзивному образованию, обеспечивая возможность обучения детей с различными образовательными потребностями в общей школе. Это важный шаг к социальной интеграции и равным возможностям, который требует от образовательных учреждений адаптации программ и создания специальных условий. В научной литературе подчёркивается, что инклюзивное образование способствует развитию толерантности и социальной ответственности у всех участников образовательного процесса, что соответствует гуманистической парадигме современного образования.</w:t>
      </w:r>
    </w:p>
    <w:p w14:paraId="6740AA0B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Таким образом, федеральные государственные образовательные стандарты представляют собой комплексный нормативный документ, который регулирует содержание, организацию и оценку образовательной деятельности в России. Они отражают современные педагогические концепции, ориентированы на развитие личности обучающегося и его готовности к жизни в условиях информационного общества. Внедрение ФГОС требует системной работы педагогов, администрации и всех участников образовательного процесса, а также постоянного анализа и корректировки программ для достижения максимальной эффективности. Практика показывает, что соответствие образовательной деятельности ФГОС способствует формированию у детей не только знаний, но и ключевых компетенций, необходимых для успешной социализации и профессиональной реализации в будущем [7].</w:t>
      </w:r>
    </w:p>
    <w:p w14:paraId="67BAA18B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3BE9CA34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635358C0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25A0ACB7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4EFA341D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0E4014D9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53973121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2DF370C8">
      <w:pPr>
        <w:spacing w:before="240" w:after="0" w:line="240" w:lineRule="auto"/>
        <w:ind w:firstLine="709"/>
        <w:jc w:val="both"/>
        <w:rPr>
          <w:rFonts w:ascii="Arial" w:hAnsi="Arial" w:cs="Arial"/>
          <w:sz w:val="26"/>
          <w:szCs w:val="26"/>
          <w:highlight w:val="cyan"/>
        </w:rPr>
      </w:pPr>
    </w:p>
    <w:p w14:paraId="739C0F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1EB34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34CD3D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8F9C3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64DF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3DCBF3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2065B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D7622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C9C25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4343E4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20" w:afterAutospacing="0" w:line="360" w:lineRule="auto"/>
        <w:textAlignment w:val="auto"/>
        <w:rPr>
          <w:rFonts w:hint="default" w:ascii="Times New Roman" w:hAnsi="Times New Roman" w:eastAsia="var(--depot-font-size-text-m-pa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6F67B12">
      <w:pPr>
        <w:spacing w:after="240" w:line="24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 </w:t>
      </w:r>
      <w:r>
        <w:rPr>
          <w:rFonts w:hint="default" w:ascii="Arial" w:hAnsi="Arial" w:eastAsia="SimSun" w:cs="Arial"/>
          <w:sz w:val="28"/>
          <w:szCs w:val="28"/>
          <w:lang w:val="ru-RU" w:eastAsia="ru-RU"/>
        </w:rPr>
        <w:t>Внеурочная деятельность в школе (в пришкольном лагере)</w:t>
      </w:r>
    </w:p>
    <w:p w14:paraId="56D5315A">
      <w:pPr>
        <w:spacing w:after="12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2.1 </w:t>
      </w:r>
      <w:r>
        <w:rPr>
          <w:rFonts w:hint="default" w:ascii="Arial" w:hAnsi="Arial" w:eastAsia="SimSun" w:cs="Arial"/>
          <w:sz w:val="26"/>
          <w:szCs w:val="26"/>
          <w:highlight w:val="none"/>
          <w:lang w:val="ru-RU" w:eastAsia="ru-RU"/>
        </w:rPr>
        <w:t>Требования к организации внеурочной деятельности</w:t>
      </w:r>
    </w:p>
    <w:p w14:paraId="119218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Организация внеурочной деятельности в образовательных учреждениях представляет собой сложный и многогранный процесс, требующий учета множества факторов, направленных на всестороннее развитие личности ребенка. Внеурочная деятельность выступает не просто как дополнительная форма обучения, а как важный компонент образовательного пространства, способствующий развитию творческого потенциала, социальной активности и формирования ключевых компетенций. В этом контексте требования к организации таких мероприятий должны быть четко сформулированы и строго соблюдаться, чтобы обеспечить максимальную пользу для участников и соответствовать нормативно-правовым стандартам.</w:t>
      </w:r>
    </w:p>
    <w:p w14:paraId="4E4D78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Прежде всего, внеурочная деятельность должна соответствовать федеральным государственным образовательным стандартам (ФГОС), которые задают рамки и ориентиры для формирования универсальных учебных действий и ключевых компетенций у школьников. Согласно ФГОС, внеурочная деятельность призвана создавать условия для развития личностных, регулятивных, познавательных и коммуникативных навыков, что требует от организаторов продуманного подхода к планированию и реализации программ. Важно, чтобы содержание и формы внеурочной работы были не только интересными и разнообразными, но и педагогически обоснованными, способствовали развитию критического мышления и самостоятельности детей[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7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79A3C5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Безопасность и комфорт детей — еще один фундаментальный аспект, который не может быть проигнорирован при организации внеурочной деятельности. Это касается как физической безопасности в процессе проведения мероприятий, так и психологического комфорта, который создается через поддерживающую и доброжелательную атмосферу. Психологические исследования, например работы Л. С. Выготского, подчеркивают значимость социального окружения и эмоционального климата для эффективного усвоения знаний и развития личности. Внеурочные занятия должны проходить в условиях, исключающих стресс и конфликты, способствуя формированию доверительных отношений между педагогами и детьми. Особое внимание уделяется организации пространства, оснащению необходимым оборудованием и обеспечению медицинского контроля, что особенно актуально в пришкольных лагерях, где дети проводят значительную часть дня вне привычной учебной среды[24].</w:t>
      </w:r>
    </w:p>
    <w:p w14:paraId="56EA9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Разнообразие форм и видов деятельности является важным условием успешной внеурочной работы. Современные педагогические подходы, основанные на деятельностном и личностно-ориентированном обучении, требуют от организаторов разработки многообразных программ, которые отвечали бы интересам различных групп учащихся. Это позволяет не только поддерживать мотивацию детей, но и развивать широкий спектр умений — от творческих и спортивных до исследовательских и социальных. В частности, практика показывает, что интеграция проектной деятельности и игровых технологий значительно повышает вовлеченность детей и качество усвоения материала. Например, в пришкольном лагере школы №35 г. Владивостока успешно используются квесты и мастер-классы, направленные на экологическое воспитание и развитие навыков коллективного взаимодействия, что подтверждает эффективность такого подхода[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253A26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Учет возрастных и индивидуальных особенностей обучающихся — обязательное требование, которое обеспечивает адаптацию внеурочных программ к потребностям каждой возрастной категории и конкретных детей. Педагогическая наука давно доказала, что развитие детей происходит неравномерно и требует дифференцированного подхода. Например, младшие школьники нуждаются в более игровой и наглядной форме занятий, тогда как старшеклассники способны к более глубокому осмыслению и самостоятельной работе. Кроме того, важно учитывать особенности темперамента, интересов и уровня подготовки каждого ребенка, что способствует созданию условий для успешной самореализации и социализации. Психолого-педагогические исследования, в том числе труды К. Д. Ушинского, подчеркивают необходимость индивидуализации обучения как ключевого фактора эффективности образовательного процесса.</w:t>
      </w:r>
    </w:p>
    <w:p w14:paraId="7E8E5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Организационные аспекты внеурочной деятельности также включают взаимодействие педагогов, родителей и общественности. Современные исследования в области педагогики отмечают, что вовлечение семьи и местного сообщества значительно расширяет возможности внеурочной работы, повышая ее социальную значимость и устойчивость. Родители могут выступать не только как поддержка, но и как активные участники мероприятий, что способствует формированию партнерских отношений и совместной ответственности за воспитание детей. В этом контексте внеурочная деятельность становится площадкой для развития социальных связей и формирования гражданской позиции школьников, что особенно важно в условиях комплексного воспитания личности.</w:t>
      </w:r>
    </w:p>
    <w:p w14:paraId="25386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Кроме того, важным требованием является системность и планомерность внеурочной деятельности. Она должна быть интегрирована в общий образовательный процесс, иметь четко определенные цели, задачи и критерии оценки результатов. Такой подход позволяет не только контролировать качество проведения мероприятий, но и своевременно вносить коррективы, ориентируясь на обратную связь от участников и педагогов. Принцип системности подтверждается исследованиями в области управления образованием, которые показывают, что устойчивое развитие внеурочных программ возможно лишь при наличии четкой структуры и согласованности действий всех участников образовательного процесса.</w:t>
      </w:r>
    </w:p>
    <w:p w14:paraId="258C0E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Не менее значимым является применение современных педагогических технологий и методик, которые способствуют повышению эффективности внеурочной деятельности. Использование игровых технологий, интерактивных форм обучения, проектной деятельности и информационно-коммуникационных средств позволяет сделать занятия более динамичными и привлекательными для детей. Это не только стимулирует интерес к учебе, но и формирует навыки работы в команде, критического мышления и самостоятельного поиска информации. Важно, чтобы педагоги обладали необходимой компетентностью и готовы были к постоянному профессиональному развитию, что также является одним из требований к организации внеурочной деятельности.</w:t>
      </w:r>
    </w:p>
    <w:p w14:paraId="13C3BC82">
      <w:pPr>
        <w:pStyle w:val="18"/>
        <w:numPr>
          <w:ilvl w:val="0"/>
          <w:numId w:val="0"/>
        </w:numPr>
        <w:spacing w:before="240" w:after="0" w:line="360" w:lineRule="auto"/>
        <w:ind w:left="709"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Arial" w:hAnsi="Arial" w:cs="Arial"/>
          <w:sz w:val="26"/>
          <w:szCs w:val="26"/>
          <w:lang w:val="ru-RU"/>
        </w:rPr>
        <w:t xml:space="preserve">2.2  </w:t>
      </w:r>
      <w:r>
        <w:rPr>
          <w:rFonts w:hint="default" w:ascii="Arial" w:hAnsi="Arial" w:eastAsia="SimSun" w:cs="Arial"/>
          <w:sz w:val="26"/>
          <w:szCs w:val="26"/>
          <w:lang w:val="ru-RU" w:eastAsia="ru-RU" w:bidi="ar-SA"/>
        </w:rPr>
        <w:t>Виды внеурочной деятельности</w:t>
      </w:r>
      <w:r>
        <w:rPr>
          <w:rFonts w:ascii="Arial" w:hAnsi="Arial" w:cs="Arial"/>
          <w:sz w:val="26"/>
          <w:szCs w:val="26"/>
        </w:rPr>
        <w:t xml:space="preserve"> </w:t>
      </w:r>
    </w:p>
    <w:p w14:paraId="32FAA4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Внеурочная деятельность представляет собой важный компонент образовательного процесса, направленный на всестороннее развитие личности школьника за пределами традиционных учебных занятий. В научной и педагогической литературе подчеркивается, что именно внеурочная деятельность способствует формированию ключевых компетенций, развитию творческого потенциала, социальной активности и эмоционального интеллекта учащихся. По мнению ряда исследователей, таких как Л. С. Выготский и В. В. Давыдов, обучение вне уроков расширяет возможности для социализации и самореализации детей, создавая условия для формирования устойчивых жизненных навыков[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9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 В этом контексте виды внеурочной деятельности разнообразны и охватывают широкий спектр направлений, что позволяет учитывать интересы и особенности каждого ребёнка.</w:t>
      </w:r>
    </w:p>
    <w:p w14:paraId="418BB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Одним из наиболее распространённых видов внеурочной деятельности являются кружки и секции, которые могут быть спортивными, творческими или научными. Спортивные секции способствуют укреплению здоровья и развитию физических качеств, что особенно важно в условиях современной урбанизированной среды, где дети часто испытывают дефицит двигательной активности. Творческие кружки, такие как изобразительное искусство, музыка или театр, развивают эстетическое восприятие, воображение и эмоциональную сферу. Научные кружки, в свою очередь, стимулируют познавательный интерес, формируют исследовательские умения и навыки критического мышления. Например, в исследовании Н. В. Кузнецовой отмечается, что участие в научных кружках повышает мотивацию к учебе и способствует развитию самостоятельности у школьников[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 Таким образом, кружковая деятельность является эффективным инструментом формирования разносторонних компетенций.</w:t>
      </w:r>
    </w:p>
    <w:p w14:paraId="47390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Проектная и исследовательская деятельность занимает особое место во внеурочной работе, поскольку она ориентирована на практическое применение знаний и развитие навыков работы с информацией. В отличие от традиционных занятий, проектная деятельность требует от учащихся самостоятельного планирования, коллективной работы и презентации результатов, что способствует развитию коммуникативных и организационных умений. Современные образовательные стандарты, в том числе ФГОС, акцентируют внимание на формировании универсальных учебных действий через проектную деятельность, что подтверждается исследованиями В. В. Давыдова и Е. В. Шадриковой. В пришкольных лагерях проектная деятельность может включать создание макетов, экологические исследования или социальные инициативы, что позволяет детям не только расширять знания, но и ощущать свою значимость в обществе.</w:t>
      </w:r>
    </w:p>
    <w:p w14:paraId="5D9C1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Социально-значимые и волонтерские проекты становятся всё более востребованными в рамках внеурочной деятельности, поскольку они формируют у школьников чувство ответственности, эмпатию и гражданскую позицию. Волонтерство в образовательной среде способствует развитию навыков сотрудничества и социальной адаптации, что особенно актуально в условиях современной динамичной общественной жизни. Примером может служить организация благотворительных акций, помощь пожилым людям или участие в экологических субботниках. Такие мероприятия позволяют детям увидеть результаты своей деятельности и почувствовать сопричастность к решению общественных проблем, что, по мнению педагогов, значительно укрепляет мотивацию к учебе и личностное развитие.</w:t>
      </w:r>
    </w:p>
    <w:p w14:paraId="7E2F2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Культурно-массовые мероприятия и праздники также занимают значительное место во внеурочной деятельности, поскольку они создают атмосферу радости, коллективного творчества и укрепляют традиционные ценности. Участие в концертах, фестивалях, тематических вечерах способствует развитию коммуникативных навыков, артистизма и чувства принадлежности к школьному сообществу. Важность таких мероприятий отмечают многие исследователи, например, Е. А. Капустина, которая указывает на их роль в формировании эмоционального благополучия и социальной сплоченности учащихся. Кроме того, культурно-массовые мероприятия часто становятся платформой для реализации творческих идей и инициатив детей, что повышает их самооценку и уверенность в себе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9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11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14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19B3CC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Экскурсии и походы представляют собой формы внеурочной деятельности, направленные на расширение кругозора и практическое знакомство с окружающим миром. Они способствуют развитию познавательной активности, навыков самостоятельности и коллективного взаимодействия. В отличие от классических занятий, экскурсии позволяют детям непосредственно наблюдать и исследовать природные и культурные объекты, что усиливает эмоциональное восприятие и закрепляет полученные знания. Походы, в свою очередь, развивают физическую выносливость, умение работать в команде и ответственность за безопасность. Педагоги отмечают, что такие формы деятельности особенно эффективны для формирования экологического сознания и патриотизма, что подтверждается опытом пришкольного лагеря школы №35 г. Владивостока, где экскурсии и походы входят в программу воспитательной работы.</w:t>
      </w:r>
    </w:p>
    <w:p w14:paraId="05334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Важно отметить, что виды внеурочной деятельности не существуют изолированно, а часто взаимосвязаны и дополняют друг друга. Например, проектная деятельность может включать подготовку и проведение культурно-массовых мероприятий или экологических акций, что расширяет возможности для комплексного развития учащихся. Такой интегративный подход обеспечивает более глубокое усвоение знаний и формирование устойчивых навыков. В современных условиях образовательная практика всё чаще ориентируется на создание многоуровневых программ внеурочной деятельности, которые учитывают индивидуальные интересы, возрастные особенности и социальный контекст детей.</w:t>
      </w:r>
    </w:p>
    <w:p w14:paraId="1F7897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При реализации внеурочной деятельности в пришкольных лагерях особое внимание уделяется безопасности и комфортным условиям для детей, а также адаптации программ под возрастные и индивидуальные потребности участников. Важно, чтобы виды деятельности были разнообразными и включали элементы игры, творчества и сотрудничества, что способствует поддержанию высокой мотивации и вовлечённости детей. Опыт школы №35 г. Владивостока показывает, что успешная организация внеурочной деятельности требует тесного взаимодействия педагогов, воспитателей и родителей, а также постоянного анализа и корректировки программ с учётом обратной связи от участников.</w:t>
      </w:r>
    </w:p>
    <w:p w14:paraId="5231B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ascii="SimSun" w:hAnsi="SimSun" w:eastAsia="SimSun" w:cs="SimSu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Таким образом, виды внеурочной деятельности представляют собой многогранную систему, которая играет ключевую роль в формировании личности школьника. Они способствуют развитию физических, интеллектуальных, творческих и социальных компетенций, обеспечивая гармоничное развитие ребёнка. Внеурочная деятельность становится неотъемлемой частью образовательного процесса, расширяя возможности школы по воспитанию активных, ответственных и творческих граждан. Современные педагогические подходы и нормативно-правовые документы подчеркивают необходимость системного и разнообразного использования различных видов внеурочной деятельности, что подтверждается практическим опытом и исследованиями в области образования[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13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17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8].</w:t>
      </w:r>
    </w:p>
    <w:p w14:paraId="6DC28A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firstLine="706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eastAsia="Times New Roman" w:cs="Arial"/>
          <w:bCs/>
          <w:sz w:val="26"/>
          <w:szCs w:val="26"/>
        </w:rPr>
        <w:t>2.</w:t>
      </w:r>
      <w:r>
        <w:rPr>
          <w:rFonts w:hint="default" w:ascii="Arial" w:hAnsi="Arial" w:eastAsia="Times New Roman" w:cs="Arial"/>
          <w:bCs/>
          <w:sz w:val="26"/>
          <w:szCs w:val="26"/>
          <w:lang w:val="ru-RU"/>
        </w:rPr>
        <w:t>3</w:t>
      </w:r>
      <w:r>
        <w:rPr>
          <w:rFonts w:ascii="Arial" w:hAnsi="Arial" w:eastAsia="Times New Roman" w:cs="Arial"/>
          <w:bCs/>
          <w:sz w:val="26"/>
          <w:szCs w:val="26"/>
        </w:rPr>
        <w:t xml:space="preserve"> </w:t>
      </w:r>
      <w:r>
        <w:rPr>
          <w:rFonts w:hint="default" w:ascii="Arial" w:hAnsi="Arial" w:eastAsia="Times New Roman" w:cs="Arial"/>
          <w:bCs/>
          <w:sz w:val="26"/>
          <w:szCs w:val="26"/>
          <w:lang w:val="ru-RU" w:eastAsia="ru-RU"/>
        </w:rPr>
        <w:t xml:space="preserve">Внеурочная деятельность в </w:t>
      </w:r>
      <w:r>
        <w:rPr>
          <w:rFonts w:ascii="Arial" w:hAnsi="Arial" w:eastAsia="Times New Roman" w:cs="Arial"/>
          <w:bCs/>
          <w:sz w:val="26"/>
          <w:szCs w:val="26"/>
        </w:rPr>
        <w:t xml:space="preserve"> МБОУ «СОШ № </w:t>
      </w:r>
      <w:r>
        <w:rPr>
          <w:rFonts w:hint="default" w:ascii="Arial" w:hAnsi="Arial" w:eastAsia="Times New Roman" w:cs="Arial"/>
          <w:bCs/>
          <w:sz w:val="26"/>
          <w:szCs w:val="26"/>
          <w:lang w:val="ru-RU" w:eastAsia="ru-RU"/>
        </w:rPr>
        <w:t>35</w:t>
      </w:r>
      <w:r>
        <w:rPr>
          <w:rFonts w:ascii="Arial" w:hAnsi="Arial" w:eastAsia="Times New Roman" w:cs="Arial"/>
          <w:bCs/>
          <w:sz w:val="26"/>
          <w:szCs w:val="26"/>
        </w:rPr>
        <w:t>» (г. Владивосток)</w:t>
      </w:r>
    </w:p>
    <w:p w14:paraId="0BF7B7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Внеурочная деятельность в школе №35 г. Владивостока представляет собой важный компонент образовательного процесса, направленный на всестороннее развитие личности учащихся и реализацию их творческого потенциала. В отличие от традиционных уроков, которые ориентированы на передачу знаний в рамках учебного плана, внеурочная деятельность обеспечивает условия для формирования социальных, коммуникативных и личностных компетенций, что соответствует современным требованиям Федеральных государственных образовательных стандартов (ФГОС). В школе №35 эта деятельность организована с учётом возрастных особенностей детей и разнообразия их интересов, что позволяет максимально эффективно вовлекать учащихся в процессы саморазвития и социализации.</w:t>
      </w:r>
    </w:p>
    <w:p w14:paraId="1313B5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Особенностью внеурочной работы в данной школе является системный подход к формированию программ, которые охватывают широкий спектр направлений: от творческих кружков и спортивных секций до экологических проектов и волонтёрских инициатив. Такой комплексный подход способствует развитию у детей не только интеллектуальных и физических качеств, но и формированию гражданской позиции, ответственности за окружающую среду и умения работать в коллективе. Например, в рамках экологического направления реализуются проекты, направленные на изучение проблем загрязнения и охраны природы, что способствует развитию экологического сознания и формированию устойчивых навыков ответственного поведения в природной среде.</w:t>
      </w:r>
    </w:p>
    <w:p w14:paraId="0AA40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элементом внеурочной деятельности в школе №35 является организация пришкольного лагеря, который функционирует в летний период и предоставляет детям возможность продолжить образовательный и развивающий процесс в более свободной и игровой форме. Лагерь ориентирован на укрепление здоровья, развитие творческих способностей и формирование коммуникативных навыков, что достигается через разнообразные мероприятия, такие как спортивные соревнования, творческие мастер-классы и коллективные игры. Такой формат работы позволяет не только поддерживать интерес детей к учебе, но и способствует формированию у них навыков саморегуляции и сотрудничества, что подтверждается исследованиями в области педагогики и психологии развития [2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0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171E3F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Кроме того, в школе уделяется большое внимание развитию проектной деятельности среди учащихся. Проекты реализуются как внутри учебного процесса, так и во внеурочной деятельности, что позволяет детям применять полученные знания на практике и развивать критическое мышление. Примером может служить программа «Город будущего», которая была разработана и внедрена в пришкольном лагере. В рамках этой программы дети учатся анализировать современные городские проблемы, предлагать инновационные решения и презентовать свои идеи, что способствует развитию навыков исследовательской работы и публичных выступлений. Такой подход соответствует современным педагогическим концепциям, направленным на формирование универсальных учебных действий и ключевых компетенций, о которых говорится в работах ведущих российских методистов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20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733DF0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Особое внимание в школе №35 уделяется созданию комфортной и безопасной среды для внеурочной деятельности. Это включает не только физическую безопасность детей во время проведения мероприятий, но и психологический комфорт, который достигается через создание атмосферы доверия и поддержки. Педагоги и воспитатели, работающие в лагере и на внеурочных занятиях, проходят регулярное повышение квалификации и используют современные методики, направленные на индивидуализацию подхода к каждому ребёнку. Такой профессионализм педагогов способствует эффективному вовлечению детей в деятельность, снижению уровня конфликтности и развитию позитивной мотивации к обучению и творчеству.</w:t>
      </w:r>
    </w:p>
    <w:p w14:paraId="52124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Внеурочная деятельность в школе №35 также характеризуется активным вовлечением родителей и местного сообщества. Родители регулярно информируются о программах и мероприятиях, а также приглашаются к участию в различных акциях и праздниках, что способствует укреплению взаимодействия между семьёй и школой. Вовлечение общественности расширяет возможности для реализации проектов и повышает социальную значимость внеурочной работы. Этот аспект подтверждается исследованиями, показывающими, что участие родителей и сообщества в образовательном процессе положительно влияет на успеваемость и социальное развитие детей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20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3F2FF1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ru-RU"/>
        </w:rPr>
        <w:t>Ш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кола №35 стремится обеспечить разнообразие форм внеурочной деятельности, что позволяет учитывать индивидуальные интересы и склонности детей. В рамках творческих направлений реализуются кружки по изобразительному искусству, музыке, театру и декоративно-прикладному творчеству, что способствует развитию эстетического восприятия и творческого мышления. Спортивные секции ориентированы на развитие физических качеств и формирование навыков здорового образа жизни, что особенно актуально в контексте современных вызовов, связанных с малоподвижным образом жизни детей. Научно-технические кружки и исследовательские проекты стимулируют любознательность и способствуют формированию научного мировоззрения, что важно для подготовки учащихся к успешной учебе и профессиональной деятельности в будущем.</w:t>
      </w:r>
    </w:p>
    <w:p w14:paraId="073AF5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аспектом организации внеурочной деятельности в школе №35 является систематическая оценка эффективности реализуемых программ и мероприятий. Педагогический коллектив проводит регулярный анализ результатов, используя методы наблюдения, анкетирования и обратной связи от участников. Такой мониторинг позволяет своевременно выявлять сильные и слабые стороны деятельности, корректировать планы и повышать качество работы. Например, по итогам летнего сезона в пришкольном лагере были внесены изменения в программу «Город будущего», что позволило усилить практическую направленность и увеличить вовлечённость детей в проектную деятельность.</w:t>
      </w:r>
    </w:p>
    <w:p w14:paraId="5698A27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4507A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592CC1">
      <w:pPr>
        <w:rPr>
          <w:rFonts w:ascii="Arial" w:hAnsi="Arial" w:cs="Arial"/>
          <w:sz w:val="28"/>
          <w:szCs w:val="26"/>
        </w:rPr>
      </w:pPr>
    </w:p>
    <w:p w14:paraId="1FEDF8FE">
      <w:pPr>
        <w:rPr>
          <w:rFonts w:ascii="Arial" w:hAnsi="Arial" w:cs="Arial"/>
          <w:sz w:val="28"/>
          <w:szCs w:val="26"/>
        </w:rPr>
      </w:pPr>
    </w:p>
    <w:p w14:paraId="0A142643">
      <w:pPr>
        <w:pStyle w:val="18"/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left="706" w:firstLine="0"/>
        <w:jc w:val="both"/>
        <w:textAlignment w:val="auto"/>
        <w:rPr>
          <w:rFonts w:ascii="Arial" w:hAnsi="Arial" w:cs="Arial"/>
          <w:sz w:val="28"/>
          <w:szCs w:val="26"/>
        </w:rPr>
      </w:pPr>
      <w:r>
        <w:rPr>
          <w:rFonts w:hint="default" w:ascii="Arial" w:hAnsi="Arial" w:eastAsia="SimSun" w:cs="Arial"/>
          <w:sz w:val="28"/>
          <w:szCs w:val="26"/>
          <w:lang w:val="ru-RU" w:eastAsia="ru-RU" w:bidi="ar-SA"/>
        </w:rPr>
        <w:t>Проведение внеурочных мероприятий " Город будущего"</w:t>
      </w:r>
    </w:p>
    <w:p w14:paraId="02D8A1A3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="706"/>
        <w:jc w:val="both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3.1 </w:t>
      </w:r>
      <w:r>
        <w:rPr>
          <w:rFonts w:hint="default" w:ascii="Arial" w:hAnsi="Arial" w:eastAsia="SimSun" w:cs="Arial"/>
          <w:sz w:val="26"/>
          <w:szCs w:val="26"/>
          <w:lang w:val="ru-RU" w:eastAsia="ru-RU" w:bidi="ar-SA"/>
        </w:rPr>
        <w:t>Работа в детском оздоровительном лагере (пришкольном лагере)</w:t>
      </w:r>
    </w:p>
    <w:p w14:paraId="3B283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Организация работы в детском оздоровительном лагере, функционирующем на базе школы, представляет собой комплексную педагогическую задачу, направленную на всестороннее развитие детей в летний период. Пришкольный лагерь, в отличие от специализированных лагерей отдыха, обладает уникальными особенностями, обусловленными его интеграцией в образовательное пространство школы и возможностью использования уже существующей инфраструктуры и педагогического коллектива. Такой формат работы позволяет обеспечить непрерывность воспитательного процесса, сочетая оздоровительные, образовательные и развивающие компоненты в условиях привычной для детей среды. Важность именно пришкольных лагерей подтверждается исследованиями отечественных педагогов, таких как В. А. Сластенин, который подчеркивал роль лагерной деятельности как средства социализации и формирования личностных качеств школьников в условиях свободного времени 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19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11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][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15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].</w:t>
      </w:r>
    </w:p>
    <w:p w14:paraId="0402AB30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1. Старт стройки будущего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Первый день смены начался торжественным открытием лагеря и символической закладкой первого камня, который служит началом игры-знакомства «Техноград приветствует». Участники совместно создают макет фундамента города, задавая тон всему проекту. В этот же день происходит выбор актива отрядов и оформление уголков: команды придумывали названия, девизы и эмблемы. Творческая программа включала создание бумажных эмблем и дизайн касок строителя, что помогало сплотить коллектив через совместное дело.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Вечерняя часть дня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была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насыщена социальными и образовательными блоками. Важным элементом стала профилактическая беседа о безопасном маршруте домой и инструктаж по правилам поведения в лагере. Экскурсия по территории в формате «Разведай. Выясни. Сообщи» позволила детям быстро сориентироваться в пространстве.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Завершается первый день спортивно-творческим марафоном. Веселые старты «Стройка в ритме спорта» проходила в формате эстафет с переноской условных строительных материалов. </w:t>
      </w:r>
    </w:p>
    <w:p w14:paraId="09B2E7B1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Второй день начинался с организационных сборов отрядов и проведения первой диагностики No1. Торжественная линейка открыла смену, за которой следует обязательная учебная эвакуация, закрепляющая навыки безопасности. Основным событием стала конкурсная программа «Добро пожаловать», где команды демонстрировали свои творческие способности.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Творческий блок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был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посвящен урбанистике и транспорту будущего. Ребята создавали карту города из лент, прорисовывая дорожную сеть,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а такжде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рисовали футуристические виды транспорта: летающие автомобили, поезда на магнитной подушке и другие инновационные проекты. Кульминацией дня стало КТД (коллективное творческое дело) по конструированию моделей транспорта из бросового материала — коробок, бутылок и крышек, что развивало инженерное мышление и навыки работы с подручными средствами.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спортивной эстафетой «Быстрее ветра». Участники пробегали дистанцию с препятствиями, имитирующими городские дороги.</w:t>
      </w:r>
    </w:p>
    <w:p w14:paraId="19E7E864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третьего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дня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начиналось с бодрой зарядки и линейки, которые задали ритм всему дню. Основное смысловое ядро программы — тема «Кодекс строителя: честность и ответственность». В условиях будущего города надежность человека становится таким же критическим ресурсом, как и технологии. Участники обсуждали ценность слова: почему важно вовремя вернуть одалженную деталь, не присваивать чужие идеи и смело признавать ошибки.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Для закрепления материала проводилась интерактивная игра «Сломанный телефон доверия», наглядно демонстрирующая, как одно искажение или ложь разрушают всю цепочку взаимодействия. Ребята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р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азбирали практические кейсы, например: «Ты нашел редкую деталь для макета, но она срочно нужна другому отряду. Твои действия?». В завершение блока создана «Стена честности» — коллективный проект, где каждый участник оставляет стикер с личным обещанием (например, «Я скажу правду, даже если ошибся» или «Я не буду ломать постройки других»).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Практическая часть дня включала работу в лаборатории «Энерго-появляйка». Ребята проводили опыты со статическим электричеством и собирали простейшие генераторы энергии, связывая теорию с реальными физическими явлениями. Спортивный блок проходил в формате эстафеты «Ток бежит по проводам», где передача мяча символизировала передачу энергии по цепи, требуя от команды высокой слаженности и внимания.</w:t>
      </w:r>
    </w:p>
    <w:p w14:paraId="122D2F06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4. «Эко-Техноград»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Четвертый день посвящен гармонии между технологиями и природой. После утренней зарядки и линейки участников ждал развлекательный блок — песенное караоке-баттл, которое снимало напряжение.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Основная рабочая сессия (КТД) началась с акции «Чистый город». Отряды превращаются в экологический десант: проводилась уборка территории лагеря и озеленение свободных зон. Особое внимание уделялось патриотическому компоненту: 3-й отряд инициировал акцию «Зеленый пояс Технограда». Завершался день общелагерным экологическим квестом «Сохраним природу живой». Это командное приключение, где нужно применять полученные знания о рациональном использовании ресурсов и бережном отношении к окружающей среде для прохождения испытаний.</w:t>
      </w:r>
    </w:p>
    <w:p w14:paraId="4455A7A7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5. «Роботы-строители»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началось с отрядной дискуссии, разделенной по возрастным группам для более глубокого погружения в тему. Для 1-го и 2-го отрядов тема звучала как «Хорошо ли быть роботом?». Участники взвешивали очевидные плюсы: отсутствие ошибок, точность и выносливость. Однако ключевой акцент делался на минусах: неспособность чувствовать боль другого, холодность и отсутствие эмоциональной связи. Это становилось почвой для обсуждения границ машинного интеллекта.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Практическая часть дня включала акцию «Добрый бит». Участники создавали открытки или записывали голосовые пожелания для одиноких пожилых людей или воспитанников детских домов. Этот проект помогал перевести философские размышления в конкретное доброе дело.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Творческий блок («КТД») распределялся по отрядам. Первый отряд рисовал портрет «робота-помощника», фокусируясь на его функциональности и внешнем виде. Второй отряд создал объемные поделки из картонных коробок под названием «Мой робот», развивая инженерное мышление и работу с материалами. Третий отряд проводил мастер-класс «Робот-компаньон», используя презентацию для демонстрации принципов взаимодействия человека и искусственного интеллекта.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Игровая часть включала тренинг доверия «Поводырь». В парах один участник завязывает глаза, а другой вел его через полосу препятствий. Это упражнение наглядно демонстрирует важность заботы, ответственности и абсолютного доверия к партнеру. Завершался день спортивным развлечением «Робо-эстафета». Команды соревновались в скорости, выполняя движения в стилизованной механической манере: прямые ноги, жесткие повороты головы и характерные звуки, имитирующие работу механизмов.</w:t>
      </w:r>
    </w:p>
    <w:p w14:paraId="22E9B112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6. «Город связи и технологий»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началось с вводной беседы в формате «Техно-урока». Тема: «Как люди общаются: от дыма до искусственного интеллекта». Участники прослеживали эволюцию коммуникации, обсуждая, как изменились способы передачи информации и как современные технологии влияют на социальные взаимодействия.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Сразу после теории началось создание «Облаков» с правилами безопасности. Это метафорическая игра-акция, где дети совместно формулируют нормы цифровой гигиены и этикета для виртуального «облачного хранилища» лагеря. Правила оформляются визуально и размещаются в зоне общего доступа, напоминая о важности защиты личных данных и уважения к чужому цифровому пространству.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 10:30 до 11:30 проходило творческое строительство «Кибер-квартала». Дети работали в парах или небольших группах, используя подручные материалы для создания архитектурных элементов будущего города. Проект включал создание «смартфон-домов», «спутниковых тарелок», имитацию «проводов будущего», серверных стоек (как «мозга» района), роутеров, роботов-курьеров, умных лавочек с зарядными устройствами и домов с клавиатурными фасадами. Этот процесс развивал командную работу, креативность и понимание структуры современных технологических систем.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спортивным развлечением «Поймай сигнал». Это эстафета, где участники должны найти спрятанные сигналы (маркеры или предметы) по территории лагеря. Соревнование проходит в формате «районов», где побеждает команда, быстрее всех собравшая полную информацию и вернувшаяся с ней на базу.</w:t>
      </w:r>
    </w:p>
    <w:p w14:paraId="10D1ADD3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7. «Архитектура и небоскрёбы»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началось с беседы «Архитектура и небоскрёбы: строим красоту и высоту». Эта встреча рассчитана на 20–25 минут и была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посвящена не только инженерным решениям, но и социальной роли зданий. Ключевая идея занятия — показать, что город может быть добрым местом, где архитектура служит людям, создавая комфортную и безопасную среду обитания.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После теоретической части отряды перешли к практике. В течение 30 минут дети создавали макет «Бумажного небоскрёба своей мечты». Это командное задание требовало координации усилий: результат должен быть масштабным — высота башни каждого отряда не менее 50 см. Все созданные небоскрёбы объединяли в единый городской макет, символизируя единство участников.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Параллельно с творческим процессом проходил мастер-класс по изготовлению воздушных змеев, а также спортивная полоса препятствий «Башня выносливости». В этом конкурсе на время участники демонстрируют ловкость, преодолевая полосы лазанья, перелезания и удержания равновесия, что метафорично дополняет тему высоты и устойчивости.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рефлексией «Кирпичик успеха». Каждый участник заполняет небольшой стикер, который затем размещается на общем стенде отряда. Дети формулируют одну мысль: либо о новом знании («Сегодня я узнал...»), либо о командном достижении («Я горжусь своей башней, потому что...»).</w:t>
      </w:r>
    </w:p>
    <w:p w14:paraId="6F18101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8. «Умный дом»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Программа дня построена вокруг темы цифровизации и комфорта. Утреннее время отводилось на мультквиз для 1–2 отрядов, который проводят аниматоры. Это позволяет вовлечь детей в тему через знакомый и развлекательный формат.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Основная беседа «Умный дом: технологии, которые заботятся о нас» длилась 20 минут. Она проходила в формате интерактивного диалога с элементами мини-игры «Угадай, что умнее». Участники учились отличать современные технологические решения от обычных приборов, понимая, как автоматизация упрощает быт и повышает безопасность.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Центральным событием дня стало создание общего макета «Умного дома». Каждый отряд разрабатывал и создавал собственные «умные устройства» для этого макета. Параллельно команды готовили плакат с инструкцией «Правила умного дома», где фиксировали советы по безопасному и эффективному использованию технологий в быту.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Спортивная программа дня — соревнование «Домофон». Это метание теннисных мячей в цель, изображающую окна нарисованного дома. Соревнование требует точности и концентрации, развивая мелкую моторику.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Финальным аккордом стало обсуждение в кругу с использованием «Умного микрофона», где каждый участник имел возможность высказаться и подвести итоги дня.</w:t>
      </w:r>
    </w:p>
    <w:p w14:paraId="0E528FF5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9. Город мастеров: профессии будущего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началось с динамичной беседы, цель которой — погрузить участников в атмосферу «Технограда» и подготовить их к вечерней деловой игре. За 10–12 минут модератор через живой диалог и быструю разминку демонстрировал связь между традиционными ремеслами и высокими технологиями. Участники обсуждали, какие навыки будут востребованы завтра, и как инженерия, дизайн и программирование меняют привычный уклад жизни.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Основное творческое задание делило отряды на две группы. Первая команда создавала инсталляцию «Улица профессий», используя технику пальчиковых человечков. Это позволяло визуализировать образы будущих специалистов в игровой форме. Вторая группа работала с двусторонними карточками, формируя «Атлас профессий Технограда». Здесь дети систематизировали знания о новых специальностях, классифицируя их по сферам деятельности и требуемым компетенциям.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В 14:00 стартовало ключевое событие дня — деловая игра «Выбираем мэра Технограда». Участники выступали в роли кандидатов и избирателей. Каждая команда презентовала свою программу развития города, предлагая решения для социальных, технических и экологических проблем. Голосование и последующее создание официальных указов позволило детям прочувствовать ответственность лидера и важность коллективного принятия решений.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Спортивная программа дня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была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посвящена теме труда. Эстафета «Инструменты труда» требовала не только физической выносливости, но и ловкости. Бег с условными предметами (молотком, уровнем, планшетом) символизирует разные виды деятельности, заставляя детей адаптироваться к разным «ролям» в команде.</w:t>
      </w:r>
    </w:p>
    <w:p w14:paraId="6BCD722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10. Научная лаборатория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Десятый день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был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посвящен исследованию окружающего мира через призму науки. Утренняя беседа проходила в формате диалога с демонстрацией «живого» эксперимента. Модератор показывал, как научные открытия формируют инфраструктуру будущего, отвечая на вопрос: как опыт строит город.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Центральное событие дня — КТД «Научная лаборатория». Каждый отряд демонстрировал  безопасные химические опыты: создание «вулкана», реакцию «пены для слона» или получение светящейся жидкости. Важно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то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, что демонстрация была не только зрелищной, но и образовательной. После опытов команды создали плакаты «Стена открытий». Дети фиксировали свои выводы, рисовали схемы реакций и записывали наблюдения, превращая эмоции от опыта в структурированные знания.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Спорт в этот день носила интеллектуальный характер. Эстафета «Экспериментальный забег» проходила парами. На каждой станции участники должны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ru-RU" w:bidi="ar-SA"/>
        </w:rPr>
        <w:t xml:space="preserve"> были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 xml:space="preserve"> быстро решить задачу или ответить на загадку о науке, прежде чем продолжить движение. Это тренировало скорость мышления и умение работать в паре под давлением времени.</w:t>
      </w:r>
    </w:p>
    <w:p w14:paraId="5B398D2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Утро одиннадцатого дня началось с короткой, но емкой беседы. Аниматоры и педагоги собрали отряды, чтобы обсудить концепцию «Техно-олимпиады». Ребята узнали, что скорость и физическая сила здесь важны не сами по себе, а в связке с соблюдением правил и командным взаимодействием. Эта метафора задала тон всему предстоящему дню.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Сразу после завтрака, ближе к десяти утра, стартовала подвижная игра «Большие гонки». Аниматоры разделили детей на команды и дали им задание преодолеть полосу препятствий с элементами эстафеты. Атмосфера была напряженной, но веселой: участники кричали поддерживающие кричалки, а проигравшие принимали поражение с достоинством, зная, что главное — это участие.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Вторую половину утреннего блока заняло техническое многоборье. Соревнования проходили в формате станций. На первой станции дети запускали бумажные самолетики, соревнуясь в дальности полета. Здесь требовалась точность сборки и расчет траектории. На второй станции был «метание дисков» — ребята бросали бумажные тарелки, стараясь попасть в цель. Третья станция требовала ловкости: нужно было пронести линейку с шариком на конце, не уронив его. Это упражнение на концентрацию и баланс.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Финальным аккордом дня стала церемония награждения. Победителей не искали в индивидуальном зачете; главным призом стал коллективный результат. Каждый отряд подошел к большому плакату, оставил отпечаток большого пальца краской и написал вокруг него слово, описывающее их впечатления. Кто-то написал «Веселая», кто-то — «Объединяющая», кто-то — «Честная». Этот плакат, ставший символом «Ордена Дружбы Технограда», повесили рядом с другими ключевыми атрибутами лагеря — «Атласом профессий» и «Кодексом строителя».</w:t>
      </w:r>
    </w:p>
    <w:p w14:paraId="1AE11E9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Двенадцатый день принес смену декораций и настроения. Утренняя беседа была посвящена эстетике города. Педагоги рассказали детям, как свет и цвет влияют на восприятие пространства, превращая обычные улицы в живые артерии мегаполиса. Тема «Фестиваля света и цвета» стала лейтмотивом всего дня.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Первым активным событием стал мастер-класс «Стаканчик бегунок». Дети собирали простые конструкции из стаканчиков и трубочек, которые могли передвигаться по столу. Это занятие развивало мелкую моторику и терпение, позволяя каждому ребенку создать свой уникальный механизм.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Затем началась самая яркая часть программы — конкурс рисунков на асфальте. Дети получили цветные мелки и задание: нарисовать фрагмент города будущего. Главное условие — использовать все цвета радуги. Педагоги объяснили символическое значение каждого оттенка: желтый отвечал за уличные фонари, зеленый — за парковые зоны, синий — за водоемы и фонтаны. Дети с энтузиазмом включились в процесс, создавая на асфальте яркие, абстрактные, но осмысленные образы городской среды.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необычной спортивной эстафетой с мыльными пузырями. Команды должны были собрать как можно больше пузырей за ограниченное время, используя специальные ловушки из веревки. Это задание требовало слаженности действий и тактического мышления. После бурных игр прошел этап рефлексии под названием «Солнце добрых пожеланий». Дети сидели в кругу, делились впечатлениями от нарисованных городов и дарили друг другу теплые слова, завершая насыщенную неделю на позитивной ноте.</w:t>
      </w:r>
    </w:p>
    <w:p w14:paraId="47731724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13 прошел в атмосфере творческого поиска и изобретательства. Утренняя беседа, посвященная «Дню изобретателей», длилась около десяти минут и была построена в формате живого диалога с игровой составляющей. Ребята обсуждали, как сырые идеи превращаются в полезные вещи и приносят прибыль, а затем играли в игру «Полезное бесполезное», где учились оценивать практическую ценность предметов.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После теоретической части дети занялись творчеством: они придумали и нарисовали проекты несуществующих городских приборов. Среди вариантов встречались «шумопоглотители» и «генераторы радуги». Кульминацией дня стала защита проектов в формате «Патентного бюро». Каждый участник представил свое изобретение, выполненное из пластилина или бумаги, и подробно объяснил, какую пользу оно принесет городу.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спортивной эстафетой «Передай изобретение». Дети передавали друг другу необычные предметы, имитирующие технические устройства, например, пронесли «умную» ложку с яйцом, что требовало концентрации и ловкости.</w:t>
      </w:r>
    </w:p>
    <w:p w14:paraId="15940F57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День 14 стал этапом масштабной совместной работы под названием «Генеральная сборка Технограда». Утренняя беседа на тему «Один за всех собираем город вместе» задала тон всему блоку. В 9:15 вожатые подготовили рабочие места и раздали материалы, выделив каждому отряду собственную зону будущего макета.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 9:30 до 11:00 шла активная сборка. Отряды завершали создание своих объектов, прокладывали дороги с помощью лент, ниток и нарисованных полос, а также соединяли районы переходами. Вожатые координировали стыки между зонами, чтобы макет выглядел целостно. В 11:00–11:15 ребята сделали перерыв и выполнили гимнастику для глаз и рук.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С 11:15 до 12:00 состоялся «Городской совет». Мэр и вожатые обходили зоны, давая советы по доработке. Дети добавляли мелкие детали: сажали деревья, устанавливали фонарики из фольги и размещали облака из ваты. Завершился день танцевальным флешмобом «Техно-ритмы», где все участники разучили и исполнили общий танец под электронную музыку, объединившись в единый ритм.</w:t>
      </w:r>
    </w:p>
    <w:p w14:paraId="393EC9F0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Пятнадцатый день стал кульминацией всего проекта, завершившейся масштабным праздником под названием «Парад Технограда». Это событие ознаменовало официальное закрытие этапа строительства и стало поводом для грандиозного творческого финала. Участники представили публике всё, что было создано за время работы: от детализированных архитектурных макетов будущего города до уникальных костюмов, сшитых своими руками, и обширной выставки рисунков, отражающих видение участников на жизнь в высокотехнологичном обществе.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Кульминацией вечера стала торжественная церемония «Вручение ключей от города». В рамках этого ритуала символические ключи передавались от организаторов лидерам команд, что подчеркивало их ответственность и достигнутые результаты. Параллельно с церемонией прошел концерт-презентация, где команды продемонстрировали свои творческие номера, а самые активные строители были отмечены наградами и грамотами за вклад в общее дело.</w:t>
      </w:r>
      <w:r>
        <w:rPr>
          <w:rFonts w:hint="default" w:eastAsia="SimSun" w:cs="Times New Roman"/>
          <w:kern w:val="0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  <w:t>Завершился день спортивно-развлекательной программой под названием «Техноград салют». Участники и гости объединились в общей веселой игре, которая включала в себя создание гигантских мыльных пузырей, запуск бумажного салюта и традиционный хоровод. Эта атмосфера единства и радости стала идеальным финалом пятнадцатидневного пути, оставив после себя яркие воспоминания и чувство сопричастности к созданному миру.</w:t>
      </w:r>
    </w:p>
    <w:p w14:paraId="4ACCF7D2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6297EA2F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0BA392A9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51C6B472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402737D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74D4429E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2C95134D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360" w:lineRule="auto"/>
        <w:ind w:left="0" w:firstLine="706" w:firstLineChars="0"/>
        <w:jc w:val="both"/>
        <w:textAlignment w:val="auto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ru-RU" w:bidi="ar-SA"/>
        </w:rPr>
      </w:pPr>
    </w:p>
    <w:p w14:paraId="4A62C03A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Заключение</w:t>
      </w:r>
    </w:p>
    <w:p w14:paraId="6B77C6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Производственная педагогическая практика, реализованная в условиях пришкольного лагеря, стала важным этапом формирования профессиональных компетенций будущих педагогов и вожатых. Этот опыт позволил не только применить теоретические знания, полученные в процессе обучения, но и глубже понять специфику организации внеурочной деятельности в образовательном учреждении, что является ключевым аспектом современной педагогики. В ходе практики была продемонстрирована необходимость комплексного подхода к планированию и проведению мероприятий, учитывающего нормативно-правовые основы, возрастные особенности детей, а также современные образовательные стандарты. Именно такой подход обеспечивает эффективность воспитательной работы и способствует всестороннему развитию личности ребенка.</w:t>
      </w:r>
    </w:p>
    <w:p w14:paraId="4583F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Важным аспектом практики стало знакомство с нормативно-правовой базой, регулирующей образовательную деятельность, что позволило обеспечить соответствие всех мероприятий требованиям Федерального закона «Об образовании в Российской Федерации» и Федеральных государственных образовательных стандартов (ФГОС). Как отмечают исследователи в области педагогики, знание и соблюдение нормативных документов является фундаментом для качественной организации образовательного процесса, так как они устанавливают права и обязанности участников, а также гарантируют безопасность и комфорт детей в образовательной среде. В частности, ориентация на ФГОС способствует формированию у обучающихся универсальных учебных действий и ключевых компетенций, что подтверждает актуальность интеграции межпредметных знаний и развитие творческого мышления через внеурочную деятельность.</w:t>
      </w:r>
    </w:p>
    <w:p w14:paraId="2104E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Практическая реализация программы «Город будущего» стала ярким примером того, как внеурочная деятельность может способствовать развитию экологического сознания и навыков проектной деятельности у школьников. В современных условиях, когда вопросы устойчивого развития и бережного отношения к окружающей среде приобретают все большую значимость, подобные проекты играют важную роль в формировании социально ответственного поведения у детей. Опыт проведения экологического квеста, мастер-классов и творческих конкурсов показал, что игровые технологии и интерактивные формы работы значительно повышают мотивацию учащихся и способствуют более глубокому усвоению материала. Это подтверждается исследованиями в области педагогики, которые отмечают, что использование игровых методов в образовательном процессе способствует развитию критического мышления, коммуникативных навыков и творческого потенциала.</w:t>
      </w:r>
    </w:p>
    <w:p w14:paraId="7700A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Организация работы в пришкольном лагере потребовала не только профессиональной подготовки, но и умения выстраивать доверительные отношения с детьми, применять индивидуальный подход и обеспечивать разнообразие программ. Важность этих аспектов подчеркивается в современных педагогических теориях, где акцент делается на личностно-ориентированном подходе и создании комфортной образовательной среды. </w:t>
      </w:r>
    </w:p>
    <w:p w14:paraId="42A258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Профессиональное развитие студентов в процессе прохождения практики также заслуживает особого внимания. Практика в пришкольном лагере дала возможность применить на практике полученные теоретические знания, освоить новые методики и технологии, а также развить коммуникативные и организационные навыки. Это соответствует мнению ведущих педагогов, которые считают, что практика является неотъемлемой частью профессионального становления учителя, способствуя формированию профессиональной компетентности и личностного роста. Более того, участие в организации и проведении внеурочных мероприятий позволило будущим педагогам оценить важность системного подхода к работе с детьми, а также научиться адаптироваться к изменяющимся условиям образовательной среды.</w:t>
      </w:r>
    </w:p>
    <w:p w14:paraId="56CEF5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Анализ результатов проведенных мероприятий показал, что системный и разнообразный подход к внеурочной деятельности способствует развитию творческих и коммуникативных навыков, формированию здорового образа жизни и патриотического воспитания. Программа «Город будущего» стала не только образовательной, но и воспитательной платформой, где дети могли проявить инициативу, реализовать свои идеи и получить положительный опыт коллективной работы. Это подтверждает важность создания условий для активного участия и самореализации обучающихся, что является одним из приоритетов современной педагогики. Более того, регулярная оценка и анализ результатов позволили скорректировать программы и повысить качество работы, что свидетельствует о важности обратной связи и рефлексии в педагогической практике.</w:t>
      </w:r>
    </w:p>
    <w:p w14:paraId="222EF7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Таким образом, опыт производственной педагогической практики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(второй)</w:t>
      </w: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 xml:space="preserve"> в пришкольном лагере можно рассматривать как успешный пример интеграции теоретических знаний и практических навыков в области организации внеурочной деятельности. Он подтвердил необходимость комплексного и системного подхода к воспитательной работе, ориентированного на развитие личности ребенка в соответствии с современными образовательными стандартами и требованиями законодательства. Практика также подчеркнула значимость профессионального роста педагогов, их умения работать в команде и взаимодействовать с различными субъектами образовательного процесса. В конечном итоге, данный опыт способствует формированию у будущих специалистов устойчивых компетенций, необходимых для эффективного выполнения обязанностей вожатого и педагога в условиях современной школы.</w:t>
      </w:r>
    </w:p>
    <w:p w14:paraId="5C512876">
      <w:pPr>
        <w:spacing w:after="0" w:line="360" w:lineRule="auto"/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</w:p>
    <w:p w14:paraId="756D85F8">
      <w:pPr>
        <w:spacing w:after="0" w:line="360" w:lineRule="auto"/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</w:p>
    <w:p w14:paraId="58729B0F">
      <w:pPr>
        <w:spacing w:after="0" w:line="360" w:lineRule="auto"/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</w:p>
    <w:p w14:paraId="4B2F8EB5">
      <w:pPr>
        <w:spacing w:after="0" w:line="360" w:lineRule="auto"/>
        <w:ind w:firstLine="709"/>
        <w:jc w:val="both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</w:p>
    <w:p w14:paraId="2F216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608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0C5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51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44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4EF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7E0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A48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10D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3D6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D6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682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961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135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A0E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6FB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975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5D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49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B90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E7D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55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22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A3D80">
      <w:pPr>
        <w:spacing w:after="24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Список использованных</w:t>
      </w:r>
      <w:r>
        <w:rPr>
          <w:rFonts w:ascii="Arial" w:hAnsi="Arial" w:cs="Arial"/>
          <w:spacing w:val="-4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источников</w:t>
      </w:r>
    </w:p>
    <w:p w14:paraId="1A17E29C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Конституция Российской Федерации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– 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  <w:lang w:val="en-US"/>
        </w:rPr>
        <w:t>URL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:</w:t>
      </w:r>
      <w:r>
        <w:rPr>
          <w:rFonts w:hint="default" w:ascii="Times New Roman" w:hAnsi="Times New Roman" w:eastAsia="Times New Roman" w:cs="Times New Roman"/>
          <w:bCs/>
          <w:kern w:val="36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instrText xml:space="preserve"> HYPERLINK "https://namibia.mid.ru/ru/countries/konstitutsiya_rossii/"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  <w:sz w:val="24"/>
          <w:szCs w:val="24"/>
          <w:u w:val="none"/>
        </w:rPr>
        <w:t>https://namibia.mid.ru/ru/countries/konstitutsiya_rossii/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(Дата обращения: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9932BAE">
      <w:pPr>
        <w:pStyle w:val="18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Конституция Российской Федерации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– 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  <w:lang w:val="en-US"/>
        </w:rPr>
        <w:t>URL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http://kremlin.ru/acts/constitution</w:t>
      </w:r>
      <w:r>
        <w:rPr>
          <w:rFonts w:ascii="Times New Roman" w:hAnsi="Times New Roman" w:cs="Times New Roman"/>
          <w:sz w:val="24"/>
          <w:szCs w:val="24"/>
        </w:rPr>
        <w:t xml:space="preserve">(Дата обращения: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A6C22A7">
      <w:pPr>
        <w:pStyle w:val="18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9"/>
        <w:jc w:val="both"/>
        <w:textAlignment w:val="auto"/>
        <w:outlineLvl w:val="0"/>
        <w:rPr>
          <w:rFonts w:hint="default" w:ascii="Times New Roman" w:hAnsi="Times New Roman" w:eastAsia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Об   образовании в Российской Федерации: Федеральный закон от 29.12.2012 № 273-ФЗ // Собрание законодательства РФ. – 2012. – 31 декабря. – № 53. Ч. 1. – Ст. 7598.</w:t>
      </w:r>
      <w:r>
        <w:rPr>
          <w:rFonts w:hint="default" w:ascii="Times New Roman" w:hAnsi="Times New Roman" w:eastAsia="Times New Roman" w:cs="Times New Roman"/>
          <w:bCs/>
          <w:kern w:val="36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(Дата обращения: </w:t>
      </w:r>
      <w:r>
        <w:rPr>
          <w:rFonts w:hint="default" w:ascii="Times New Roman" w:hAnsi="Times New Roman" w:eastAsia="Times New Roman" w:cs="Times New Roman"/>
          <w:bCs/>
          <w:kern w:val="36"/>
          <w:sz w:val="24"/>
          <w:szCs w:val="24"/>
          <w:lang w:val="ru-RU"/>
        </w:rPr>
        <w:t>28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.0</w:t>
      </w:r>
      <w:r>
        <w:rPr>
          <w:rFonts w:hint="default" w:ascii="Times New Roman" w:hAnsi="Times New Roman" w:eastAsia="Times New Roman" w:cs="Times New Roman"/>
          <w:bCs/>
          <w:kern w:val="36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.202</w:t>
      </w:r>
      <w:r>
        <w:rPr>
          <w:rFonts w:hint="default" w:ascii="Times New Roman" w:hAnsi="Times New Roman" w:eastAsia="Times New Roman" w:cs="Times New Roman"/>
          <w:bCs/>
          <w:kern w:val="36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)</w:t>
      </w:r>
    </w:p>
    <w:p w14:paraId="0ED5B1AF">
      <w:pPr>
        <w:pStyle w:val="18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9"/>
        <w:jc w:val="both"/>
        <w:textAlignment w:val="auto"/>
        <w:outlineLvl w:val="0"/>
        <w:rPr>
          <w:rFonts w:hint="default" w:ascii="Times New Roman" w:hAnsi="Times New Roman" w:eastAsia="Times New Roman" w:cs="Times New Roman"/>
          <w:b w:val="0"/>
          <w:bCs w:val="0"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Федеральный закон от 29 декабря 2012 г. № 273-ФЗ "Об образовании в Российской Федерации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– Текст: электронный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 // Информационно – правовой портал: [сайт].  – 2025. –  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  <w:lang w:val="en-US"/>
        </w:rPr>
        <w:t>URL</w:t>
      </w: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https://www.garant.ru/products/ipo/prime/doc/70191362/(Дата обращения: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C3DDB05">
      <w:pPr>
        <w:pStyle w:val="18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9"/>
        <w:jc w:val="both"/>
        <w:textAlignment w:val="auto"/>
        <w:outlineLvl w:val="0"/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u w:val="none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Федеральные государственные образовательные стандарты (ФГОС)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</w:rPr>
        <w:t xml:space="preserve"> –  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lang w:val="en-US"/>
        </w:rPr>
        <w:t>URL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u w:val="none"/>
        </w:rPr>
        <w:t>https://www.consultant.ru/document/cons_doc_LAW_140174/dfbe1cf7aa2e2acfd7b8e7ad37cdf71b759c539d/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(Дата обращения: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.202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14:paraId="206414F6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Федеральные государственные образовательные стандарты (ФГОС)</w:t>
      </w:r>
      <w:r>
        <w:rPr>
          <w:sz w:val="24"/>
          <w:szCs w:val="24"/>
        </w:rPr>
        <w:t xml:space="preserve">. – 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lang w:val="en-US"/>
        </w:rPr>
        <w:t>URL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</w:rPr>
        <w:t>:</w:t>
      </w:r>
      <w:r>
        <w:rPr>
          <w:rFonts w:hint="default" w:cs="Times New Roman"/>
          <w:bCs/>
          <w:color w:val="auto"/>
          <w:kern w:val="36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</w:rPr>
        <w:t>https://fgos.ru/</w:t>
      </w:r>
      <w:r>
        <w:rPr>
          <w:sz w:val="24"/>
          <w:szCs w:val="24"/>
        </w:rPr>
        <w:t xml:space="preserve"> (Дата обращения: 2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p w14:paraId="480870D5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  <w:t>Федеральные государственные образовательные стандарты (ФГОС)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</w:rPr>
        <w:t xml:space="preserve">–  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lang w:val="en-US"/>
        </w:rPr>
        <w:t>URL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</w:rPr>
        <w:t>: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u w:val="none"/>
        </w:rPr>
        <w:t>https://sh-donskoe-r27.gosweb.gosuslugi.ru/svedeniya-ob-obrazovatelnoy-organizatsii/obrazovatelnye-standarty-i-trebovaniya/</w:t>
      </w:r>
      <w:r>
        <w:rPr>
          <w:rFonts w:hint="default" w:ascii="Times New Roman" w:hAnsi="Times New Roman" w:eastAsia="Times New Roman" w:cs="Times New Roman"/>
          <w:bCs/>
          <w:color w:val="auto"/>
          <w:kern w:val="36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(Дата обращения: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.202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14:paraId="4A901BAC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Борзова Татьяна Александровна, Воронина Олеся Анатольевна развитие личностно-профессиональных качеств у студентов в ходе прохождения производственной педагогической практики // Педагогическое образование в России. 2025. №5. URL: https://cyberleninka.ru/article/n/razvitie-lichnostno-professionalnyh-kachestv-u-studentov-v-hode-prohozhdeniya-proizvodstvennoy-pedagogicheskoy-praktiki (дата обращения: </w:t>
      </w:r>
      <w:r>
        <w:rPr>
          <w:rFonts w:hint="default" w:cs="Times New Roman"/>
          <w:sz w:val="24"/>
          <w:szCs w:val="24"/>
          <w:lang w:val="ru-RU" w:eastAsia="en-US" w:bidi="ar-SA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1.07.2026).</w:t>
      </w:r>
    </w:p>
    <w:p w14:paraId="2380F87D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Жук О. Л., Лавринович К. В. Педагогика лета, или Пятая школьная четверть: для студентов педагогических учебных заведений и организаторов летнего отдыха детей/ОЛ Жук, КВ Лавринович. – 2003. URL: https://elib.bsu.by/bitstream/123456789/17135/1/Педагогика лета_new.pdf (дата обращения: 21.07.2026).</w:t>
      </w:r>
    </w:p>
    <w:p w14:paraId="1FF950E0">
      <w:pPr>
        <w:pStyle w:val="1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Иванова Лариса Николаевна реализация практико-ориентированного подхода в подготовке студентов педвуза к воспитательной деятельности с детьми в каникулярное время // Мир науки. Педагогика и психология. 2022. №6. URL: https://cyberleninka.ru/article/n/realizatsiya-praktiko-orientirovannogo-podhoda-v-podgotovke-studentov-pedvuza-k-vospitatelnoy-deyatelnosti-s-detmi-v-kanikulyarnoe (дата обращения: 21.07.2026)</w:t>
      </w:r>
      <w:r>
        <w:t>.</w:t>
      </w:r>
    </w:p>
    <w:p w14:paraId="30F7D931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Камаева Елена Викторовна летние лагеря для школьников в системе предупреждения подростковой безнадзорности и преступности в 1960-1970-Е ГГ // НИР. 2022. №2. URL: https://cyberleninka.ru/article/n/letnie-lagerya-dlya-shkolnikov-v-sisteme-preduprezhdeniya-podrostkovoy-beznadzornosti-i-prestupnosti-v-1960-1970-e-gg (дата обращения: 21.07.2026).</w:t>
      </w:r>
    </w:p>
    <w:p w14:paraId="12E8752E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Хуторской, А. В. Методика внеурочной деятельности в школе: учебное пособие / А. В. Хуторской, Е. Ю. Хуторская. - Москва: Издательство "Просвещение", 2021. - 128 с</w:t>
      </w:r>
      <w:r>
        <w:rPr>
          <w:rFonts w:ascii="sans-serif" w:hAnsi="sans-serif" w:eastAsia="sans-serif" w:cs="sans-serif"/>
          <w:i w:val="0"/>
          <w:iCs w:val="0"/>
          <w:caps w:val="0"/>
          <w:color w:val="0F172A"/>
          <w:spacing w:val="0"/>
          <w:sz w:val="24"/>
          <w:szCs w:val="24"/>
          <w:shd w:val="clear" w:fill="FFFFFF"/>
        </w:rPr>
        <w:t>.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F172A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sz w:val="24"/>
          <w:szCs w:val="24"/>
        </w:rPr>
        <w:t xml:space="preserve">(Дата обращения: </w:t>
      </w:r>
      <w:r>
        <w:rPr>
          <w:rFonts w:hint="default"/>
          <w:sz w:val="24"/>
          <w:szCs w:val="24"/>
          <w:lang w:val="ru-RU"/>
        </w:rPr>
        <w:t>03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p w14:paraId="24332FF1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Методические указания по организации и прохождению практики в пришкольных лагерях для студентов педагогических специальностей / сост. Петрова Е.С. — Санкт-Петербург: Издательство СПбГУ, 2019. — 36 с.</w:t>
      </w:r>
      <w:r>
        <w:rPr>
          <w:sz w:val="24"/>
          <w:szCs w:val="24"/>
        </w:rPr>
        <w:t xml:space="preserve">(Дата обращения: </w:t>
      </w:r>
      <w:r>
        <w:rPr>
          <w:rFonts w:hint="default"/>
          <w:sz w:val="24"/>
          <w:szCs w:val="24"/>
          <w:lang w:val="ru-RU"/>
        </w:rPr>
        <w:t>03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p w14:paraId="3EA3D774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Методические указания по прохождению производственной педагогической практики для студентов направления подготовки «Педагогическое образование» / сост. Иванова А.В. — Москва: Издательство МПГУ, 2020. — 48 с.</w:t>
      </w:r>
      <w:r>
        <w:rPr>
          <w:rFonts w:hint="default" w:cs="Times New Roman"/>
          <w:sz w:val="24"/>
          <w:szCs w:val="24"/>
          <w:lang w:val="en-US" w:eastAsia="ru-RU" w:bidi="ar-SA"/>
        </w:rPr>
        <w:t xml:space="preserve"> </w:t>
      </w:r>
      <w:r>
        <w:rPr>
          <w:sz w:val="24"/>
          <w:szCs w:val="24"/>
        </w:rPr>
        <w:t>(Дата обращения: 12.0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p w14:paraId="6948522A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Кондакова, А. М. Организация внеурочной деятельности школьников: методическое пособие / А. М. Кондакова. - - Москва: Издательство "Просвещение", 2020. - 96 с.</w:t>
      </w:r>
      <w:r>
        <w:rPr>
          <w:sz w:val="24"/>
          <w:szCs w:val="24"/>
        </w:rPr>
        <w:t>(Дата обращения: 12.0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)</w:t>
      </w:r>
    </w:p>
    <w:p w14:paraId="285E3E0D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Методика работы вожатого в детском оздоровительно-образовательном комплексе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– URL: https://college-pedagogicheskij-cheremxovo-r138.gosweb.gosuslugi.ru/netcat_files/userfiles/1/MB/bibbl/childrens-health-and-education-complex.pdf (Дата обращения: 12.0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7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.202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)</w:t>
      </w:r>
    </w:p>
    <w:p w14:paraId="4A796340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Методические рекомендации по организации детского отдыха: утв. Управлением образования г. Владивостока 10.04.2024  URL: https://sh12-baklanovskaya-r07.gosweb.gosuslugi.ru/netcat_files/32/315/Metodicheskie_rekomendatsii_po_sozdaniyu_programm_otdyha.pdf (Дата обращения: 17.07.2026)</w:t>
      </w:r>
    </w:p>
    <w:p w14:paraId="3479378C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Нормативно-правовые основы вожатской деятельности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– URL: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instrText xml:space="preserve"> HYPERLINK "https://ekpt64.profiedu.ru/?section_id=2640" </w:instrTex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separate"/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https://ekpt64.profiedu.ru/?section_id=2640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(Дата обращения: 12.0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7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.202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)</w:t>
      </w:r>
    </w:p>
    <w:p w14:paraId="48F387D5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Технологии и методики работы вожатого в лагере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– URL: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instrText xml:space="preserve"> HYPERLINK "https://iro22.ru/wp-content/uploads/2024/08/tehnologija-i-metodika-raboty-vozhatogo-v-lagere.pdf" </w:instrTex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separate"/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https://iro22.ru/wp-content/uploads/2024/08/tehnologija-i-metodika-raboty-vozhatogo-v-lagere.pdf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(Дата обращения: 12.0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7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.202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)</w:t>
      </w:r>
    </w:p>
    <w:p w14:paraId="080CD19B">
      <w:pPr>
        <w:pStyle w:val="20"/>
        <w:numPr>
          <w:ilvl w:val="0"/>
          <w:numId w:val="3"/>
        </w:numPr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hint="default" w:cs="Times New Roman"/>
          <w:sz w:val="24"/>
          <w:szCs w:val="24"/>
          <w:lang w:val="ru-RU" w:eastAsia="ru-RU" w:bidi="ar-SA"/>
        </w:rPr>
        <w:t>М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униципальное бюджетное общеобразовательное учреждение «Средняя общеобразовательная школа № 35 г. Владивостока» – URL: http://school35.pupils.ru/o-shkole/ (Дата обращения: 12.0</w:t>
      </w:r>
      <w:r>
        <w:rPr>
          <w:rFonts w:hint="default" w:cs="Times New Roman"/>
          <w:sz w:val="24"/>
          <w:szCs w:val="24"/>
          <w:lang w:val="en-US" w:eastAsia="ru-RU" w:bidi="ar-SA"/>
        </w:rPr>
        <w:t>7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.202</w:t>
      </w:r>
      <w:r>
        <w:rPr>
          <w:rFonts w:hint="default" w:cs="Times New Roman"/>
          <w:sz w:val="24"/>
          <w:szCs w:val="24"/>
          <w:lang w:val="en-US" w:eastAsia="ru-RU" w:bidi="ar-SA"/>
        </w:rPr>
        <w:t>6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 w:bidi="ar-SA"/>
        </w:rPr>
        <w:t>)</w:t>
      </w:r>
    </w:p>
    <w:p w14:paraId="7EF6BAF8">
      <w:pPr>
        <w:pStyle w:val="20"/>
        <w:tabs>
          <w:tab w:val="left" w:pos="2100"/>
          <w:tab w:val="left" w:pos="2416"/>
          <w:tab w:val="left" w:pos="3812"/>
          <w:tab w:val="left" w:pos="5219"/>
          <w:tab w:val="left" w:pos="6823"/>
        </w:tabs>
        <w:spacing w:line="360" w:lineRule="auto"/>
        <w:ind w:left="0" w:leftChars="0" w:firstLine="0" w:firstLineChars="0"/>
        <w:jc w:val="both"/>
        <w:rPr>
          <w:sz w:val="24"/>
          <w:szCs w:val="24"/>
        </w:rPr>
      </w:pPr>
    </w:p>
    <w:sectPr>
      <w:headerReference r:id="rId5" w:type="default"/>
      <w:pgSz w:w="11906" w:h="16838"/>
      <w:pgMar w:top="1134" w:right="850" w:bottom="1134" w:left="1701" w:header="708" w:footer="708" w:gutter="0"/>
      <w:pgNumType w:start="3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var(--depot-font-size-text-m-pa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D8B67">
    <w:pPr>
      <w:pStyle w:val="1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12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50CCDEF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8A215D"/>
    <w:multiLevelType w:val="multilevel"/>
    <w:tmpl w:val="628A21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190737E"/>
    <w:multiLevelType w:val="multilevel"/>
    <w:tmpl w:val="7190737E"/>
    <w:lvl w:ilvl="0" w:tentative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auto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340" w:hanging="360"/>
      </w:pPr>
    </w:lvl>
    <w:lvl w:ilvl="2" w:tentative="0">
      <w:start w:val="1"/>
      <w:numFmt w:val="lowerRoman"/>
      <w:lvlText w:val="%3."/>
      <w:lvlJc w:val="right"/>
      <w:pPr>
        <w:ind w:left="1060" w:hanging="180"/>
      </w:pPr>
    </w:lvl>
    <w:lvl w:ilvl="3" w:tentative="0">
      <w:start w:val="1"/>
      <w:numFmt w:val="decimal"/>
      <w:lvlText w:val="%4."/>
      <w:lvlJc w:val="left"/>
      <w:pPr>
        <w:ind w:left="1780" w:hanging="360"/>
      </w:pPr>
    </w:lvl>
    <w:lvl w:ilvl="4" w:tentative="0">
      <w:start w:val="1"/>
      <w:numFmt w:val="lowerLetter"/>
      <w:lvlText w:val="%5."/>
      <w:lvlJc w:val="left"/>
      <w:pPr>
        <w:ind w:left="2500" w:hanging="360"/>
      </w:pPr>
    </w:lvl>
    <w:lvl w:ilvl="5" w:tentative="0">
      <w:start w:val="1"/>
      <w:numFmt w:val="lowerRoman"/>
      <w:lvlText w:val="%6."/>
      <w:lvlJc w:val="right"/>
      <w:pPr>
        <w:ind w:left="3220" w:hanging="180"/>
      </w:pPr>
    </w:lvl>
    <w:lvl w:ilvl="6" w:tentative="0">
      <w:start w:val="1"/>
      <w:numFmt w:val="decimal"/>
      <w:lvlText w:val="%7."/>
      <w:lvlJc w:val="left"/>
      <w:pPr>
        <w:ind w:left="3940" w:hanging="360"/>
      </w:pPr>
    </w:lvl>
    <w:lvl w:ilvl="7" w:tentative="0">
      <w:start w:val="1"/>
      <w:numFmt w:val="lowerLetter"/>
      <w:lvlText w:val="%8."/>
      <w:lvlJc w:val="left"/>
      <w:pPr>
        <w:ind w:left="4660" w:hanging="360"/>
      </w:pPr>
    </w:lvl>
    <w:lvl w:ilvl="8" w:tentative="0">
      <w:start w:val="1"/>
      <w:numFmt w:val="lowerRoman"/>
      <w:lvlText w:val="%9."/>
      <w:lvlJc w:val="right"/>
      <w:pPr>
        <w:ind w:left="5380" w:hanging="180"/>
      </w:pPr>
    </w:lvl>
  </w:abstractNum>
  <w:abstractNum w:abstractNumId="2">
    <w:nsid w:val="73F431F8"/>
    <w:multiLevelType w:val="multilevel"/>
    <w:tmpl w:val="73F431F8"/>
    <w:lvl w:ilvl="0" w:tentative="0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  <w:sz w:val="24"/>
      </w:rPr>
    </w:lvl>
    <w:lvl w:ilvl="1" w:tentative="0">
      <w:start w:val="1"/>
      <w:numFmt w:val="lowerLetter"/>
      <w:lvlText w:val="%2."/>
      <w:lvlJc w:val="left"/>
      <w:pPr>
        <w:ind w:left="2509" w:hanging="360"/>
      </w:pPr>
    </w:lvl>
    <w:lvl w:ilvl="2" w:tentative="0">
      <w:start w:val="1"/>
      <w:numFmt w:val="lowerRoman"/>
      <w:lvlText w:val="%3."/>
      <w:lvlJc w:val="right"/>
      <w:pPr>
        <w:ind w:left="3229" w:hanging="180"/>
      </w:pPr>
    </w:lvl>
    <w:lvl w:ilvl="3" w:tentative="0">
      <w:start w:val="1"/>
      <w:numFmt w:val="decimal"/>
      <w:lvlText w:val="%4."/>
      <w:lvlJc w:val="left"/>
      <w:pPr>
        <w:ind w:left="3949" w:hanging="360"/>
      </w:pPr>
    </w:lvl>
    <w:lvl w:ilvl="4" w:tentative="0">
      <w:start w:val="1"/>
      <w:numFmt w:val="lowerLetter"/>
      <w:lvlText w:val="%5."/>
      <w:lvlJc w:val="left"/>
      <w:pPr>
        <w:ind w:left="4669" w:hanging="360"/>
      </w:pPr>
    </w:lvl>
    <w:lvl w:ilvl="5" w:tentative="0">
      <w:start w:val="1"/>
      <w:numFmt w:val="lowerRoman"/>
      <w:lvlText w:val="%6."/>
      <w:lvlJc w:val="right"/>
      <w:pPr>
        <w:ind w:left="5389" w:hanging="180"/>
      </w:pPr>
    </w:lvl>
    <w:lvl w:ilvl="6" w:tentative="0">
      <w:start w:val="1"/>
      <w:numFmt w:val="decimal"/>
      <w:lvlText w:val="%7."/>
      <w:lvlJc w:val="left"/>
      <w:pPr>
        <w:ind w:left="6109" w:hanging="360"/>
      </w:pPr>
    </w:lvl>
    <w:lvl w:ilvl="7" w:tentative="0">
      <w:start w:val="1"/>
      <w:numFmt w:val="lowerLetter"/>
      <w:lvlText w:val="%8."/>
      <w:lvlJc w:val="left"/>
      <w:pPr>
        <w:ind w:left="6829" w:hanging="360"/>
      </w:pPr>
    </w:lvl>
    <w:lvl w:ilvl="8" w:tentative="0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B0"/>
    <w:rsid w:val="00002764"/>
    <w:rsid w:val="00003E68"/>
    <w:rsid w:val="000138CE"/>
    <w:rsid w:val="00037653"/>
    <w:rsid w:val="00056B38"/>
    <w:rsid w:val="00057D5C"/>
    <w:rsid w:val="00061943"/>
    <w:rsid w:val="000855F8"/>
    <w:rsid w:val="000A4E0F"/>
    <w:rsid w:val="000B68EA"/>
    <w:rsid w:val="000E2724"/>
    <w:rsid w:val="000E6F84"/>
    <w:rsid w:val="001506F9"/>
    <w:rsid w:val="001623D7"/>
    <w:rsid w:val="00176D58"/>
    <w:rsid w:val="001A32C0"/>
    <w:rsid w:val="001C1B7A"/>
    <w:rsid w:val="001E6C36"/>
    <w:rsid w:val="00257362"/>
    <w:rsid w:val="0026598D"/>
    <w:rsid w:val="002824A2"/>
    <w:rsid w:val="002C4525"/>
    <w:rsid w:val="002D352B"/>
    <w:rsid w:val="002E6D1E"/>
    <w:rsid w:val="002E735F"/>
    <w:rsid w:val="00301576"/>
    <w:rsid w:val="00303CD3"/>
    <w:rsid w:val="00307731"/>
    <w:rsid w:val="00307D9D"/>
    <w:rsid w:val="003139E4"/>
    <w:rsid w:val="0032184F"/>
    <w:rsid w:val="00385F00"/>
    <w:rsid w:val="003A120C"/>
    <w:rsid w:val="003B7C3D"/>
    <w:rsid w:val="003C1EC5"/>
    <w:rsid w:val="003C301B"/>
    <w:rsid w:val="003D1794"/>
    <w:rsid w:val="003E687E"/>
    <w:rsid w:val="00440555"/>
    <w:rsid w:val="00441711"/>
    <w:rsid w:val="00445C23"/>
    <w:rsid w:val="00460717"/>
    <w:rsid w:val="00462ED8"/>
    <w:rsid w:val="004839C4"/>
    <w:rsid w:val="004840F4"/>
    <w:rsid w:val="004863CC"/>
    <w:rsid w:val="004A0C96"/>
    <w:rsid w:val="004A4BC9"/>
    <w:rsid w:val="004B51D2"/>
    <w:rsid w:val="004E6CB0"/>
    <w:rsid w:val="004E7637"/>
    <w:rsid w:val="005003B0"/>
    <w:rsid w:val="00541077"/>
    <w:rsid w:val="00575550"/>
    <w:rsid w:val="00575BF9"/>
    <w:rsid w:val="00587EBB"/>
    <w:rsid w:val="005A5031"/>
    <w:rsid w:val="005E2C1E"/>
    <w:rsid w:val="00601A6B"/>
    <w:rsid w:val="006038FD"/>
    <w:rsid w:val="00633CBE"/>
    <w:rsid w:val="00644822"/>
    <w:rsid w:val="0065114C"/>
    <w:rsid w:val="00660588"/>
    <w:rsid w:val="00693B01"/>
    <w:rsid w:val="006A5B81"/>
    <w:rsid w:val="006B1096"/>
    <w:rsid w:val="006E116C"/>
    <w:rsid w:val="006F059F"/>
    <w:rsid w:val="00721E59"/>
    <w:rsid w:val="00724753"/>
    <w:rsid w:val="00736D5C"/>
    <w:rsid w:val="007541DA"/>
    <w:rsid w:val="00754E20"/>
    <w:rsid w:val="007A6D8C"/>
    <w:rsid w:val="007D0F27"/>
    <w:rsid w:val="007D5142"/>
    <w:rsid w:val="007F1D79"/>
    <w:rsid w:val="007F6B72"/>
    <w:rsid w:val="00866FFD"/>
    <w:rsid w:val="00870D7A"/>
    <w:rsid w:val="00871771"/>
    <w:rsid w:val="00874703"/>
    <w:rsid w:val="00891221"/>
    <w:rsid w:val="00894162"/>
    <w:rsid w:val="008A40F5"/>
    <w:rsid w:val="008B7A2D"/>
    <w:rsid w:val="008C01BD"/>
    <w:rsid w:val="008D5970"/>
    <w:rsid w:val="008E235C"/>
    <w:rsid w:val="00900720"/>
    <w:rsid w:val="00913BFC"/>
    <w:rsid w:val="00923D49"/>
    <w:rsid w:val="00947C5E"/>
    <w:rsid w:val="00951472"/>
    <w:rsid w:val="009563F4"/>
    <w:rsid w:val="00973C7F"/>
    <w:rsid w:val="00981AD9"/>
    <w:rsid w:val="00A21C5A"/>
    <w:rsid w:val="00A26F3E"/>
    <w:rsid w:val="00A30960"/>
    <w:rsid w:val="00A370F9"/>
    <w:rsid w:val="00A606C4"/>
    <w:rsid w:val="00A8124E"/>
    <w:rsid w:val="00A850FB"/>
    <w:rsid w:val="00A868E0"/>
    <w:rsid w:val="00A92900"/>
    <w:rsid w:val="00AC3FB7"/>
    <w:rsid w:val="00AE7F3B"/>
    <w:rsid w:val="00B64B27"/>
    <w:rsid w:val="00B84749"/>
    <w:rsid w:val="00B90020"/>
    <w:rsid w:val="00BA6C9E"/>
    <w:rsid w:val="00BE6CBE"/>
    <w:rsid w:val="00C12DAC"/>
    <w:rsid w:val="00C14BE1"/>
    <w:rsid w:val="00C32C2A"/>
    <w:rsid w:val="00C45F08"/>
    <w:rsid w:val="00C53B62"/>
    <w:rsid w:val="00C65118"/>
    <w:rsid w:val="00C84138"/>
    <w:rsid w:val="00C85597"/>
    <w:rsid w:val="00C86B32"/>
    <w:rsid w:val="00CC22DF"/>
    <w:rsid w:val="00CC710E"/>
    <w:rsid w:val="00CD41E4"/>
    <w:rsid w:val="00CE07F3"/>
    <w:rsid w:val="00CF042E"/>
    <w:rsid w:val="00CF37D1"/>
    <w:rsid w:val="00CF576A"/>
    <w:rsid w:val="00D15EC9"/>
    <w:rsid w:val="00D22830"/>
    <w:rsid w:val="00D25DB9"/>
    <w:rsid w:val="00D352F9"/>
    <w:rsid w:val="00D525F2"/>
    <w:rsid w:val="00D54128"/>
    <w:rsid w:val="00D662E7"/>
    <w:rsid w:val="00D72E3C"/>
    <w:rsid w:val="00D945C7"/>
    <w:rsid w:val="00DE4654"/>
    <w:rsid w:val="00DE7089"/>
    <w:rsid w:val="00DF78D0"/>
    <w:rsid w:val="00E21DAC"/>
    <w:rsid w:val="00E3348B"/>
    <w:rsid w:val="00E51951"/>
    <w:rsid w:val="00E5510D"/>
    <w:rsid w:val="00E55DFF"/>
    <w:rsid w:val="00E654A8"/>
    <w:rsid w:val="00E778AE"/>
    <w:rsid w:val="00E82B27"/>
    <w:rsid w:val="00EA187D"/>
    <w:rsid w:val="00EB169F"/>
    <w:rsid w:val="00EE2AE5"/>
    <w:rsid w:val="00F0483D"/>
    <w:rsid w:val="00F07E63"/>
    <w:rsid w:val="00F312FD"/>
    <w:rsid w:val="00F4564B"/>
    <w:rsid w:val="00F57D29"/>
    <w:rsid w:val="00F7232D"/>
    <w:rsid w:val="00F93FFF"/>
    <w:rsid w:val="00FD6737"/>
    <w:rsid w:val="0F697306"/>
    <w:rsid w:val="11B44DDA"/>
    <w:rsid w:val="5BE34DD7"/>
    <w:rsid w:val="6862621A"/>
    <w:rsid w:val="7B700614"/>
    <w:rsid w:val="7FF64F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40" w:after="0"/>
      <w:outlineLvl w:val="1"/>
    </w:pPr>
    <w:rPr>
      <w:rFonts w:ascii="Cambria" w:hAnsi="Cambria" w:eastAsia="SimSun" w:cs="Times New Roman"/>
      <w:color w:val="366091"/>
      <w:sz w:val="26"/>
      <w:szCs w:val="26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 w:eastAsia="SimSun" w:cs="Times New Roman"/>
      <w:b/>
      <w:bCs/>
      <w:color w:val="4F81BD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Заголовок 1 Знак"/>
    <w:basedOn w:val="5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4">
    <w:name w:val="Заголовок 2 Знак"/>
    <w:basedOn w:val="5"/>
    <w:link w:val="3"/>
    <w:semiHidden/>
    <w:qFormat/>
    <w:uiPriority w:val="9"/>
    <w:rPr>
      <w:rFonts w:ascii="Cambria" w:hAnsi="Cambria" w:eastAsia="SimSun" w:cs="Times New Roman"/>
      <w:color w:val="366091"/>
      <w:sz w:val="26"/>
      <w:szCs w:val="26"/>
    </w:rPr>
  </w:style>
  <w:style w:type="character" w:customStyle="1" w:styleId="15">
    <w:name w:val="Заголовок 3 Знак"/>
    <w:basedOn w:val="5"/>
    <w:link w:val="4"/>
    <w:qFormat/>
    <w:uiPriority w:val="9"/>
    <w:rPr>
      <w:rFonts w:ascii="Cambria" w:hAnsi="Cambria" w:eastAsia="SimSun" w:cs="Times New Roman"/>
      <w:b/>
      <w:bCs/>
      <w:color w:val="4F81BD"/>
    </w:rPr>
  </w:style>
  <w:style w:type="character" w:customStyle="1" w:styleId="16">
    <w:name w:val="Верхний колонтитул Знак"/>
    <w:basedOn w:val="5"/>
    <w:link w:val="10"/>
    <w:qFormat/>
    <w:uiPriority w:val="99"/>
  </w:style>
  <w:style w:type="character" w:customStyle="1" w:styleId="17">
    <w:name w:val="Нижний колонтитул Знак"/>
    <w:basedOn w:val="5"/>
    <w:link w:val="11"/>
    <w:qFormat/>
    <w:uiPriority w:val="99"/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Оглавление 11"/>
    <w:basedOn w:val="1"/>
    <w:qFormat/>
    <w:uiPriority w:val="1"/>
    <w:pPr>
      <w:widowControl w:val="0"/>
      <w:autoSpaceDE w:val="0"/>
      <w:autoSpaceDN w:val="0"/>
      <w:spacing w:before="136" w:after="0" w:line="240" w:lineRule="auto"/>
      <w:ind w:left="506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 w:eastAsia="Times New Roman" w:cs="Times New Roman"/>
      <w:lang w:eastAsia="en-US"/>
    </w:rPr>
  </w:style>
  <w:style w:type="paragraph" w:customStyle="1" w:styleId="21">
    <w:name w:val="futuris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2">
    <w:name w:val="richfact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33</Pages>
  <Words>7180</Words>
  <Characters>55378</Characters>
  <Lines>398</Lines>
  <Paragraphs>112</Paragraphs>
  <TotalTime>26</TotalTime>
  <ScaleCrop>false</ScaleCrop>
  <LinksUpToDate>false</LinksUpToDate>
  <CharactersWithSpaces>62570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2025-04-26T04:13:00Z</dcterms:created>
  <dc:creator>15S-FQ2062UR</dc:creator>
  <cp:lastModifiedBy>Татьяна Юдицкая</cp:lastModifiedBy>
  <dcterms:modified xsi:type="dcterms:W3CDTF">2026-07-22T01:35:22Z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9FD5A974194F478A94C9577F4F02287A_13</vt:lpwstr>
  </property>
  <property fmtid="{D5CDD505-2E9C-101B-9397-08002B2CF9AE}" pid="4" name="KSOTemplateDocerSaveRecord">
    <vt:lpwstr>eyJoZGlkIjoiNTgyMTEwNzkxNDk4YjA5MGFkMzVkYjIyZjY5N2ZkODMiLCJ1c2VySWQiOiI4NDIyNTMzMTUyODIifQ==</vt:lpwstr>
  </property>
</Properties>
</file>