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CBDF5" w14:textId="77777777" w:rsidR="00DE0D10" w:rsidRPr="00436136" w:rsidRDefault="00DE0D10" w:rsidP="00DE0D10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43613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МИНИСТЕРСТВО НАУКИ И ВЫСШЕГО ОБРАЗОВАНИЯ </w:t>
      </w:r>
      <w:r w:rsidRPr="0043613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br/>
        <w:t>РОССИЙСКОЙ ФЕДЕРАЦИИ</w:t>
      </w:r>
    </w:p>
    <w:p w14:paraId="76503DE3" w14:textId="77777777" w:rsidR="00DE0D10" w:rsidRPr="00436136" w:rsidRDefault="00DE0D10" w:rsidP="00DE0D1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61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ВЛАДИВОСТОКСКИЙ ГОСУДАРСТВЕННЫЙ УНИВЕРСИТЕТ </w:t>
      </w:r>
    </w:p>
    <w:p w14:paraId="7F631E27" w14:textId="77777777" w:rsidR="00DE0D10" w:rsidRPr="00436136" w:rsidRDefault="00DE0D10" w:rsidP="00DE0D1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61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ИНСТИТУТ МЕЖДУНАРОДНОГО БИЗНЕСА, </w:t>
      </w:r>
      <w:r w:rsidRPr="004361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ЭКОНОМИКИ И УПРАВЛЕНИЯ</w:t>
      </w:r>
    </w:p>
    <w:p w14:paraId="1888C591" w14:textId="77777777" w:rsidR="00DE0D10" w:rsidRPr="00436136" w:rsidRDefault="00DE0D10" w:rsidP="00DE0D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61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КАФЕДРА ЭКОНОМИКИ УПРАВЛЕНИЯ</w:t>
      </w:r>
    </w:p>
    <w:p w14:paraId="521007D8" w14:textId="77777777" w:rsidR="00DE0D10" w:rsidRPr="00436136" w:rsidRDefault="00DE0D10" w:rsidP="00DE0D1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4C09BDD6" w14:textId="77777777" w:rsidR="00DE0D10" w:rsidRPr="00436136" w:rsidRDefault="00DE0D10" w:rsidP="00DE0D1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2CC4A8D0" w14:textId="77777777" w:rsidR="00DE0D10" w:rsidRPr="00436136" w:rsidRDefault="00DE0D10" w:rsidP="00DE0D10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0F8D06E3" w14:textId="77777777" w:rsidR="00DE0D10" w:rsidRPr="00436136" w:rsidRDefault="00DE0D10" w:rsidP="00DE0D10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304DE558" w14:textId="77777777" w:rsidR="00DE0D10" w:rsidRPr="00436136" w:rsidRDefault="00DE0D10" w:rsidP="00DE0D10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37642142" w14:textId="77777777" w:rsidR="00DE0D10" w:rsidRPr="00436136" w:rsidRDefault="00DE0D10" w:rsidP="00DE0D10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175CB4F9" w14:textId="77777777" w:rsidR="00DE0D10" w:rsidRPr="00436136" w:rsidRDefault="00DE0D10" w:rsidP="00DE0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4"/>
          <w:lang w:eastAsia="ru-RU"/>
          <w14:ligatures w14:val="none"/>
        </w:rPr>
      </w:pPr>
    </w:p>
    <w:p w14:paraId="5A977FAF" w14:textId="77777777" w:rsidR="00DE0D10" w:rsidRPr="000F16EA" w:rsidRDefault="00DE0D10" w:rsidP="000F16EA">
      <w:pPr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44"/>
          <w:szCs w:val="44"/>
          <w:lang w:eastAsia="ru-RU"/>
          <w14:ligatures w14:val="none"/>
        </w:rPr>
      </w:pPr>
      <w:bookmarkStart w:id="0" w:name="_Toc234074092"/>
      <w:r w:rsidRPr="000F16EA">
        <w:rPr>
          <w:rFonts w:ascii="Times New Roman" w:eastAsia="Times New Roman" w:hAnsi="Times New Roman" w:cs="Times New Roman"/>
          <w:color w:val="000000" w:themeColor="text1"/>
          <w:kern w:val="0"/>
          <w:sz w:val="44"/>
          <w:szCs w:val="44"/>
          <w:lang w:eastAsia="ru-RU"/>
          <w14:ligatures w14:val="none"/>
        </w:rPr>
        <w:t>ОТЧЕТ</w:t>
      </w:r>
      <w:bookmarkEnd w:id="0"/>
    </w:p>
    <w:p w14:paraId="010A4481" w14:textId="1DF6619C" w:rsidR="00DE0D10" w:rsidRPr="00436136" w:rsidRDefault="00DE0D10" w:rsidP="00DE0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44"/>
          <w:szCs w:val="44"/>
          <w:lang w:eastAsia="ru-RU"/>
          <w14:ligatures w14:val="none"/>
        </w:rPr>
      </w:pPr>
      <w:r w:rsidRPr="00436136">
        <w:rPr>
          <w:rFonts w:ascii="Times New Roman" w:eastAsia="Times New Roman" w:hAnsi="Times New Roman" w:cs="Times New Roman"/>
          <w:color w:val="000000" w:themeColor="text1"/>
          <w:kern w:val="0"/>
          <w:sz w:val="44"/>
          <w:szCs w:val="44"/>
          <w:lang w:eastAsia="ru-RU"/>
          <w14:ligatures w14:val="none"/>
        </w:rPr>
        <w:t xml:space="preserve">ПО </w:t>
      </w:r>
      <w:r w:rsidR="000F16EA" w:rsidRPr="000F16EA">
        <w:rPr>
          <w:rFonts w:ascii="Times New Roman" w:eastAsia="Times New Roman" w:hAnsi="Times New Roman" w:cs="Times New Roman"/>
          <w:caps/>
          <w:color w:val="000000" w:themeColor="text1"/>
          <w:kern w:val="0"/>
          <w:sz w:val="44"/>
          <w:szCs w:val="44"/>
          <w:lang w:eastAsia="ru-RU"/>
          <w14:ligatures w14:val="none"/>
        </w:rPr>
        <w:t>Производственной научно-исследовательской практике</w:t>
      </w:r>
      <w:r w:rsidR="000F16EA" w:rsidRPr="000F16EA">
        <w:rPr>
          <w:rFonts w:ascii="Times New Roman" w:eastAsia="Times New Roman" w:hAnsi="Times New Roman" w:cs="Times New Roman"/>
          <w:color w:val="000000" w:themeColor="text1"/>
          <w:kern w:val="0"/>
          <w:sz w:val="44"/>
          <w:szCs w:val="44"/>
          <w:lang w:eastAsia="ru-RU"/>
          <w14:ligatures w14:val="none"/>
        </w:rPr>
        <w:t xml:space="preserve"> </w:t>
      </w:r>
      <w:r w:rsidR="000F16EA">
        <w:rPr>
          <w:rFonts w:ascii="Times New Roman" w:eastAsia="Times New Roman" w:hAnsi="Times New Roman" w:cs="Times New Roman"/>
          <w:color w:val="000000" w:themeColor="text1"/>
          <w:kern w:val="0"/>
          <w:sz w:val="44"/>
          <w:szCs w:val="44"/>
          <w:lang w:eastAsia="ru-RU"/>
          <w14:ligatures w14:val="none"/>
        </w:rPr>
        <w:t xml:space="preserve">            </w:t>
      </w:r>
      <w:proofErr w:type="gramStart"/>
      <w:r w:rsidR="000F16EA">
        <w:rPr>
          <w:rFonts w:ascii="Times New Roman" w:eastAsia="Times New Roman" w:hAnsi="Times New Roman" w:cs="Times New Roman"/>
          <w:color w:val="000000" w:themeColor="text1"/>
          <w:kern w:val="0"/>
          <w:sz w:val="44"/>
          <w:szCs w:val="44"/>
          <w:lang w:eastAsia="ru-RU"/>
          <w14:ligatures w14:val="none"/>
        </w:rPr>
        <w:t xml:space="preserve">   </w:t>
      </w:r>
      <w:r w:rsidRPr="00436136">
        <w:rPr>
          <w:rFonts w:ascii="Times New Roman" w:eastAsia="Times New Roman" w:hAnsi="Times New Roman" w:cs="Times New Roman"/>
          <w:color w:val="000000" w:themeColor="text1"/>
          <w:kern w:val="0"/>
          <w:sz w:val="44"/>
          <w:szCs w:val="44"/>
          <w:lang w:eastAsia="ru-RU"/>
          <w14:ligatures w14:val="none"/>
        </w:rPr>
        <w:t>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0"/>
          <w:sz w:val="44"/>
          <w:szCs w:val="44"/>
          <w:lang w:eastAsia="ru-RU"/>
          <w14:ligatures w14:val="none"/>
        </w:rPr>
        <w:t>2</w:t>
      </w:r>
      <w:r w:rsidRPr="00436136">
        <w:rPr>
          <w:rFonts w:ascii="Times New Roman" w:eastAsia="Times New Roman" w:hAnsi="Times New Roman" w:cs="Times New Roman"/>
          <w:color w:val="000000" w:themeColor="text1"/>
          <w:kern w:val="0"/>
          <w:sz w:val="44"/>
          <w:szCs w:val="44"/>
          <w:lang w:eastAsia="ru-RU"/>
          <w14:ligatures w14:val="none"/>
        </w:rPr>
        <w:t xml:space="preserve"> семестр)</w:t>
      </w:r>
    </w:p>
    <w:p w14:paraId="01F2B9DF" w14:textId="77777777" w:rsidR="00DE0D10" w:rsidRPr="00436136" w:rsidRDefault="00DE0D10" w:rsidP="00DE0D10">
      <w:pPr>
        <w:spacing w:before="240" w:after="0" w:line="240" w:lineRule="auto"/>
        <w:ind w:right="-7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44"/>
          <w:szCs w:val="20"/>
          <w:lang w:eastAsia="ru-RU"/>
          <w14:ligatures w14:val="none"/>
        </w:rPr>
      </w:pPr>
    </w:p>
    <w:p w14:paraId="57D14B8C" w14:textId="77777777" w:rsidR="00DE0D10" w:rsidRPr="00436136" w:rsidRDefault="00DE0D10" w:rsidP="00DE0D10">
      <w:pPr>
        <w:spacing w:before="240" w:after="0" w:line="240" w:lineRule="auto"/>
        <w:ind w:right="-7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44"/>
          <w:szCs w:val="20"/>
          <w:lang w:eastAsia="ru-RU"/>
          <w14:ligatures w14:val="none"/>
        </w:rPr>
      </w:pPr>
    </w:p>
    <w:p w14:paraId="134C0D4B" w14:textId="77777777" w:rsidR="00DE0D10" w:rsidRPr="00436136" w:rsidRDefault="00DE0D10" w:rsidP="00DE0D10">
      <w:pPr>
        <w:spacing w:before="240" w:after="0" w:line="240" w:lineRule="auto"/>
        <w:ind w:right="-7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44"/>
          <w:szCs w:val="20"/>
          <w:lang w:eastAsia="ru-RU"/>
          <w14:ligatures w14:val="none"/>
        </w:rPr>
      </w:pPr>
    </w:p>
    <w:p w14:paraId="67A6AFCA" w14:textId="77777777" w:rsidR="00DE0D10" w:rsidRPr="00436136" w:rsidRDefault="00DE0D10" w:rsidP="00DE0D10">
      <w:pPr>
        <w:spacing w:before="240" w:after="0" w:line="240" w:lineRule="auto"/>
        <w:ind w:right="-74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44"/>
          <w:szCs w:val="20"/>
          <w:lang w:eastAsia="ru-RU"/>
          <w14:ligatures w14:val="none"/>
        </w:rPr>
      </w:pPr>
    </w:p>
    <w:tbl>
      <w:tblPr>
        <w:tblW w:w="9690" w:type="dxa"/>
        <w:tblLayout w:type="fixed"/>
        <w:tblLook w:val="04A0" w:firstRow="1" w:lastRow="0" w:firstColumn="1" w:lastColumn="0" w:noHBand="0" w:noVBand="1"/>
      </w:tblPr>
      <w:tblGrid>
        <w:gridCol w:w="3971"/>
        <w:gridCol w:w="2491"/>
        <w:gridCol w:w="3228"/>
      </w:tblGrid>
      <w:tr w:rsidR="00DE0D10" w:rsidRPr="00436136" w14:paraId="52327E16" w14:textId="77777777" w:rsidTr="00D516E5">
        <w:tc>
          <w:tcPr>
            <w:tcW w:w="3972" w:type="dxa"/>
            <w:hideMark/>
          </w:tcPr>
          <w:p w14:paraId="00B2C568" w14:textId="77777777" w:rsidR="00DE0D10" w:rsidRPr="00436136" w:rsidRDefault="00DE0D10" w:rsidP="00D516E5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3613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Студент</w:t>
            </w:r>
          </w:p>
        </w:tc>
        <w:tc>
          <w:tcPr>
            <w:tcW w:w="2491" w:type="dxa"/>
            <w:hideMark/>
          </w:tcPr>
          <w:p w14:paraId="654BE545" w14:textId="77777777" w:rsidR="00DE0D10" w:rsidRPr="00436136" w:rsidRDefault="00DE0D10" w:rsidP="00D516E5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3613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______________</w:t>
            </w:r>
          </w:p>
        </w:tc>
        <w:tc>
          <w:tcPr>
            <w:tcW w:w="3228" w:type="dxa"/>
            <w:hideMark/>
          </w:tcPr>
          <w:p w14:paraId="2BA774A4" w14:textId="77777777" w:rsidR="00DE0D10" w:rsidRPr="00436136" w:rsidRDefault="00DE0D10" w:rsidP="00D5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43613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В.Е.</w:t>
            </w:r>
            <w:proofErr w:type="gramEnd"/>
            <w:r w:rsidRPr="0043613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Епифанова</w:t>
            </w:r>
          </w:p>
        </w:tc>
      </w:tr>
      <w:tr w:rsidR="00DE0D10" w:rsidRPr="00436136" w14:paraId="50E8E6B9" w14:textId="77777777" w:rsidTr="00D516E5">
        <w:tc>
          <w:tcPr>
            <w:tcW w:w="3972" w:type="dxa"/>
            <w:hideMark/>
          </w:tcPr>
          <w:p w14:paraId="761BE8E8" w14:textId="77777777" w:rsidR="00DE0D10" w:rsidRPr="00436136" w:rsidRDefault="00DE0D10" w:rsidP="00D516E5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43613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группы ММН-25-СУ1</w:t>
            </w:r>
          </w:p>
        </w:tc>
        <w:tc>
          <w:tcPr>
            <w:tcW w:w="2491" w:type="dxa"/>
          </w:tcPr>
          <w:p w14:paraId="27C30119" w14:textId="77777777" w:rsidR="00DE0D10" w:rsidRPr="00436136" w:rsidRDefault="00DE0D10" w:rsidP="00D516E5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28" w:type="dxa"/>
          </w:tcPr>
          <w:p w14:paraId="7F0DD673" w14:textId="77777777" w:rsidR="00DE0D10" w:rsidRPr="00436136" w:rsidRDefault="00DE0D10" w:rsidP="00D5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E0D10" w:rsidRPr="00436136" w14:paraId="5267F1A6" w14:textId="77777777" w:rsidTr="00D516E5">
        <w:tc>
          <w:tcPr>
            <w:tcW w:w="3972" w:type="dxa"/>
          </w:tcPr>
          <w:p w14:paraId="11E8253F" w14:textId="77777777" w:rsidR="00DE0D10" w:rsidRPr="00436136" w:rsidRDefault="00DE0D10" w:rsidP="00D516E5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1E993CB" w14:textId="77777777" w:rsidR="00DE0D10" w:rsidRPr="00436136" w:rsidRDefault="00DE0D10" w:rsidP="00D516E5">
            <w:pPr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3613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Руководитель</w:t>
            </w:r>
          </w:p>
          <w:p w14:paraId="48D7852C" w14:textId="77777777" w:rsidR="00DE0D10" w:rsidRPr="00436136" w:rsidRDefault="00DE0D10" w:rsidP="00D516E5">
            <w:pPr>
              <w:spacing w:after="0" w:line="240" w:lineRule="auto"/>
              <w:ind w:right="963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3613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канд. экон. наук. доцент</w:t>
            </w:r>
          </w:p>
        </w:tc>
        <w:tc>
          <w:tcPr>
            <w:tcW w:w="2491" w:type="dxa"/>
          </w:tcPr>
          <w:p w14:paraId="0F1CCC31" w14:textId="77777777" w:rsidR="00DE0D10" w:rsidRPr="00436136" w:rsidRDefault="00DE0D10" w:rsidP="00D516E5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ED23A28" w14:textId="77777777" w:rsidR="00DE0D10" w:rsidRPr="00436136" w:rsidRDefault="00DE0D10" w:rsidP="00D516E5">
            <w:p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3613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______________</w:t>
            </w:r>
          </w:p>
        </w:tc>
        <w:tc>
          <w:tcPr>
            <w:tcW w:w="3228" w:type="dxa"/>
          </w:tcPr>
          <w:p w14:paraId="420DFFE0" w14:textId="77777777" w:rsidR="00DE0D10" w:rsidRPr="00436136" w:rsidRDefault="00DE0D10" w:rsidP="00D5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E1E0B12" w14:textId="77777777" w:rsidR="00DE0D10" w:rsidRPr="00436136" w:rsidRDefault="00DE0D10" w:rsidP="00D5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3613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>И. В. Попова</w:t>
            </w:r>
          </w:p>
          <w:p w14:paraId="519B6B15" w14:textId="77777777" w:rsidR="00DE0D10" w:rsidRPr="00436136" w:rsidRDefault="00DE0D10" w:rsidP="00D51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78AE5228" w14:textId="77777777" w:rsidR="00DE0D10" w:rsidRPr="00436136" w:rsidRDefault="00DE0D10" w:rsidP="00DE0D10">
      <w:pPr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20"/>
          <w:lang w:eastAsia="ru-RU"/>
          <w14:ligatures w14:val="none"/>
        </w:rPr>
      </w:pPr>
    </w:p>
    <w:p w14:paraId="5292B51A" w14:textId="77777777" w:rsidR="00DE0D10" w:rsidRPr="00436136" w:rsidRDefault="00DE0D10" w:rsidP="00DE0D10">
      <w:pPr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20"/>
          <w:lang w:eastAsia="ru-RU"/>
          <w14:ligatures w14:val="none"/>
        </w:rPr>
      </w:pPr>
    </w:p>
    <w:p w14:paraId="613A87ED" w14:textId="77777777" w:rsidR="00DE0D10" w:rsidRPr="00436136" w:rsidRDefault="00DE0D10" w:rsidP="00DE0D10">
      <w:pPr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20"/>
          <w:lang w:eastAsia="ru-RU"/>
          <w14:ligatures w14:val="none"/>
        </w:rPr>
      </w:pPr>
    </w:p>
    <w:p w14:paraId="1D7D7501" w14:textId="77777777" w:rsidR="00DE0D10" w:rsidRPr="00436136" w:rsidRDefault="00DE0D10" w:rsidP="00DE0D10">
      <w:pPr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20"/>
          <w:lang w:eastAsia="ru-RU"/>
          <w14:ligatures w14:val="none"/>
        </w:rPr>
      </w:pPr>
    </w:p>
    <w:p w14:paraId="70FE5C09" w14:textId="77777777" w:rsidR="00DE0D10" w:rsidRPr="00436136" w:rsidRDefault="00DE0D10" w:rsidP="00DE0D10">
      <w:pPr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20"/>
          <w:lang w:eastAsia="ru-RU"/>
          <w14:ligatures w14:val="none"/>
        </w:rPr>
      </w:pPr>
    </w:p>
    <w:p w14:paraId="691DB9B5" w14:textId="77777777" w:rsidR="00DE0D10" w:rsidRPr="00436136" w:rsidRDefault="00DE0D10" w:rsidP="00DE0D10">
      <w:pPr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20"/>
          <w:lang w:eastAsia="ru-RU"/>
          <w14:ligatures w14:val="none"/>
        </w:rPr>
      </w:pPr>
    </w:p>
    <w:p w14:paraId="346A3915" w14:textId="77777777" w:rsidR="00DE0D10" w:rsidRPr="00436136" w:rsidRDefault="00DE0D10" w:rsidP="00DE0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ar-SA"/>
          <w14:ligatures w14:val="none"/>
        </w:rPr>
      </w:pPr>
      <w:r w:rsidRPr="0043613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Владивосток </w:t>
      </w:r>
      <w:r w:rsidRPr="0043613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en-US" w:eastAsia="ru-RU"/>
          <w14:ligatures w14:val="none"/>
        </w:rPr>
        <w:t>202</w:t>
      </w:r>
      <w:r w:rsidRPr="00436136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6</w:t>
      </w:r>
    </w:p>
    <w:p w14:paraId="6281D1D0" w14:textId="4B2AA99C" w:rsidR="00753CC0" w:rsidRDefault="00753CC0" w:rsidP="00753C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sdt>
      <w:sdtPr>
        <w:id w:val="-180406283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8"/>
          <w:szCs w:val="28"/>
        </w:rPr>
      </w:sdtEndPr>
      <w:sdtContent>
        <w:p w14:paraId="30F74AA9" w14:textId="7573BB92" w:rsidR="000F198B" w:rsidRPr="000F198B" w:rsidRDefault="000F198B" w:rsidP="000F198B">
          <w:pPr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0F198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0F198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F198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34074093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…………………………………………………………………………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_Toc234074093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F7FF20" w14:textId="119BAB9E" w:rsidR="000F198B" w:rsidRPr="000F198B" w:rsidRDefault="000F198B" w:rsidP="000F198B">
          <w:pPr>
            <w:pStyle w:val="23"/>
            <w:tabs>
              <w:tab w:val="left" w:pos="720"/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094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Pr="000F198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Теоретико-методологические основы исследования методического инструментария стратегических управленческих решений в государственном секторе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_Toc234074094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033E46" w14:textId="49CD4E7A" w:rsidR="000F198B" w:rsidRPr="000F198B" w:rsidRDefault="000F198B" w:rsidP="000F198B">
          <w:pPr>
            <w:pStyle w:val="31"/>
            <w:tabs>
              <w:tab w:val="left" w:pos="1200"/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095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1.1</w:t>
            </w:r>
            <w:r w:rsidRPr="000F198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Сущность, структура и эволюция методического инструментария стратегического управления в публичном секторе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_Toc234074095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78E07E" w14:textId="7C25FDA7" w:rsidR="000F198B" w:rsidRPr="000F198B" w:rsidRDefault="000F198B" w:rsidP="000F198B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096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1.1.1 Содержание понятия «методический инструментарий»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_Toc234074096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490C2D" w14:textId="1AC7E10D" w:rsidR="000F198B" w:rsidRPr="000F198B" w:rsidRDefault="000F198B" w:rsidP="000F198B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097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1.1.2 Классификации и компоненты методического инструментария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_Toc234074097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650259" w14:textId="32E48FF7" w:rsidR="000F198B" w:rsidRPr="000F198B" w:rsidRDefault="000F198B" w:rsidP="000F198B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098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1.1.3 Эволюция и тенденции развития методического инструментария в контексте цифровизации и новых вызовов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_Toc234074098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17EEAA" w14:textId="7753234C" w:rsidR="000F198B" w:rsidRPr="000F198B" w:rsidRDefault="000F198B" w:rsidP="000F198B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099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1.2 Особенности и ограничения применения стратегического инструментария в системе государственного управления РФ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_Toc234074099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2BE3E6" w14:textId="146F309D" w:rsidR="000F198B" w:rsidRPr="000F198B" w:rsidRDefault="000F198B" w:rsidP="000F198B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100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1.2.1 Специфика стратегических решений в государственном секторе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_Toc234074100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D2B6DC" w14:textId="62937600" w:rsidR="000F198B" w:rsidRPr="000F198B" w:rsidRDefault="000F198B" w:rsidP="000F198B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101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1.2.2 Влияние нормативно-правового регулирования на процессы стратегирования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_Toc234074101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BDFAA1" w14:textId="46919CB3" w:rsidR="000F198B" w:rsidRPr="000F198B" w:rsidRDefault="000F198B" w:rsidP="000F198B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102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1.2.3 Ключевые противоречия и проблемы внедрения современных инструментов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_Toc234074102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44AAC2" w14:textId="1EEB230E" w:rsidR="000F198B" w:rsidRPr="000F198B" w:rsidRDefault="000F198B" w:rsidP="000F198B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103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1.3 Методологические подходы к исследованию и оценке эффективности методического инструментария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_Toc234074103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57BE1F" w14:textId="156E668A" w:rsidR="000F198B" w:rsidRPr="000F198B" w:rsidRDefault="000F198B" w:rsidP="000F198B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104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1.3.1 Обоснование выбора системного, процессного, контекстуального и институционального подходов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_Toc234074104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25AFF6" w14:textId="32BE1DF6" w:rsidR="000F198B" w:rsidRPr="000F198B" w:rsidRDefault="000F198B" w:rsidP="000F198B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105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1.3.2 Критерии оценки эффективности методического инструментария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_Toc234074105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DC3E39" w14:textId="6716BF5C" w:rsidR="000F198B" w:rsidRPr="000F198B" w:rsidRDefault="000F198B" w:rsidP="000F198B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106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1.3.3 Авторская многоуровневая аналитическая модель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_Toc234074106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4BB99E" w14:textId="4B7E3CC1" w:rsidR="000F198B" w:rsidRPr="000F198B" w:rsidRDefault="000F198B" w:rsidP="000F198B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107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_Toc234074107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1CC2FC" w14:textId="2A06982B" w:rsidR="000F198B" w:rsidRPr="000F198B" w:rsidRDefault="000F198B" w:rsidP="000F198B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4074108" w:history="1">
            <w:r w:rsidRPr="000F198B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использованных источников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_Toc234074108 \h </w:instrTex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6E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Pr="000F198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710D33" w14:textId="77777777" w:rsidR="000F198B" w:rsidRPr="000F198B" w:rsidRDefault="000F198B" w:rsidP="000F198B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0F198B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4B0C32F6" w14:textId="761CD4D5" w:rsidR="00753CC0" w:rsidRPr="000F198B" w:rsidRDefault="0012104E" w:rsidP="000F198B">
      <w:pPr>
        <w:pStyle w:val="ac"/>
        <w:jc w:val="center"/>
        <w:rPr>
          <w:rFonts w:ascii="Arial CYR" w:hAnsi="Arial CYR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1" w:name="_Toc219409921"/>
      <w:bookmarkStart w:id="2" w:name="_Toc234074093"/>
      <w:r w:rsidR="00753CC0" w:rsidRPr="000F198B">
        <w:rPr>
          <w:rFonts w:ascii="Arial CYR" w:hAnsi="Arial CYR" w:cs="Times New Roman"/>
          <w:color w:val="auto"/>
          <w:sz w:val="30"/>
          <w:szCs w:val="30"/>
        </w:rPr>
        <w:lastRenderedPageBreak/>
        <w:t>Введение</w:t>
      </w:r>
      <w:bookmarkEnd w:id="1"/>
      <w:bookmarkEnd w:id="2"/>
    </w:p>
    <w:p w14:paraId="7627C0D0" w14:textId="77777777" w:rsidR="00DE0D10" w:rsidRPr="00DE0D10" w:rsidRDefault="00DE0D10" w:rsidP="00DE0D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1CD0DD" w14:textId="133D5F89" w:rsidR="00DE0D10" w:rsidRPr="00DE0D10" w:rsidRDefault="00DE0D10" w:rsidP="00753CC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Настоящий отчет составлен по итогам прохождения производственной научно-исследовательской практики (НИР) в рамках освоения образовательной программы магистратуры. Практика проходила в период </w:t>
      </w:r>
      <w:r w:rsidR="00753CC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E0D10">
        <w:rPr>
          <w:rFonts w:ascii="Times New Roman" w:hAnsi="Times New Roman" w:cs="Times New Roman"/>
          <w:sz w:val="28"/>
          <w:szCs w:val="28"/>
        </w:rPr>
        <w:t xml:space="preserve">с </w:t>
      </w:r>
      <w:r w:rsidR="00753CC0" w:rsidRPr="00753CC0">
        <w:rPr>
          <w:rFonts w:ascii="Times New Roman" w:hAnsi="Times New Roman" w:cs="Times New Roman"/>
          <w:sz w:val="28"/>
          <w:szCs w:val="28"/>
        </w:rPr>
        <w:t>25</w:t>
      </w:r>
      <w:r w:rsidR="00753CC0">
        <w:rPr>
          <w:rFonts w:ascii="Times New Roman" w:hAnsi="Times New Roman" w:cs="Times New Roman"/>
          <w:sz w:val="28"/>
          <w:szCs w:val="28"/>
        </w:rPr>
        <w:t xml:space="preserve"> мая </w:t>
      </w:r>
      <w:r w:rsidR="00753CC0" w:rsidRPr="00753CC0">
        <w:rPr>
          <w:rFonts w:ascii="Times New Roman" w:hAnsi="Times New Roman" w:cs="Times New Roman"/>
          <w:sz w:val="28"/>
          <w:szCs w:val="28"/>
        </w:rPr>
        <w:t>2026</w:t>
      </w:r>
      <w:r w:rsidR="00753CC0">
        <w:rPr>
          <w:rFonts w:ascii="Times New Roman" w:hAnsi="Times New Roman" w:cs="Times New Roman"/>
          <w:sz w:val="28"/>
          <w:szCs w:val="28"/>
        </w:rPr>
        <w:t xml:space="preserve"> года</w:t>
      </w:r>
      <w:r w:rsidR="00753CC0" w:rsidRPr="00753CC0">
        <w:rPr>
          <w:rFonts w:ascii="Times New Roman" w:hAnsi="Times New Roman" w:cs="Times New Roman"/>
          <w:sz w:val="28"/>
          <w:szCs w:val="28"/>
        </w:rPr>
        <w:t xml:space="preserve"> </w:t>
      </w:r>
      <w:r w:rsidR="00753CC0">
        <w:rPr>
          <w:rFonts w:ascii="Times New Roman" w:hAnsi="Times New Roman" w:cs="Times New Roman"/>
          <w:sz w:val="28"/>
          <w:szCs w:val="28"/>
        </w:rPr>
        <w:t>по</w:t>
      </w:r>
      <w:r w:rsidR="00753CC0" w:rsidRPr="00753CC0">
        <w:rPr>
          <w:rFonts w:ascii="Times New Roman" w:hAnsi="Times New Roman" w:cs="Times New Roman"/>
          <w:sz w:val="28"/>
          <w:szCs w:val="28"/>
        </w:rPr>
        <w:t xml:space="preserve"> 18</w:t>
      </w:r>
      <w:r w:rsidR="00753CC0">
        <w:rPr>
          <w:rFonts w:ascii="Times New Roman" w:hAnsi="Times New Roman" w:cs="Times New Roman"/>
          <w:sz w:val="28"/>
          <w:szCs w:val="28"/>
        </w:rPr>
        <w:t xml:space="preserve"> июля </w:t>
      </w:r>
      <w:r w:rsidR="00753CC0" w:rsidRPr="00753CC0">
        <w:rPr>
          <w:rFonts w:ascii="Times New Roman" w:hAnsi="Times New Roman" w:cs="Times New Roman"/>
          <w:sz w:val="28"/>
          <w:szCs w:val="28"/>
        </w:rPr>
        <w:t>2026</w:t>
      </w:r>
      <w:r w:rsidRPr="00DE0D10">
        <w:rPr>
          <w:rFonts w:ascii="Times New Roman" w:hAnsi="Times New Roman" w:cs="Times New Roman"/>
          <w:sz w:val="28"/>
          <w:szCs w:val="28"/>
        </w:rPr>
        <w:t xml:space="preserve"> года в форме стационарной работы </w:t>
      </w:r>
      <w:r w:rsidR="005273E0">
        <w:rPr>
          <w:rFonts w:ascii="Times New Roman" w:hAnsi="Times New Roman" w:cs="Times New Roman"/>
          <w:sz w:val="28"/>
          <w:szCs w:val="28"/>
        </w:rPr>
        <w:t>на месте прохождения практики</w:t>
      </w:r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r w:rsidR="00D37FA9">
        <w:rPr>
          <w:rFonts w:ascii="Times New Roman" w:hAnsi="Times New Roman" w:cs="Times New Roman"/>
          <w:sz w:val="28"/>
          <w:szCs w:val="28"/>
        </w:rPr>
        <w:t xml:space="preserve">(министерство экономического развития Приморского края) </w:t>
      </w:r>
      <w:r w:rsidRPr="00DE0D10">
        <w:rPr>
          <w:rFonts w:ascii="Times New Roman" w:hAnsi="Times New Roman" w:cs="Times New Roman"/>
          <w:sz w:val="28"/>
          <w:szCs w:val="28"/>
        </w:rPr>
        <w:t>и предполагала выполнение индивидуального задания, направленного на подготовку теоретической основы магистерской диссертации.</w:t>
      </w:r>
    </w:p>
    <w:p w14:paraId="77795D81" w14:textId="70D47087" w:rsidR="00DE0D10" w:rsidRPr="00DE0D10" w:rsidRDefault="00DE0D10" w:rsidP="00753CC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Тема магистерской диссертации: «Совершенствование методического инструментария разработки стратегических управленческих решений в органах государственной власти (на примере </w:t>
      </w:r>
      <w:r w:rsidR="005273E0">
        <w:rPr>
          <w:rFonts w:ascii="Times New Roman" w:hAnsi="Times New Roman" w:cs="Times New Roman"/>
          <w:sz w:val="28"/>
          <w:szCs w:val="28"/>
        </w:rPr>
        <w:t>м</w:t>
      </w:r>
      <w:r w:rsidRPr="00DE0D10">
        <w:rPr>
          <w:rFonts w:ascii="Times New Roman" w:hAnsi="Times New Roman" w:cs="Times New Roman"/>
          <w:sz w:val="28"/>
          <w:szCs w:val="28"/>
        </w:rPr>
        <w:t xml:space="preserve">инистерства экономического развития </w:t>
      </w:r>
      <w:r w:rsidR="00753CC0">
        <w:rPr>
          <w:rFonts w:ascii="Times New Roman" w:hAnsi="Times New Roman" w:cs="Times New Roman"/>
          <w:sz w:val="28"/>
          <w:szCs w:val="28"/>
        </w:rPr>
        <w:t>Приморского края.</w:t>
      </w:r>
      <w:r w:rsidRPr="00DE0D10">
        <w:rPr>
          <w:rFonts w:ascii="Times New Roman" w:hAnsi="Times New Roman" w:cs="Times New Roman"/>
          <w:sz w:val="28"/>
          <w:szCs w:val="28"/>
        </w:rPr>
        <w:t>)»</w:t>
      </w:r>
    </w:p>
    <w:p w14:paraId="06050A23" w14:textId="77777777" w:rsidR="00DE0D10" w:rsidRPr="00DE0D10" w:rsidRDefault="00DE0D10" w:rsidP="00753CC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Актуальность темы обусловлена возрастающей сложностью внешней среды, усилением геополитической и экономической неопределенности, что требует от органов государственной власти принятия более обоснованных, своевременных и адаптивных стратегических решений. В этих условиях ключевое значение приобретает методический инструментарий, позволяющий структурировать анализ, прогнозировать последствия и выбирать оптимальные альтернативы. Однако, как показывает практика, существующий инструментарий в российском государственном секторе зачастую носит формальный характер, не соответствует современным вызовам и слабо интегрирован в управленческие процессы. Это определяет необходимость теоретического осмысления проблемы и разработки практических рекомендаций по совершенствованию инструментария.</w:t>
      </w:r>
    </w:p>
    <w:p w14:paraId="05938E2E" w14:textId="77777777" w:rsidR="00DE0D10" w:rsidRPr="00DE0D10" w:rsidRDefault="00DE0D10" w:rsidP="00753CC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Цель прохождения производственной научно-исследовательской практики — систематизация теоретических и методологических основ исследования методического инструментария стратегических управленческих решений в государственном секторе, формирование концептуальной базы для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последующего эмпирического анализа и разработки практических рекомендаций.</w:t>
      </w:r>
    </w:p>
    <w:p w14:paraId="1C6739A1" w14:textId="1C6D5980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Задачи практики:</w:t>
      </w:r>
    </w:p>
    <w:p w14:paraId="3F1A9900" w14:textId="1EE65C2E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1.</w:t>
      </w:r>
      <w:r w:rsidR="00753CC0">
        <w:rPr>
          <w:rFonts w:ascii="Times New Roman" w:hAnsi="Times New Roman" w:cs="Times New Roman"/>
          <w:sz w:val="28"/>
          <w:szCs w:val="28"/>
        </w:rPr>
        <w:t> </w:t>
      </w:r>
      <w:r w:rsidRPr="00DE0D10">
        <w:rPr>
          <w:rFonts w:ascii="Times New Roman" w:hAnsi="Times New Roman" w:cs="Times New Roman"/>
          <w:sz w:val="28"/>
          <w:szCs w:val="28"/>
        </w:rPr>
        <w:t>Раскрыть сущность, структуру и эволюцию методического инструментария стратегического управления в публичном секторе.</w:t>
      </w:r>
    </w:p>
    <w:p w14:paraId="7A6C61B9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2. Выявить особенности и ограничения применения стратегического инструментария в системе государственного управления Российской Федерации.</w:t>
      </w:r>
    </w:p>
    <w:p w14:paraId="2AEDF669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3. Обосновать методологические подходы к исследованию и оценке эффективности методического инструментария.</w:t>
      </w:r>
    </w:p>
    <w:p w14:paraId="0612EBE5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4. Провести литературный обзор с анализом вклада отечественных и зарубежных авторов в исследуемую проблематику.</w:t>
      </w:r>
    </w:p>
    <w:p w14:paraId="08267D8C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Структура первой главы диссертационного исследования включает три пункта: пункт 1.1 посвящен сущности, классификации и эволюции методического инструментария; пункт 1.2 — особенностям и ограничениям его применения в российской системе государственного управления; пункт 1.3 — методологическим подходам к исследованию и оценке эффективности инструментария.</w:t>
      </w:r>
    </w:p>
    <w:p w14:paraId="079D0796" w14:textId="28B9B6FE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По результатам практики подготовлена научная </w:t>
      </w:r>
      <w:r w:rsidRPr="00D37FA9">
        <w:rPr>
          <w:rFonts w:ascii="Times New Roman" w:hAnsi="Times New Roman" w:cs="Times New Roman"/>
          <w:sz w:val="28"/>
          <w:szCs w:val="28"/>
        </w:rPr>
        <w:t>статья «Методический инструментарий разработки стратегических управленческих решений в органах государственной власти: теоретический аспект»</w:t>
      </w:r>
      <w:r w:rsidR="00BB70AE">
        <w:rPr>
          <w:rFonts w:ascii="Times New Roman" w:hAnsi="Times New Roman" w:cs="Times New Roman"/>
          <w:sz w:val="28"/>
          <w:szCs w:val="28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 xml:space="preserve">для публикации в </w:t>
      </w:r>
      <w:r w:rsidRPr="001C4F58">
        <w:rPr>
          <w:rFonts w:ascii="Times New Roman" w:hAnsi="Times New Roman" w:cs="Times New Roman"/>
          <w:sz w:val="28"/>
          <w:szCs w:val="28"/>
        </w:rPr>
        <w:t>журнал</w:t>
      </w:r>
      <w:r w:rsidR="00BB70AE" w:rsidRPr="001C4F58">
        <w:rPr>
          <w:rFonts w:ascii="Times New Roman" w:hAnsi="Times New Roman" w:cs="Times New Roman"/>
          <w:sz w:val="28"/>
          <w:szCs w:val="28"/>
        </w:rPr>
        <w:t>е</w:t>
      </w:r>
      <w:r w:rsidRPr="001C4F58">
        <w:rPr>
          <w:rFonts w:ascii="Times New Roman" w:hAnsi="Times New Roman" w:cs="Times New Roman"/>
          <w:sz w:val="28"/>
          <w:szCs w:val="28"/>
        </w:rPr>
        <w:t xml:space="preserve"> </w:t>
      </w:r>
      <w:r w:rsidR="001C4F58" w:rsidRPr="001C4F58">
        <w:rPr>
          <w:rFonts w:ascii="Times New Roman" w:hAnsi="Times New Roman" w:cs="Times New Roman"/>
          <w:sz w:val="28"/>
          <w:szCs w:val="28"/>
        </w:rPr>
        <w:t>«</w:t>
      </w:r>
      <w:r w:rsidR="001C4F58" w:rsidRPr="001C4F58">
        <w:rPr>
          <w:rFonts w:ascii="Times New Roman" w:hAnsi="Times New Roman" w:cs="Times New Roman"/>
          <w:sz w:val="28"/>
          <w:szCs w:val="28"/>
        </w:rPr>
        <w:t>Вопросы устойчивого развития общества»</w:t>
      </w:r>
      <w:r w:rsidR="001C4F58" w:rsidRPr="001C4F58">
        <w:rPr>
          <w:rFonts w:ascii="Times New Roman" w:hAnsi="Times New Roman" w:cs="Times New Roman"/>
          <w:sz w:val="28"/>
          <w:szCs w:val="28"/>
        </w:rPr>
        <w:t xml:space="preserve"> </w:t>
      </w:r>
      <w:r w:rsidRPr="001C4F58">
        <w:rPr>
          <w:rFonts w:ascii="Times New Roman" w:hAnsi="Times New Roman" w:cs="Times New Roman"/>
          <w:sz w:val="28"/>
          <w:szCs w:val="28"/>
        </w:rPr>
        <w:t xml:space="preserve">(планируемый выход — </w:t>
      </w:r>
      <w:r w:rsidR="001C4F58" w:rsidRPr="001C4F58">
        <w:rPr>
          <w:rFonts w:ascii="Times New Roman" w:hAnsi="Times New Roman" w:cs="Times New Roman"/>
          <w:sz w:val="28"/>
          <w:szCs w:val="28"/>
        </w:rPr>
        <w:t xml:space="preserve">август </w:t>
      </w:r>
      <w:r w:rsidRPr="001C4F58">
        <w:rPr>
          <w:rFonts w:ascii="Times New Roman" w:hAnsi="Times New Roman" w:cs="Times New Roman"/>
          <w:sz w:val="28"/>
          <w:szCs w:val="28"/>
        </w:rPr>
        <w:t>202</w:t>
      </w:r>
      <w:r w:rsidR="005273E0" w:rsidRPr="001C4F58">
        <w:rPr>
          <w:rFonts w:ascii="Times New Roman" w:hAnsi="Times New Roman" w:cs="Times New Roman"/>
          <w:sz w:val="28"/>
          <w:szCs w:val="28"/>
        </w:rPr>
        <w:t>6</w:t>
      </w:r>
      <w:r w:rsidRPr="001C4F58">
        <w:rPr>
          <w:rFonts w:ascii="Times New Roman" w:hAnsi="Times New Roman" w:cs="Times New Roman"/>
          <w:sz w:val="28"/>
          <w:szCs w:val="28"/>
        </w:rPr>
        <w:t xml:space="preserve"> год</w:t>
      </w:r>
      <w:r w:rsidR="001C4F58" w:rsidRPr="001C4F58">
        <w:rPr>
          <w:rFonts w:ascii="Times New Roman" w:hAnsi="Times New Roman" w:cs="Times New Roman"/>
          <w:sz w:val="28"/>
          <w:szCs w:val="28"/>
        </w:rPr>
        <w:t>а</w:t>
      </w:r>
      <w:r w:rsidRPr="001C4F58">
        <w:rPr>
          <w:rFonts w:ascii="Times New Roman" w:hAnsi="Times New Roman" w:cs="Times New Roman"/>
          <w:sz w:val="28"/>
          <w:szCs w:val="28"/>
        </w:rPr>
        <w:t>).</w:t>
      </w:r>
    </w:p>
    <w:p w14:paraId="5E578377" w14:textId="77777777" w:rsidR="00753CC0" w:rsidRDefault="00753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D3DE3BE" w14:textId="313DBE25" w:rsidR="00DE0D10" w:rsidRPr="0012104E" w:rsidRDefault="00DE0D10" w:rsidP="0012104E">
      <w:pPr>
        <w:pStyle w:val="2"/>
        <w:numPr>
          <w:ilvl w:val="0"/>
          <w:numId w:val="1"/>
        </w:numPr>
        <w:suppressAutoHyphens/>
        <w:spacing w:before="0" w:after="0" w:line="240" w:lineRule="auto"/>
        <w:ind w:left="70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234074094"/>
      <w:r w:rsidRPr="0012104E">
        <w:rPr>
          <w:rFonts w:ascii="Arial CYR" w:hAnsi="Arial CYR" w:cs="Times New Roman"/>
          <w:color w:val="auto"/>
          <w:sz w:val="30"/>
          <w:szCs w:val="30"/>
        </w:rPr>
        <w:lastRenderedPageBreak/>
        <w:t>Теоретико-методологические основы исследования методического инструментария стратегических управленческих решений в государственном секторе</w:t>
      </w:r>
      <w:bookmarkEnd w:id="3"/>
    </w:p>
    <w:p w14:paraId="5A56D361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969EAB" w14:textId="20F95004" w:rsidR="00DE0D10" w:rsidRDefault="00DE0D10" w:rsidP="00753CC0">
      <w:pPr>
        <w:pStyle w:val="3"/>
        <w:numPr>
          <w:ilvl w:val="1"/>
          <w:numId w:val="1"/>
        </w:numPr>
        <w:suppressAutoHyphens/>
        <w:spacing w:before="0" w:after="0" w:line="240" w:lineRule="auto"/>
        <w:jc w:val="both"/>
        <w:rPr>
          <w:rFonts w:ascii="Arial CYR" w:hAnsi="Arial CYR" w:cs="Times New Roman"/>
          <w:color w:val="000000" w:themeColor="text1"/>
        </w:rPr>
      </w:pPr>
      <w:bookmarkStart w:id="4" w:name="_Toc234074095"/>
      <w:r w:rsidRPr="00753CC0">
        <w:rPr>
          <w:rFonts w:ascii="Arial CYR" w:hAnsi="Arial CYR" w:cs="Times New Roman"/>
          <w:color w:val="000000" w:themeColor="text1"/>
        </w:rPr>
        <w:t>Сущность, структура и эволюция методического инструментария стратегического управления в публичном секторе</w:t>
      </w:r>
      <w:bookmarkEnd w:id="4"/>
    </w:p>
    <w:p w14:paraId="530C7BE1" w14:textId="77777777" w:rsidR="00753CC0" w:rsidRPr="00753CC0" w:rsidRDefault="00753CC0" w:rsidP="00753CC0">
      <w:pPr>
        <w:pStyle w:val="a7"/>
        <w:ind w:left="1549"/>
      </w:pPr>
    </w:p>
    <w:p w14:paraId="75EB44EA" w14:textId="23F04A57" w:rsidR="00753CC0" w:rsidRDefault="00753CC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Цель главы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E0D10">
        <w:rPr>
          <w:rFonts w:ascii="Times New Roman" w:hAnsi="Times New Roman" w:cs="Times New Roman"/>
          <w:sz w:val="28"/>
          <w:szCs w:val="28"/>
        </w:rPr>
        <w:t>систематизировать теоретические подходы и сформировать концептуальную основу для анализа проблемы совершенствования методического инструментария разработки стратегических управленческих решений в органах государственной власти.</w:t>
      </w:r>
    </w:p>
    <w:p w14:paraId="06782DB4" w14:textId="77777777" w:rsidR="001B15DB" w:rsidRPr="00DE0D10" w:rsidRDefault="001B15DB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E73396" w14:textId="63F81DEF" w:rsidR="00DE0D10" w:rsidRPr="001B15DB" w:rsidRDefault="00DE0D10" w:rsidP="001B15DB">
      <w:pPr>
        <w:pStyle w:val="3"/>
        <w:suppressAutoHyphens/>
        <w:spacing w:before="0" w:after="0" w:line="360" w:lineRule="auto"/>
        <w:ind w:left="709"/>
        <w:rPr>
          <w:rFonts w:ascii="Arial CYR" w:hAnsi="Arial CYR" w:cs="Times New Roman"/>
          <w:color w:val="000000" w:themeColor="text1"/>
        </w:rPr>
      </w:pPr>
      <w:bookmarkStart w:id="5" w:name="_Toc234074096"/>
      <w:r w:rsidRPr="001B15DB">
        <w:rPr>
          <w:rFonts w:ascii="Arial CYR" w:hAnsi="Arial CYR" w:cs="Times New Roman"/>
          <w:color w:val="000000" w:themeColor="text1"/>
        </w:rPr>
        <w:t>1.1.1 Содержание понятия «методический инструментарий»</w:t>
      </w:r>
      <w:bookmarkEnd w:id="5"/>
    </w:p>
    <w:p w14:paraId="7BB30C7B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F2C8CA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 современной управленческой науке понятие «методический инструментарий» стратегического управления трактуется многогранно, отражая различные аспекты управленческой деятельности. В широком смысле под методическим инструментарием понимается совокупность методов, техник, моделей, алгоритмов, шаблонов и процедур, используемых для сбора информации, анализа внешней и внутренней среды, прогнозирования, генерации альтернатив, оценки и выбора стратегических решений, а также контроля их реализации. Как отмечают исследователи, внедрение положений стратегического менеджмента в государственное управление на федеральном и региональном уровнях продиктовано необходимостью достижения результативности и эффективности, что делает возможным применение государственной сферой методов стратегического менеджмента, разработанных для коммерческих организаций, однако с обязательной адаптацией к специфике публичного сектора [1,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45-67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</w:t>
      </w:r>
    </w:p>
    <w:p w14:paraId="20EBBB0A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Стратегическое управление представляет собой подход к стратегированию публичными организациями, который интегрирует формулирование и реализацию стратегии и обычно включает стратегическое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 xml:space="preserve">планирование для формулирования стратегий, способы их реализации и непрерывное стратегическое обучение. Стратегия является тем звеном, которое связывает возможности и устремления организации [4]. В этом контексте методический инструментарий выступает как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операционализация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стратегического управления, обеспечивая переход от абстрактных целей к конкретным действиям. Он включает не только формальные методы, но и процедуры их применения, критерии оценки результатов, а также организационные механизмы, обеспечивающие их внедрение в повседневную практику управления.</w:t>
      </w:r>
    </w:p>
    <w:p w14:paraId="73C208E4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Прокофьев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С.Е.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в своем учебнике обобщает методологическую, теоретическую и эмпирическую информацию, необходимую для всестороннего системного представления о стратегическом управлении в органах власти [1]. Он подчеркивает, что методический инструментарий должен рассматриваться не изолированно, а в тесной связи с организационной структурой, кадровым потенциалом и информационной системой органа власти. Автор акцентирует внимание на том, что эффективность применения инструментов напрямую зависит от уровня компетенций сотрудников, их готовности к инновациям и организационной культуры, поддерживающей стратегическое мышление.</w:t>
      </w:r>
    </w:p>
    <w:p w14:paraId="14718713" w14:textId="770A8010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 </w:t>
      </w:r>
      <w:r w:rsidR="005273E0">
        <w:rPr>
          <w:rFonts w:ascii="Times New Roman" w:hAnsi="Times New Roman" w:cs="Times New Roman"/>
          <w:sz w:val="28"/>
          <w:szCs w:val="28"/>
        </w:rPr>
        <w:t>учебнике</w:t>
      </w:r>
      <w:r w:rsidRPr="00DE0D10">
        <w:rPr>
          <w:rFonts w:ascii="Times New Roman" w:hAnsi="Times New Roman" w:cs="Times New Roman"/>
          <w:sz w:val="28"/>
          <w:szCs w:val="28"/>
        </w:rPr>
        <w:t xml:space="preserve"> подчеркивается, что независимо от оценки эффективности, адекватности и результативности отдельных методов, они обычно включают анализ: среды, стейкхолдеров, сильных и слабых сторон, возможностей и рисков, сценариев развития, консенсуса вокруг диагностики и целей стратегии, определения видения и миссии, приоритетов и конкретных целей, проектов и планов действий, а также методов контроля реализации и оценки [3]. Таким образом, методический инструментарий охватывает все этапы стратегического цикла: от диагностики до контроля. Его системное применение позволяет превратить стратегическое планирование из формальной процедуры в реальный инструмент управления развитием.</w:t>
      </w:r>
    </w:p>
    <w:p w14:paraId="5506B988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lastRenderedPageBreak/>
        <w:t>Ключевое отличие стратегического управления в публичном секторе от частного, по мнению исследователей, заключается в следующих аспектах: влияние политической жизни на реализуемую стратегию и механизм ее политической оценки; широкий охват стратегий, часто затрагивающих не узкий сегмент рынка, а целые отрасли, регионы или группы граждан; множественность стейкхолдеров и их интересов; нефинансовый характер значимых государственных стратегических целей; иные измерители успеха стратегии [5, с. 1126-1135]. Эти особенности накладывают отпечаток и на методический инструментарий: он должен учитывать политические риски, обеспечивать публичное обсуждение и легитимность решений, а также включать показатели социальной эффективности наряду с экономическими. В отличие от частного сектора, где успех измеряется прежде всего прибылью, в государственном управлении ключевыми критериями становятся общественное благосостояние, социальная справедливость, доступность и качество государственных услуг.</w:t>
      </w:r>
    </w:p>
    <w:p w14:paraId="24C132D2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В современной научной литературе наблюдается смещение акцента в понимании стратегического управления: от жесткого планирования к более гибким адаптивным моделям. Как отмечают исследователи, стратегическое планирование в публичных организациях должно играть более критическую роль в современном публичном управлении, а стратегия должна становиться более осмысленной за счет перехода от стратегического планирования к более широкому процессу стратегического управления [7]. Этот переход обусловлен нарастающей турбулентностью внешней среды, которая делает традиционные линейные модели планирования недостаточно эффективными. В этих условиях методический инструментарий должен не только обеспечивать формальное планирование, но и создавать условия для непрерывного обучения, адаптации и корректировки стратегических курсов.</w:t>
      </w:r>
    </w:p>
    <w:p w14:paraId="555D046D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Важным аспектом содержания методического инструментария является его связь с информационно-коммуникационными технологиями. Цифровизация государственного управления открывает новые возможности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 xml:space="preserve">для сбора, обработки и анализа данных, что требует соответствующего обновления методического инструментария. В условиях цифровой экономики традиционные методы дополняются инструментами Big Data, искусственного интеллекта, геоинформационных систем и технологий прогнозного моделирования [11,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88-94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</w:t>
      </w:r>
    </w:p>
    <w:p w14:paraId="769F9D83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Таким образом, понятие «методический инструментарий» в контексте стратегического управления в публичном секторе представляет собой сложную, многоуровневую категорию, включающую не только совокупность методов и техник, но и организационные, технологические и кадровые аспекты их применения, что требует комплексного подхода к его исследованию и совершенствованию.</w:t>
      </w:r>
    </w:p>
    <w:p w14:paraId="646AAE16" w14:textId="77777777" w:rsidR="00DE0D10" w:rsidRPr="001B15DB" w:rsidRDefault="00DE0D10" w:rsidP="001B15DB">
      <w:pPr>
        <w:pStyle w:val="3"/>
        <w:suppressAutoHyphens/>
        <w:spacing w:before="0" w:after="0" w:line="360" w:lineRule="auto"/>
        <w:ind w:left="709"/>
        <w:rPr>
          <w:rFonts w:ascii="Arial CYR" w:hAnsi="Arial CYR" w:cs="Times New Roman"/>
          <w:color w:val="000000" w:themeColor="text1"/>
        </w:rPr>
      </w:pPr>
    </w:p>
    <w:p w14:paraId="6BA579CD" w14:textId="76A1D345" w:rsidR="00DE0D10" w:rsidRPr="001B15DB" w:rsidRDefault="00DE0D10" w:rsidP="001B15DB">
      <w:pPr>
        <w:pStyle w:val="3"/>
        <w:suppressAutoHyphens/>
        <w:spacing w:before="0" w:after="0" w:line="240" w:lineRule="auto"/>
        <w:ind w:left="709"/>
        <w:jc w:val="both"/>
        <w:rPr>
          <w:rFonts w:ascii="Arial CYR" w:hAnsi="Arial CYR" w:cs="Times New Roman"/>
          <w:color w:val="000000" w:themeColor="text1"/>
        </w:rPr>
      </w:pPr>
      <w:bookmarkStart w:id="6" w:name="_Toc234074097"/>
      <w:r w:rsidRPr="001B15DB">
        <w:rPr>
          <w:rFonts w:ascii="Arial CYR" w:hAnsi="Arial CYR" w:cs="Times New Roman"/>
          <w:color w:val="000000" w:themeColor="text1"/>
        </w:rPr>
        <w:t>1.1.2 Классификации и компоненты методического инструментария</w:t>
      </w:r>
      <w:bookmarkEnd w:id="6"/>
    </w:p>
    <w:p w14:paraId="463E9852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665C86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Существующий методический инструментарий стратегического управления в публичном секторе отличается значительным разнообразием. Наиболее распространенными в системе публичного управления являются методы SWOT и PEST-анализа, позволяющие оценить внутренние и внешние факторы при выработке эффективной стратегии социально-экономического развития субъектов разного масштаба.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Карпеко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Н. подчеркивает, что эти методы позволяют оценить внутренние и внешние факторы в процессе разработки эффективной стратегии социально-экономического развития субъектов различных масштабов [3, с. 88-95]. SWOT-анализ, благодаря своей простоте и наглядности, стал обязательным элементом подготовки стратегических документов во многих органах государственной власти, однако его применение часто носит формальный характер и не приводит к глубокому пониманию стратегических альтернатив.</w:t>
      </w:r>
    </w:p>
    <w:p w14:paraId="1F4451F9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 числу основных инструментов стратегического менеджмента относятся: SWOT-анализ, SMART-критерии постановки целей, PEST-анализ (и его расширенная версия PESTER), система сбалансированных показателей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Balanced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Scorecard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>, BSC), MAPS, бизнес-план, анализ стратегических разрывов (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strategic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gap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), бенчмаркинг, социо-экспертные методы и логическая матрица [2,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378-395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В последние годы наиболее часто используется метод стратегической карты показателей в публичном секторе, поскольку он не ограничивается финансовым измерением развития организации, а включает перспективы клиентов, внутренних процессов, обучения и роста, что особенно актуально для государственных органов. Система сбалансированных показателей позволяет увязать стратегические цели с конкретными показателями деятельности и распределить ответственность между структурными подразделениями.</w:t>
      </w:r>
    </w:p>
    <w:p w14:paraId="58EFDC70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Система сбалансированных показателей является перспективным методом стратегического менеджмента в государственном управлении. Принятие стратегических решений органами власти на основе построения матрицы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Ансоффа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и отраслевого анализа М. Портера также имеет возможности применения на уровне субъекта Российской Федерации или отдельного муниципального образования. Портер М. определяет три типа конкурентных стратегий: лидерство по издержкам, дифференциация и фокусирование [9]. В государственном секторе эти стратегии трансформируются в стратегии эффективности использования ресурсов, предоставления уникальных общественных благ и адресной поддержки отдельных групп. Матрица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Ансоффа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>, в свою очередь, может быть адаптирована для анализа направлений развития государственных услуг: проникновение на новые рынки, развитие существующих услуг, диверсификация и создание новых общественных благ.</w:t>
      </w:r>
    </w:p>
    <w:p w14:paraId="692F1D06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Брайсон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Дж.М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>. и Джордж Б. в своем фундаментальном труде «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Toward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a More Strategic View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Strategic Planning Research» (2022) выделяют четыре основных типа стратегов в публичной администрации: «реактор» (низкие амбиции, низкие возможности), «мечтатель» (высокие амбиции, низкие возможности), «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недостигающий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» (низкие амбиции, высокие возможности) и «искусный стратег» (высокие амбиции, высокие возможности) [6, с. 45-78].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Эта типология важна для понимания того, как организационная культура и индивидуальные компетенции влияют на выбор и эффективность применения методического инструментария. Исследователи подчеркивают, что наличие формальных инструментов само по себе не гарантирует качественного стратегирования — необходима соответствующая культура и лидерские качества руководителей, способных инициировать и поддерживать стратегический диалог.</w:t>
      </w:r>
    </w:p>
    <w:p w14:paraId="7C744528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Вандерсмиссен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Л. и Джордж Б. в обзоре 35 лет исследований стратегического планирования в публичных организациях выделяют восемь подходов к стратегическому планированию [4]. Более комплексные процессные подходы включают те, на которые повлияли Гарвардская модель политики, логический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инкрементализм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и управление стейкхолдерами. Более частичные процессные подходы включают стратегические переговоры, управление стратегическими вопросами и стратегическое планирование как основу для инноваций. Наконец, существуют два содержательных подхода — анализ портфеля и анализ конкурентных сил. Это многообразие подходов отражает богатство методического инструментария, но одновременно создает проблему выбора адекватного инструмента для конкретной ситуации. Исследователи приходят к выводу, что ключевым фактором успеха является не столько выбор конкретного подхода, сколько его гибкая адаптация к организационному контексту.</w:t>
      </w:r>
    </w:p>
    <w:p w14:paraId="49A88BF1" w14:textId="6678EF38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 </w:t>
      </w:r>
      <w:r w:rsidR="00A8284B">
        <w:rPr>
          <w:rFonts w:ascii="Times New Roman" w:hAnsi="Times New Roman" w:cs="Times New Roman"/>
          <w:sz w:val="28"/>
          <w:szCs w:val="28"/>
        </w:rPr>
        <w:t>издании</w:t>
      </w:r>
      <w:r w:rsidRPr="00DE0D10">
        <w:rPr>
          <w:rFonts w:ascii="Times New Roman" w:hAnsi="Times New Roman" w:cs="Times New Roman"/>
          <w:sz w:val="28"/>
          <w:szCs w:val="28"/>
        </w:rPr>
        <w:t xml:space="preserve"> по стратегическому публичному менеджменту под редакцией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Греве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К. и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Йсы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Т. (2023) рассматриваются взаимосвязи между стратегией, публичной ценностью и государством, а также вызовы стратегирования в условиях коллаборативного управления [5]. Авторы подчеркивают, что стратегическое публичное управление является ключевой темой в современном публичном менеджменте и управлении. Они предлагают классификацию инструментов по их функциональному назначению: инструменты анализа (SWOT, PEST, стейкхолдер-анализ), инструменты планирования (дерево целей, логическая матрица), инструменты реализации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(проектное управление, дорожные карты), инструменты оценки (BSC, KPI). Такая классификация позволяет системно подойти к формированию методического арсенала организации и обеспечить его полноту на всех этапах стратегического цикла.</w:t>
      </w:r>
    </w:p>
    <w:p w14:paraId="3C77A9FD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Важным дополнением к классификации является типология стратегий по характеру: наступательные (использование сил и возможностей), умеренные (силы и защита от угроз), консервативно-конкурентные (усиление слабостей за счет использования возможностей) и оборонительные (борьба за выживание) [2,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378-395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Другая типология разделяет стратегии на реактивные, проактивные, исполнительные, популистские, маркетинговые, основанные на публичном консенсусе. Выбор типа стратегии определяет и набор необходимых инструментов: для наступательных стратегий требуются инструменты анализа возможностей и оценки рисков, для оборонительных — инструменты антикризисного управления и минимизации угроз.</w:t>
      </w:r>
    </w:p>
    <w:p w14:paraId="6CC110E1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Ключевым элементом успешной стратегии является идентификация и использование собственных ресурсов публичной организации, таких как социальный капитал, инфраструктура, природная среда и пространство [8,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191-214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Стратегия должна носить интегративный характер, объединяя концепции развития, ценности стейкхолдеров, диагностику, планы реализации, бюджеты, решения властей и планы исполнительных подразделений. В этом смысле методический инструментарий выступает как связующее звено между различными элементами стратегического управления, обеспечивая их согласованность и взаимоувязку.</w:t>
      </w:r>
    </w:p>
    <w:p w14:paraId="43CABC20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Дополнительно следует выделить группу инструментов, связанных с участием граждан и стейкхолдеров в стратегическом процессе: публичные слушания, фокус-группы, краудсорсинговые платформы, опросы и общественные обсуждения [14,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92-111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]. Эти инструменты приобретают все большее значение в условиях развития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партисипативных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подходов к управлению. Вовлечение граждан и заинтересованных сторон в процесс стратегического планирования не только повышает легитимность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принимаемых решений, но и позволяет учитывать разнообразные потребности и ожидания, что особенно важно для государственных органов, ориентированных на общественное благо.</w:t>
      </w:r>
    </w:p>
    <w:p w14:paraId="3C3B3A2B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Таким образом, классификация и компоненты методического инструментария стратегического управления в публичном секторе представляют собой сложную, многомерную систему, включающую различные типы инструментов, классифицируемые по функциональному назначению, этапам стратегического цикла, характеру решаемых задач и уровню вовлечения стейкхолдеров.</w:t>
      </w:r>
    </w:p>
    <w:p w14:paraId="47334E8D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594347" w14:textId="5AF14302" w:rsidR="00DE0D10" w:rsidRPr="001B15DB" w:rsidRDefault="00DE0D10" w:rsidP="001B15DB">
      <w:pPr>
        <w:pStyle w:val="3"/>
        <w:suppressAutoHyphens/>
        <w:spacing w:before="0" w:after="0" w:line="240" w:lineRule="auto"/>
        <w:ind w:left="709"/>
        <w:jc w:val="both"/>
        <w:rPr>
          <w:rFonts w:ascii="Arial CYR" w:hAnsi="Arial CYR" w:cs="Times New Roman"/>
          <w:color w:val="000000" w:themeColor="text1"/>
        </w:rPr>
      </w:pPr>
      <w:bookmarkStart w:id="7" w:name="_Toc234074098"/>
      <w:r w:rsidRPr="001B15DB">
        <w:rPr>
          <w:rFonts w:ascii="Arial CYR" w:hAnsi="Arial CYR" w:cs="Times New Roman"/>
          <w:color w:val="000000" w:themeColor="text1"/>
        </w:rPr>
        <w:t>1.1.3 Эволюция и тенденции развития методического инструментария в контексте цифровизации и новых вызовов</w:t>
      </w:r>
      <w:bookmarkEnd w:id="7"/>
    </w:p>
    <w:p w14:paraId="7976BC47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96ABAE" w14:textId="5F5DEC12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Эволюция методического инструментария стратегического управления в публичном секторе демонстрирует переход от жестких, преимущественно финансово-ориентированных методов к более гибким, интегративным и ориентированным на создание публичной ценности подходам. Как отмечает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Пойстер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Т.Х., стратегическое планирование должно играть более критическую роль в современном публичном управлении, а стратегия должна становиться более осмысленной за счет перехода от стратегического планирования к более широкому процессу стратегического управления [7, с. 1126-1135]. Этот переход отражает общую эволюцию управленческой парадигмы от бюрократической модели к модели «нового государственного менеджмента» и далее — к модели «публичной ценности».</w:t>
      </w:r>
    </w:p>
    <w:p w14:paraId="354500BD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Исторически можно выделить несколько этапов эволюции методического инструментария в государственном управлении. Первый этап (1960–1980-е годы) характеризуется доминированием долгосрочного бюджетирования и линейного планирования, основанных на экстраполяции прошлых трендов. Инструментарий этого периода был преимущественно финансовым и не учитывал качественные изменения внешней среды. Второй этап (1990–2000-е годы) связан с внедрением сбалансированной системы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показателей и стратегического менеджмента, ориентированного на результат. В этот период в государственное управление активно проникают методы, заимствованные из частного сектора, но адаптированные к специфике публичных организаций. Третий этап (2010 – настоящее время) — это этап цифровой трансформации, внедрения Big Data, искусственного интеллекта, гибких методологий (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Scrum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) в государственное управление, а также развития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партисипативных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и сетевых подходов к стратегированию.</w:t>
      </w:r>
    </w:p>
    <w:p w14:paraId="561B2697" w14:textId="20887B5E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 условиях цифровой трансформации государственного управления происходят существенные изменения в методическом инструментарии. Распоряжением Правительства Российской Федерации от 16 марта 2024 г. </w:t>
      </w:r>
      <w:r w:rsidR="00D37FA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E0D10">
        <w:rPr>
          <w:rFonts w:ascii="Times New Roman" w:hAnsi="Times New Roman" w:cs="Times New Roman"/>
          <w:sz w:val="28"/>
          <w:szCs w:val="28"/>
        </w:rPr>
        <w:t>№ 637-р актуализирована редакция стратегического направления цифровой трансформации в сфере государственного управления до 2030 года [20]. Стратегические направления цифровой трансформации являются отраслевыми документами стратегического планирования Российской Федерации. Актуализированное стратегическое направление ставит задачу увеличения числа услуг, предоставляемых в электронном виде, с 60 в 2024 году до 100 в 2030 году. Это создает предпосылки для внедрения новых инструментов анализа данных, мониторинга и прогнозирования.</w:t>
      </w:r>
    </w:p>
    <w:p w14:paraId="3CCD5798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Как справедливо отмечает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Ленчук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Е.Б., использование инструментов стратегического планирования становится объективно необходимым для отражения вызовов и угроз в условиях возрастающей неопределенности, создаваемой текущей геополитической и геоэкономической ситуацией и переходом к новой конкурентной модели развития [11, с. 45-62]. В этих условиях традиционные инструменты, ориентированные на стабильную среду, уступают место методам сценарного планирования, форсайта, стратегического анализа рисков и возможностей. Сильвестров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С.Н.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в своей монографии «Стратегическое планирование в государственном секторе экономики» (2023) рассматривает теоретические и практические основы стратегического планирования на федеральном, региональном и местном уровнях, акцентируя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 xml:space="preserve">внимание на необходимости адаптации инструментария к современным вызовам [2,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378-395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</w:t>
      </w:r>
    </w:p>
    <w:p w14:paraId="7EDF6E30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D10">
        <w:rPr>
          <w:rFonts w:ascii="Times New Roman" w:hAnsi="Times New Roman" w:cs="Times New Roman"/>
          <w:sz w:val="28"/>
          <w:szCs w:val="28"/>
        </w:rPr>
        <w:t>Филобокова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Л.Ю.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в монографии, посвященной ресурсно-инфраструктурному подходу к стратегическому управлению регионом, обосновывает подходы к стратегическому управлению системами регионального хозяйства на основе ресурсно-инфраструктурного подхода (модели, сценария) [10,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45-62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]. В рамках этого подхода разрабатывается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инструментарно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>-методический аппарат оценки, включающий интегральные индексы, матрицы стратегического позиционирования, карты ресурсной обеспеченности. Автор подчеркивает, что эффективность стратегического управления регионом напрямую зависит от качества методического инструментария, позволяющего оценивать ресурсный потенциал и инфраструктурные ограничения развития.</w:t>
      </w:r>
    </w:p>
    <w:p w14:paraId="155BC535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 контексте усиления внешних вызовов и необходимости обеспечения экономического суверенитета возрастает значимость стратегических решений, требующих нестандартных инструментов оценки рисков, сценарного моделирования в условиях высокой неопределенности и многокритериального выбора в условиях дефицита ресурсов [12,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78-95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Методология стратегирования объединяет процедуры анализа, прогнозирования и управления, ориентированные на сбалансированную оценку и поиск приоритетных направлений развития в условиях нарастающих ресурсных ограничений и внешних угроз. В этих условиях особое значение приобретают форсайт-исследования, позволяющие выявлять долгосрочные тренды и формировать альтернативные сценарии развития.</w:t>
      </w:r>
    </w:p>
    <w:p w14:paraId="021A7D23" w14:textId="14B12645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Исследования показывают, что по мере эволюции методологических основ стратегического планирования на различных этапах экономического развития возрастает его вклад в управление национальной экономикой [18,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45-58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]. В условиях развития определяются новые перспективы стратегического управления в органах власти. В частности, активно развиваются такие инструменты как форсайт, технологии цифровых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двойников, прогнозная аналитика на основе машинного обучения, геоинформационные системы для пространственного анализа. Цифровые двойники регионов позволяют моделировать последствия управленческих решений в виртуальной среде до их практической реализации, что существенно снижает риски ошибочных решений.</w:t>
      </w:r>
    </w:p>
    <w:p w14:paraId="112A4908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Важной тенденцией является интеграция стратегического и бюджетного планирования, что требует развития соответствующего методического инструментария, позволяющего увязывать долгосрочные цели с текущими бюджетными решениями [23,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34-52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В этом контексте все большее значение приобретают инструменты программно-целевого бюджетирования, оценки эффективности бюджетных расходов и мониторинга достижения стратегических показателей. Сбалансированная система показателей, адаптированная для государственного сектора, становится ключевым инструментом такой интеграции.</w:t>
      </w:r>
    </w:p>
    <w:p w14:paraId="2A55A9E7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Особого внимания заслуживает анализ новых цифровых инструментов, кардинально меняющих ландшафт стратегического управления в публичном секторе. Как отмечается в исследовании развития государственного управления на основе цифровых технологических решений, сегодня государственный сектор находится на этапе, когда он должен переосмыслить все нововведения, чтобы обеспечить успешную и комплексную цифровую трансформацию, которая будет принята обществом. Однако этому тезису противоречит широко распространенная и глубоко укоренившаяся в государственном секторе модель бюрократии. Успешная цифровая инфраструктура, цифровые таланты и платформы цифровых инновационных услуг для граждан закладывают прочную основу для цифрового правительства [27,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110-114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</w:t>
      </w:r>
    </w:p>
    <w:p w14:paraId="15AC1798" w14:textId="317629CF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Одним из наиболее перспективных направлений развития методического инструментария является использование технологий цифровых двойников (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twins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) в системе государственного планирования. Как показывают исследования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Самосудова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М.В. и его коллег, использование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цифрового двойника социальной системы позволяет обеспечить большую прозрачность деятельности и состояния организаций, включенных в систему государственного планирования, для органов государственного управления, рассчитывать риски деятельности по реализации государственных программ и проектов, а также своевременно рассчитывать последствия изменения условий деятельности и принимать решения по корректировке деятельности [26, с. 882-897]. Цифровой двойник основан на комплексной математической агент-ориентированной модели социальной системы, функционирующей в активной среде.</w:t>
      </w:r>
    </w:p>
    <w:p w14:paraId="79928D8B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Особую ценность технология цифровых двойников приобретает в контексте преодоления одного из ключевых ограничений традиционных методов прогнозирования — зависимости от больших массивов ретроспективных данных. В отличие от классических эконометрических моделей, требующих значительных объемов статистической информации за длительный период, использование цифрового двойника не требует значительных объемов данных из прошлого периода — достаточно зафиксировать текущее состояние организации, чтобы иметь возможность рассчитать ее динамику для целей планирования развития. Это делает возможным включение в систему государственного планирования вновь созданных организаций и отдельных проектов, включая социально значимые и оборонные.</w:t>
      </w:r>
    </w:p>
    <w:p w14:paraId="52F4164A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Международный опыт подтверждает растущий интерес к технологиям цифровых двойников в публичном управлении. Исследование, проведенное на выборке из 112 итальянских муниципалитетов, показывает, что использование цифровых двойников для городского управления и административного менеджмента представляет собой один из последних рубежей цифровизации государственного сектора на международном уровне. Благодаря этим инструментам становится возможным введение контроля через дублирование реальности, обеспечивающее мониторинг, симуляцию и оптимизацию политических процессов в реальном времени. Однако исследование также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выявляет ограниченность распространения этой технологии — внедрение цифровых двойников в настоящее время сконцентрировано преимущественно в крупных муниципалитетах северной Италии, что свидетельствует о возникновении частичных и неравномерных изоморфных тенденций, обусловленных структурными, политическими и территориальными факторами.</w:t>
      </w:r>
    </w:p>
    <w:p w14:paraId="4420F58E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Европейский проект DUET (Digital Urban European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Twins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>) демонстрирует эволюцию традиционного цикла публичной политики с использованием больших открытых данных. Использование цифровых двойников облегчает городским менеджерам быстрое реагирование на события в реальном времени и обеспечивает большую эффективность и доверие к долгосрочным политическим решениям. Атлантический совет в своем докладе призывает к разработке федеральной стратегии цифровых двойников, подчеркивая их потенциал для дальнейшего повышения устойчивости и трансформации подходов к управлению.</w:t>
      </w:r>
    </w:p>
    <w:p w14:paraId="25304103" w14:textId="3A63D1FE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Еще одним важным направлением развития методического инструментария является использование искусственного интеллекта (ИИ) в стратегическом анализе и прогнозировании. Как отмечается в ходе дискуссии на форуме «Шаг в будущее: искусственный интеллект и цифровая экономика» (2024), эксперты профильных федеральных ведомств обсудили научно-методологические и прикладные вопросы применения ИИ для развития стратегического планирования в РФ, координации государственного управления и бюджетной политики. Согласно национальной стратегии развития искусственного интеллекта до 2030 года, ИИ определяется как комплекс технологических решений, позволяющих имитировать когнитивные функции человека, включая самообучение и поиск решения без заранее заданных алгоритмов [28,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125-131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Результаты деятельности ИИ должны обеспечивать человека дополнительными когнитивными возможностями при условии их безопасности.</w:t>
      </w:r>
    </w:p>
    <w:p w14:paraId="473AE13D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DFB023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lastRenderedPageBreak/>
        <w:t xml:space="preserve">В Российской Федерации происходит активное формирование нормативно-правовой базы для использования ИИ в государственном управлении. Указом Президента Российской Федерации от 15 февраля 2024 г. № 124 внесены изменения в Национальную стратегию развития искусственного интеллекта на период до 2030 года. Федеральный проект «Искусственный интеллект» включен в национальный проект по формированию экономики данных на период до 2030 года. Как отмечает Филиппов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Р.В.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, в России активно развивается система государственного регулирования в сфере искусственного интеллекта, изучаются концептуальные документы стратегического планирования и важнейшие аспекты законодательного регулирования [28,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125-131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</w:t>
      </w:r>
    </w:p>
    <w:p w14:paraId="39AB65BA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Внедрение ИИ открывает принципиально новые возможности в сфере управления и планирования социально-экономическим развитием страны, в том числе регионов и городских агломераций. Как показала дискуссия экспертов, большие данные и программные продукты на основе ИИ уже используются для геопространственной аналитики, территориального планирования и аналитики данных. В то же время участники дискуссии отдельно остановились на проблемах, возникающих в связи с активным внедрением ИИ, таких как обоснованность, достоверность, непротиворечивость и достаточность тех данных и решений, которые предоставляет искусственный интеллект.</w:t>
      </w:r>
    </w:p>
    <w:p w14:paraId="321EFD32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Руководители цифровой трансформации, назначенные в федеральных органах исполнительной власти, взяли на себя важнейший блок по подготовке предложений о внедрении ИИ в государственное управление. Эти наработки легли в основу утвержденной главой государства обновленной Национальной стратегии развития ИИ до 2030 года.</w:t>
      </w:r>
    </w:p>
    <w:p w14:paraId="71E13497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 контексте цифровой трансформации особое значение приобретают системы поддержки принятия решений на основе данных, функционирующие на базе единой цифровой платформы. Это требует не только технологической модернизации, но и пересмотра методических подходов к стратегическому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анализу и прогнозированию, а также развития соответствующих компетенций государственных служащих.</w:t>
      </w:r>
    </w:p>
    <w:p w14:paraId="3581D738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Таким образом, анализ сущности, структуры и эволюции методического инструментария позволяет сделать вывод о том, что современный этап развития характеризуется переходом от разрозненных методов к интегративным системам, учитывающим специфику публичного сектора и цифровые трансформации. Основными тенденциями развития являются: цифровизация инструментов, переход от жесткого планирования к адаптивному управлению, интеграция стратегического и бюджетного планирования, развитие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партисипативных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подходов и усиление роли сценарного анализа и форсайта.</w:t>
      </w:r>
    </w:p>
    <w:p w14:paraId="512A6159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F85BDC" w14:textId="77A08BBD" w:rsidR="00DE0D10" w:rsidRPr="00DE0D10" w:rsidRDefault="00DE0D10" w:rsidP="001B15DB">
      <w:pPr>
        <w:pStyle w:val="3"/>
        <w:suppressAutoHyphens/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bookmarkStart w:id="8" w:name="_Toc234074099"/>
      <w:r w:rsidRPr="001B15DB">
        <w:rPr>
          <w:rFonts w:ascii="Arial CYR" w:hAnsi="Arial CYR" w:cs="Times New Roman"/>
          <w:color w:val="000000" w:themeColor="text1"/>
        </w:rPr>
        <w:t>1.2 Особенности и ограничения применения стратегического инструментария в системе государственного управления РФ</w:t>
      </w:r>
      <w:bookmarkEnd w:id="8"/>
    </w:p>
    <w:p w14:paraId="1EE8D79F" w14:textId="1CD9A2A1" w:rsidR="00DE0D10" w:rsidRPr="001B15DB" w:rsidRDefault="00DE0D10" w:rsidP="001B15DB">
      <w:pPr>
        <w:pStyle w:val="3"/>
        <w:suppressAutoHyphens/>
        <w:spacing w:before="0" w:after="0" w:line="360" w:lineRule="auto"/>
        <w:ind w:left="709"/>
        <w:jc w:val="both"/>
        <w:rPr>
          <w:rFonts w:ascii="Arial CYR" w:hAnsi="Arial CYR" w:cs="Times New Roman"/>
          <w:color w:val="000000" w:themeColor="text1"/>
        </w:rPr>
      </w:pPr>
      <w:bookmarkStart w:id="9" w:name="_Toc234074100"/>
      <w:r w:rsidRPr="001B15DB">
        <w:rPr>
          <w:rFonts w:ascii="Arial CYR" w:hAnsi="Arial CYR" w:cs="Times New Roman"/>
          <w:color w:val="000000" w:themeColor="text1"/>
        </w:rPr>
        <w:t>1.2.1 Специфика стратегических решений в государственном секторе</w:t>
      </w:r>
      <w:bookmarkEnd w:id="9"/>
    </w:p>
    <w:p w14:paraId="65A4BA4A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ACBEAC" w14:textId="6440AC9D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Стратегические решения в государственном секторе обладают рядом принципиальных особенностей, отличающих их от решений в частном бизнесе. Как подчеркивает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Брайсон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Дж.М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>., стратегическое управление может помочь публичным организациям достигать важных целей и создавать публичную ценность [6]. Однако сама природа публичной ценности принципиально отлична от частной прибыли. Публичная ценность не имеет единого количественного измерения; она включает экономические, социальные, экологические и политические аспекты. Это создает сложности для применения традиционных методов оценки эффективности, ориентированных на измеримые финансовые показатели.</w:t>
      </w:r>
    </w:p>
    <w:p w14:paraId="46D71AB0" w14:textId="202AF0BC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хэндбуке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по стратегическому публичному менеджменту под редакцией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Греве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К. и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Йсы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Т. (2023) выделяются следующие важнейшие различия стратегических решений в публичном секторе [5, с. 12-15]. Во-первых,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значительное влияние политической жизни на реализуемую стратегию — решения должны быть не только экономически обоснованными, но и политически приемлемыми. Во-вторых, широкий охват стратегий, часто затрагивающих не узкий сегмент, а целые отрасли, регионы или группы граждан, что требует учета множества взаимосвязей и последствий. В-третьих, множественность стейкхолдеров и конфликтность их интересов — каждый участник стратегического процесса имеет свои ожидания, которые необходимо согласовывать. В-четвертых, нефинансовый характер значимых целей — успех государственной стратегии измеряется не прибылью, а улучшением качества жизни, социальной справедливостью, экологической безопасностью. В-пятых, иные измерители успеха — традиционные показатели эффективности (рентабельность, доля рынка) здесь неприменимы, требуются специальные индикаторы публичной ценности.</w:t>
      </w:r>
    </w:p>
    <w:p w14:paraId="1E070231" w14:textId="2A620CC7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Мур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М.Х.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отмечает, что наиболее разработанные модели стратегии происходят из частного сектора и фокусируются на рынках, клиентах и конкуренции, однако альтернативная модель стратегии для государственных менеджеров фокусирует внимание на трех ключевых вопросах: создаваемая публичная ценность, источники легитимности и поддержки, а также операционная способность доставить эту ценность [5,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18-20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Эта триада (публичная ценность – легитимность – операционные возможности) может служить основой для разработки специализированного методического инструментария, учитывающего политический и социальный контекст. В отличие от частного сектора, где ключевым вопросом является конкурентоспособность, в государственном управлении на первый план выходит легитимность решений и их соответствие общественным ожиданиям.</w:t>
      </w:r>
    </w:p>
    <w:p w14:paraId="2AF5EFB4" w14:textId="0E90F5C7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 исследованиях, посвященных стратегическому управлению в местных органах власти, выделяются шесть подходов к стратегическому менеджменту: политический, основанный на власти и торге,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стейкхолдерский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, адаптивный и обучающий [4,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112-125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]. Это многообразие подходов отражает сложность публичного управления, где стратегические решения должны учитывать не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 xml:space="preserve">только экономическую эффективность, но и политическую легитимность, общественное доверие и социальную справедливость. Каждый из подходов требует специфического методического инструментария: политический — инструментов анализа политических рисков и коалиций,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стейкхолдерский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— методов анализа заинтересованных сторон и их влияния, адаптивный — инструментов мониторинга и корректировки.</w:t>
      </w:r>
    </w:p>
    <w:p w14:paraId="7FE3B1AC" w14:textId="6A3191B5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 российском контексте специфика стратегических решений в государственном секторе усугубляется сохраняющейся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веберовской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бюрократической структурой большинства государственных организаций [1,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45-67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]. Это создает институциональные ограничения для внедрения гибких и инновационных методик. Как отмечается в исследовании, посвященном стратегическому планированию в условиях внешних ограничений, в статье акцентируется внимание на объективных предпосылках использования инструментов стратегического планирования в практике государственного управления в условиях растущей геоэкономической и геополитической неопределенности [11,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45-62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Бюрократическая культура, ориентированная на соблюдение формальных процедур, часто препятствует внедрению методов, требующих творческого подхода и нестандартного мышления.</w:t>
      </w:r>
    </w:p>
    <w:p w14:paraId="5D23FF9B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К числу специфических особенностей можно также отнести: высокую степень регламентации и формализации процедур, что ограничивает гибкость при выборе инструментов; разрыв между стратегическими целями и текущим операционным управлением, когда стратегии остаются декларативными документами, не влияющими на повседневную деятельность; дефицит квалифицированных кадров с компетенциями в области стратегического анализа и прогнозирования; ограниченность ресурсов для проведения глубоких исследований и прогнозов, особенно на региональном и местном уровнях; сложность координации между различными уровнями власти и ведомствами, что требует дополнительных инструментов согласования.</w:t>
      </w:r>
    </w:p>
    <w:p w14:paraId="4911BB58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4CF73C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lastRenderedPageBreak/>
        <w:t>Таким образом, специфика стратегических решений в государственном секторе требует адаптации методического инструментария к политическому, социальному и институциональному контексту, а также учета множественности целей и ограничений, характерных для публичного управления.</w:t>
      </w:r>
    </w:p>
    <w:p w14:paraId="4BB59196" w14:textId="77777777" w:rsidR="00DE0D10" w:rsidRPr="001B15DB" w:rsidRDefault="00DE0D10" w:rsidP="001B15DB">
      <w:pPr>
        <w:pStyle w:val="3"/>
        <w:suppressAutoHyphens/>
        <w:spacing w:before="0" w:after="0" w:line="360" w:lineRule="auto"/>
        <w:jc w:val="both"/>
        <w:rPr>
          <w:rFonts w:ascii="Arial CYR" w:hAnsi="Arial CYR" w:cs="Times New Roman"/>
          <w:color w:val="000000" w:themeColor="text1"/>
        </w:rPr>
      </w:pPr>
    </w:p>
    <w:p w14:paraId="0F9F0AB3" w14:textId="0065B538" w:rsidR="00DE0D10" w:rsidRPr="001B15DB" w:rsidRDefault="00DE0D10" w:rsidP="001B15DB">
      <w:pPr>
        <w:pStyle w:val="3"/>
        <w:suppressAutoHyphens/>
        <w:spacing w:before="0" w:after="0" w:line="360" w:lineRule="auto"/>
        <w:ind w:left="709"/>
        <w:jc w:val="both"/>
        <w:rPr>
          <w:rFonts w:ascii="Arial CYR" w:hAnsi="Arial CYR" w:cs="Times New Roman"/>
          <w:color w:val="000000" w:themeColor="text1"/>
        </w:rPr>
      </w:pPr>
      <w:bookmarkStart w:id="10" w:name="_Toc234074101"/>
      <w:r w:rsidRPr="001B15DB">
        <w:rPr>
          <w:rFonts w:ascii="Arial CYR" w:hAnsi="Arial CYR" w:cs="Times New Roman"/>
          <w:color w:val="000000" w:themeColor="text1"/>
        </w:rPr>
        <w:t>1.2.2 Влияние нормативно-правового регулирования на процессы стратегирования</w:t>
      </w:r>
      <w:bookmarkEnd w:id="10"/>
    </w:p>
    <w:p w14:paraId="636A3B62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A4D39C" w14:textId="7F8329F9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Федеральный закон от 28 июня 2014 г. № 172-ФЗ «О стратегическом планировании в Российской Федерации» </w:t>
      </w:r>
      <w:r w:rsidR="00B5372D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B5372D" w:rsidRPr="00DE0D10">
        <w:rPr>
          <w:rFonts w:ascii="Times New Roman" w:hAnsi="Times New Roman" w:cs="Times New Roman"/>
          <w:sz w:val="28"/>
          <w:szCs w:val="28"/>
        </w:rPr>
        <w:t>ФЗ-172</w:t>
      </w:r>
      <w:r w:rsidR="00B5372D">
        <w:rPr>
          <w:rFonts w:ascii="Times New Roman" w:hAnsi="Times New Roman" w:cs="Times New Roman"/>
          <w:sz w:val="28"/>
          <w:szCs w:val="28"/>
        </w:rPr>
        <w:t xml:space="preserve">) </w:t>
      </w:r>
      <w:r w:rsidRPr="00DE0D10">
        <w:rPr>
          <w:rFonts w:ascii="Times New Roman" w:hAnsi="Times New Roman" w:cs="Times New Roman"/>
          <w:sz w:val="28"/>
          <w:szCs w:val="28"/>
        </w:rPr>
        <w:t>устанавливает правовые основы стратегического планирования в Российской Федерации, координации государственного и муниципального стратегического управления и бюджетной политики. Закон регулирует отношения, возникающие между участниками стратегического планирования в процессе целеполагания, прогнозирования, планирования и программирования [19]. Этот закон стал важным шагом в институционализации стратегического планирования на всех уровнях власти, однако его реализация выявила ряд системных проблем.</w:t>
      </w:r>
    </w:p>
    <w:p w14:paraId="6456C14A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Однако, как показывает анализ, ФЗ-172, даже на методологическом уровне, не описывает механизмы межотраслевой и межрегиональной координации разрабатываемых документов стратегического планирования [16,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654-669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Более того, поскольку закон предписывает разработку стратегий на муниципальном уровне, количество документов стратегического планирования увеличивается до нескольких десятков тысяч, что создает проблемы их согласованности и взаимосвязи. Многие муниципальные образования не имеют достаточных ресурсов и компетенций для качественной разработки стратегических документов, что приводит к их формальному характеру.</w:t>
      </w:r>
    </w:p>
    <w:p w14:paraId="580076BE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lastRenderedPageBreak/>
        <w:t xml:space="preserve">В исследовании, посвященном оценке согласованности региональных и муниципальных документов стратегического планирования, отмечается, что с момента принятия ФЗ-172 накопились значительные проблемы, требующие безотлагательного решения [16,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654-669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]. Анализ практики государственного стратегического планирования как системы институциональных инструментов и механизмов целеполагания показывает необходимость совершенствования нормативно-правового обеспечения [17,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188-196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Основными проблемами являются: отсутствие четкой иерархии документов стратегического планирования, дублирование функций различных документов, несогласованность сроков их разработки и утверждения, недостаточная увязка с бюджетным процессом.</w:t>
      </w:r>
    </w:p>
    <w:p w14:paraId="17B73EDA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Казанцев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Н.М.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в своем исследовании выделяет ряд проблемных аспектов регулирования стратегического планирования ФЗ-172 [13,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112-125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]. Среди них: планирование как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усмотрительная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>, односторонняя деятельность власти, при которой граждане и бизнес практически не участвуют в стратегическом планировании; субъекты экономической деятельности не участвуют в стратегическом планировании экономического развития; отсутствует регулирование процедур и действий участников процесса стратегического планирования на всех этапах; стратегия закреплена в качестве базового документа в ФЗ-172, но не упомянута среди документов стратегического планирования, что создает правовую неопределенность. Автор также отмечает, что закон не создает ни правового института специальной компетенции в области стратегического планирования, ни исполняющего его органа государства, что ослабляет механизмы реализации стратегических решений.</w:t>
      </w:r>
    </w:p>
    <w:p w14:paraId="630A0BD3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 статье, посвященной анализу федерального законодательства в области стратегического планирования, установлено, что действующая система стратегического планирования на сегодняшний день не учитывает ряд поправок, внесенных в Конституцию РФ в 2020 году [13,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112-125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]. Ронин В.С. также рассматривает актуальные вопросы стратегического планирования в Российской Федерации, отмечая необходимость гармонизации федерального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и регионального законодательства, а также приведения его в соответствие с изменившимися условиями и вызовами.</w:t>
      </w:r>
    </w:p>
    <w:p w14:paraId="76DC65A6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Гуринов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А.С.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в своем исследовании анализирует финансово-бюджетную ситуацию в субъектах Российской Федерации как фактор, сдерживающий эффективное внедрение стратегического планирования [14,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88-102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Бюджетная обеспеченность российских регионов является критическим фактором, сдерживающим внедрение стратегического планирования, что создает дополнительные ограничения для применения современных методических инструментов. В условиях дефицита бюджетных средств многие регионы не могут позволить себе проведение качественных стратегических исследований и привлечение внешних экспертов.</w:t>
      </w:r>
    </w:p>
    <w:p w14:paraId="79ED4EEC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Молчанов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И.Н.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рассматривает страновое стратегическое планирование в контексте укрепления экономической безопасности [12,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78-95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В статье описываются внешние и внутренние факторы, усложняющие долгосрочное социально-экономическое развитие России и требующие перестройки всей системы национального стратегического планирования. Автор подчеркивает, что в условиях санкционного давления и структурных изменений экономики стратегическое планирование должно стать более гибким и адаптивным, а его нормативно-правовая база — более совершенной.</w:t>
      </w:r>
    </w:p>
    <w:p w14:paraId="47035A91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Таким образом, нормативно-правовое регулирование создает формальные рамки для стратегического планирования, но не обеспечивает содержательного наполнения и не стимулирует внедрение современных методических инструментов. Это приводит к тому, что многие документы стратегического планирования разрабатываются по шаблонам, не отражают реальных проблем и не содержат обоснованных стратегических альтернатив. Требуется модернизация нормативно-правовой базы с акцентом на методическое обеспечение стратегического планирования.</w:t>
      </w:r>
    </w:p>
    <w:p w14:paraId="66B6556C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F80DE3" w14:textId="7172C9BA" w:rsidR="00DE0D10" w:rsidRPr="001B15DB" w:rsidRDefault="00DE0D10" w:rsidP="001B15DB">
      <w:pPr>
        <w:pStyle w:val="3"/>
        <w:suppressAutoHyphens/>
        <w:spacing w:before="0" w:after="0" w:line="360" w:lineRule="auto"/>
        <w:ind w:left="709"/>
        <w:rPr>
          <w:rFonts w:ascii="Arial CYR" w:hAnsi="Arial CYR" w:cs="Times New Roman"/>
          <w:color w:val="000000" w:themeColor="text1"/>
        </w:rPr>
      </w:pPr>
      <w:bookmarkStart w:id="11" w:name="_Toc234074102"/>
      <w:r w:rsidRPr="001B15DB">
        <w:rPr>
          <w:rFonts w:ascii="Arial CYR" w:hAnsi="Arial CYR" w:cs="Times New Roman"/>
          <w:color w:val="000000" w:themeColor="text1"/>
        </w:rPr>
        <w:lastRenderedPageBreak/>
        <w:t>1.2.3 Ключевые противоречия и проблемы внедрения современных инструментов</w:t>
      </w:r>
      <w:bookmarkEnd w:id="11"/>
    </w:p>
    <w:p w14:paraId="1DF21488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На основе анализа теоретических источников и нормативно-правовой базы можно выделить несколько ключевых противоречий и проблем внедрения современных методических инструментов в российской системе государственного управления.</w:t>
      </w:r>
    </w:p>
    <w:p w14:paraId="091D0F77" w14:textId="06D13806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Первое противоречи</w:t>
      </w:r>
      <w:r w:rsidR="001B15DB">
        <w:rPr>
          <w:rFonts w:ascii="Times New Roman" w:hAnsi="Times New Roman" w:cs="Times New Roman"/>
          <w:sz w:val="28"/>
          <w:szCs w:val="28"/>
        </w:rPr>
        <w:t>е</w:t>
      </w:r>
      <w:r w:rsidRPr="00DE0D10">
        <w:rPr>
          <w:rFonts w:ascii="Times New Roman" w:hAnsi="Times New Roman" w:cs="Times New Roman"/>
          <w:sz w:val="28"/>
          <w:szCs w:val="28"/>
        </w:rPr>
        <w:t xml:space="preserve"> заключается в разрыве между формальными требованиями к стратегическим документам и реальным содержанием стратегической работы. Как отмечают исследователи, в российских органах государственной власти доминируют традиционные, зачастую формализованные процедуры, вытесняющие содержательную аналитическую работу [1,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45-67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В методологическом плане предстоит решить вопрос о месте стратегии в системе стратегического планирования, а также о критериях оценки качества стратегических документов. Формальный подход к стратегированию приводит к тому, что стратегии становятся декларативными документами, не оказывающими реального влияния на управленческие решения.</w:t>
      </w:r>
    </w:p>
    <w:p w14:paraId="49282DE0" w14:textId="0E29F788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Второе противоречие связано с несоответствием между сложностью решаемых задач и доступным инструментарием. В условиях санкционного давления и необходимости обеспечения экономического суверенитета резко возрастает значимость стратегических решений, требующих нестандартных инструментов оценки рисков и сценарного моделирования [11,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45-62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Традиционный аппарат, ориентированный на стабильные условия, зачастую не справляется с этими задачами. Отсутствие адаптированных методик для работы в условиях высокой неопределенности приводит к тому, что стратегии разрабатываются на основе устаревших прогнозов и не учитывают потенциальные риски.</w:t>
      </w:r>
    </w:p>
    <w:p w14:paraId="0C83F90D" w14:textId="43CC1383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Третье противоречие — между технологическим потенциалом цифровизации и методической неготовностью к его использованию. Цифровые платформы создают техническую возможность для сбора и анализа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 xml:space="preserve">больших массивов данных, однако отсутствие адекватных методик трансформации данных в стратегические решения остается серьезным барьером [11,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88-94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Многие органы власти внедряют цифровые системы, но не имеют методологий для их эффективного использования в стратегическом планировании, что приводит к недоиспользованию технологического потенциала.</w:t>
      </w:r>
    </w:p>
    <w:p w14:paraId="2686B94E" w14:textId="5C39D2F0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Четвертое противоречие связано с несоответствием между декларируемыми принципами стратегического планирования и реальными механизмами их реализации. Как показывает анализ, за прошедшие годы в ФЗ-172 так и не было внесено существенных изменений, а новые положения остаются пока только декларациями [17,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188-196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В исследовании, посвященном системе документов стратегического планирования, рассматриваются проблемы, присущие этой системе: отсутствие механизмов ответственности за неисполнение стратегий, слабая увязка с бюджетным процессом, недостаточная координация между уровнями власти.</w:t>
      </w:r>
    </w:p>
    <w:p w14:paraId="4FB16E40" w14:textId="351EADDF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Пятое противоречи</w:t>
      </w:r>
      <w:r w:rsidR="001B15DB">
        <w:rPr>
          <w:rFonts w:ascii="Times New Roman" w:hAnsi="Times New Roman" w:cs="Times New Roman"/>
          <w:sz w:val="28"/>
          <w:szCs w:val="28"/>
        </w:rPr>
        <w:t>е</w:t>
      </w:r>
      <w:r w:rsidRPr="00DE0D10">
        <w:rPr>
          <w:rFonts w:ascii="Times New Roman" w:hAnsi="Times New Roman" w:cs="Times New Roman"/>
          <w:sz w:val="28"/>
          <w:szCs w:val="28"/>
        </w:rPr>
        <w:t xml:space="preserve"> — между потребностью в межведомственной и межуровневой координации и отсутствием эффективных механизмов такой координации [16,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654-669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Стратегии разрабатываются разными органами власти с разными сроками и методологиями, что приводит к их несогласованности и дублированию. На федеральном, региональном и муниципальном уровнях разрабатываются сотни стратегических документов, которые часто противоречат друг другу, что снижает эффективность всей системы стратегического планирования.</w:t>
      </w:r>
    </w:p>
    <w:p w14:paraId="6A96A29C" w14:textId="46E305DE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Шестое противоречие — между необходимостью учета мнения граждан и стейкхолдеров и ограниченностью инструментов участия, которые зачастую носят формальный характер [19,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88-99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Хотя законодательство предусматривает общественные обсуждения стратегических документов, на практике они часто сводятся к формальным процедурам, не влияющим на содержание решений. Отсутствие эффективных механизмов обратной связи снижает легитимность и обоснованность стратегических решений.</w:t>
      </w:r>
    </w:p>
    <w:p w14:paraId="1FA74A84" w14:textId="5138E099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lastRenderedPageBreak/>
        <w:t xml:space="preserve">Седьмая проблема связана с отсутствием действенных механизмов оценки эффективности стратегического планирования. Как показывает исследование Ульянова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А.Ю.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(2023), анализ федерального законодательства в области стратегического планирования свидетельствует о том, что органы публичной власти реализуют документы стратегического планирования в рамках целеполагания, прогнозирования, планирования и программирования, однако эта часть управленческой деятельности фактически не охвачена действующим механизмом оценки [29,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12-20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Закон не определяет порядок мониторинга реализации документов стратегического планирования, что снижает уровень их правовой эффективности. Для совершенствования управленческой деятельности предлагается создание единого информационно-аналитического портала мониторинга и оценки эффективности реализации документов стратегического планирования.</w:t>
      </w:r>
    </w:p>
    <w:p w14:paraId="5EDE6050" w14:textId="330A6C1A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Восьмая проблема</w:t>
      </w:r>
      <w:r w:rsidR="001B15DB">
        <w:rPr>
          <w:rFonts w:ascii="Times New Roman" w:hAnsi="Times New Roman" w:cs="Times New Roman"/>
          <w:sz w:val="28"/>
          <w:szCs w:val="28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 xml:space="preserve">— терминологическая несогласованность, заложенная в самом федеральном законодательстве. Как отмечает Ульянов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А.Ю.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, планирование определяется федеральным законодателем как деятельность по разработке и реализации мероприятий, планов деятельности, направленных на достижение целей и приоритетов, содержащихся в документах стратегического планирования, разработанных в рамках целеполагания. То есть по смыслу закона планирование как таковое не охватывает целеполагание, но при этом одновременно включает разработку и реализацию документов, что изначально вносит противоречие в понимание этих терминов [29,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12-20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</w:t>
      </w:r>
    </w:p>
    <w:p w14:paraId="717A53A6" w14:textId="4560B1F8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Девятая проблема — несоответствие действующей системы стратегического планирования изменениям, внесенным в Конституцию РФ в 2020 году. Исследование показало, что текущая система стратегического планирования сегодня не учитывает ряд поправок, внесенных в Конституцию РФ в 2020 году. В частности, речь идет о федеральных территориях — федеральное законодательство не регулирует особенности стратегического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 xml:space="preserve">планирования на других территориях, где действует специальный преференциальный режим [13,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112-125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</w:t>
      </w:r>
    </w:p>
    <w:p w14:paraId="6BABA106" w14:textId="51494ACF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Десятая проблема связана с дефицитом специалистов в области стратегического управления и государственного финансового контроля. Как отмечает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Махмудалиева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А.А.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(2023), в современной России выделяется дефицит специалистов в области государственного финансового контроля и сложности в сфере стратегического управления государственными предприятиями [30,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57-62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Основное внимание в исследовании уделяется проблемам, связанным с незаконченной бюджетной реформой, отсутствием единого механизма нормативного регулирования и фрагментарностью методической базы.</w:t>
      </w:r>
    </w:p>
    <w:p w14:paraId="5C244CC8" w14:textId="412743DB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Одиннадцатая проблем</w:t>
      </w:r>
      <w:r w:rsidR="001B15DB">
        <w:rPr>
          <w:rFonts w:ascii="Times New Roman" w:hAnsi="Times New Roman" w:cs="Times New Roman"/>
          <w:sz w:val="28"/>
          <w:szCs w:val="28"/>
        </w:rPr>
        <w:t>а</w:t>
      </w:r>
      <w:r w:rsidRPr="00DE0D10">
        <w:rPr>
          <w:rFonts w:ascii="Times New Roman" w:hAnsi="Times New Roman" w:cs="Times New Roman"/>
          <w:sz w:val="28"/>
          <w:szCs w:val="28"/>
        </w:rPr>
        <w:t xml:space="preserve"> — необходимость перехода к индикативному планированию в условиях глобальной неопределенности. В условиях растущей геоэкономической и геополитической неопределенности именно государство несет ответственность за определение вектора будущего развития страны и принятие комплексных стратегических решений для его реализации [31,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224-230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]. Как обосновывает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Ленчук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Е.Б., в связи с этим возникает необходимость повышения качества целеполагания, усиления программных и проектных принципов в решении стратегических задач экономического развития и перехода к индикативному планированию. На основе анализа основных причин, не позволяющих создать процесс стратегического планирования на системной основе в России, обосновываются основные направления совершенствования этого процесса как методологически, так и организационно, с тем чтобы превратить его в стержневой элемент формирования социально-экономической политики на современном этапе.</w:t>
      </w:r>
    </w:p>
    <w:p w14:paraId="2E47A65F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Как показывает анализ зарубежного опыта, во многих странах ОЭСР этот разрыв успешно преодолевается за счет создания специализированных государственных центров компетенций, которые занимаются адаптацией и «переводом» новых методик на язык и в практики конкретных ведомств [21,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45-60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]. В российской практике подобные институты только начинают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формироваться. Создание таких центров позволило бы преодолеть разрыв между наукой и практикой, обеспечить методическую поддержку органов власти и повысить качество стратегических решений.</w:t>
      </w:r>
    </w:p>
    <w:p w14:paraId="0A1F5AC2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Дополнительной проблемой является недостаточный уровень компетенций государственных служащих в области стратегического анализа и прогнозирования. Как показывают исследования, многие сотрудники не владеют современными методами стратегического управления, что ограничивает возможности внедрения новых инструментов [19,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88-99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Требуется системная работа по повышению квалификации государственных служащих в области стратегического менеджмента, а также обновление образовательных программ по подготовке кадров для государственной службы.</w:t>
      </w:r>
    </w:p>
    <w:p w14:paraId="69A8E8F3" w14:textId="77777777" w:rsid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Таким образом, ключевые проблемы внедрения современных инструментов носят комплексный институциональный характер и требуют системного решения, учитывающего как формальные регламенты, так и реальные организационные практики. Преодоление этих проблем предполагает модернизацию нормативно-правовой базы, развитие методического обеспечения, повышение квалификации кадров и создание институтов методической поддержки стратегического управления.</w:t>
      </w:r>
    </w:p>
    <w:p w14:paraId="5CC12078" w14:textId="77777777" w:rsidR="001B15DB" w:rsidRPr="00DE0D10" w:rsidRDefault="001B15DB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BB011F" w14:textId="13BAC7F3" w:rsidR="00DE0D10" w:rsidRPr="001B15DB" w:rsidRDefault="00DE0D10" w:rsidP="001B15DB">
      <w:pPr>
        <w:pStyle w:val="3"/>
        <w:suppressAutoHyphens/>
        <w:spacing w:before="0" w:after="0" w:line="360" w:lineRule="auto"/>
        <w:ind w:left="709"/>
        <w:rPr>
          <w:rFonts w:ascii="Arial CYR" w:hAnsi="Arial CYR" w:cs="Times New Roman"/>
          <w:color w:val="000000" w:themeColor="text1"/>
        </w:rPr>
      </w:pPr>
      <w:bookmarkStart w:id="12" w:name="_Toc234074103"/>
      <w:r w:rsidRPr="001B15DB">
        <w:rPr>
          <w:rFonts w:ascii="Arial CYR" w:hAnsi="Arial CYR" w:cs="Times New Roman"/>
          <w:color w:val="000000" w:themeColor="text1"/>
        </w:rPr>
        <w:t>1.3 Методологические подходы к исследованию и оценке эффективности методического инструментария</w:t>
      </w:r>
      <w:bookmarkEnd w:id="12"/>
    </w:p>
    <w:p w14:paraId="7126B1B0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7BAC50" w14:textId="2A130C69" w:rsidR="00DE0D10" w:rsidRPr="001B15DB" w:rsidRDefault="00DE0D10" w:rsidP="001B15DB">
      <w:pPr>
        <w:pStyle w:val="3"/>
        <w:suppressAutoHyphens/>
        <w:spacing w:before="0" w:after="0" w:line="360" w:lineRule="auto"/>
        <w:ind w:left="709"/>
        <w:rPr>
          <w:rFonts w:ascii="Arial CYR" w:hAnsi="Arial CYR" w:cs="Times New Roman"/>
          <w:color w:val="000000" w:themeColor="text1"/>
        </w:rPr>
      </w:pPr>
      <w:bookmarkStart w:id="13" w:name="_Toc234074104"/>
      <w:r w:rsidRPr="001B15DB">
        <w:rPr>
          <w:rFonts w:ascii="Arial CYR" w:hAnsi="Arial CYR" w:cs="Times New Roman"/>
          <w:color w:val="000000" w:themeColor="text1"/>
        </w:rPr>
        <w:t>1.3.1 Обоснование выбора системного, процессного, контекстуального и институционального подходов</w:t>
      </w:r>
      <w:bookmarkEnd w:id="13"/>
    </w:p>
    <w:p w14:paraId="478E712C" w14:textId="77777777" w:rsidR="00DE0D10" w:rsidRPr="00DE0D10" w:rsidRDefault="00DE0D10" w:rsidP="001B15D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98856B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Для всестороннего изучения проблематики методического инструментария разработки стратегических управленческих решений в государственном секторе целесообразно применение синтеза нескольких взаимодополняющих научно-методологических подходов.</w:t>
      </w:r>
    </w:p>
    <w:p w14:paraId="37D34DEC" w14:textId="34662F62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lastRenderedPageBreak/>
        <w:t xml:space="preserve">Системный подход позволяет рассматривать методический инструментарий не как набор разрозненных методов, а как целостную систему, встроенную в более крупную систему стратегического управления организацией. В рамках этого подхода анализируются взаимосвязи между инструментами, этапами процесса и организационной структурой. Как отмечает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Брайсон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Дж.М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>., стратегическое планирование и управление — это не единая неизменная вещь, а набор концепций, процессов, процедур, инструментов, техник и практик, которые должны избирательно и продуманно адаптироваться к конкретным контекстам [6, с. 45-78]. Системный подход позволяет выявить эмерджентные свойства инструментария, такие как согласованность, полнота, сбалансированность, а также определить, какие инструменты отсутствуют или дублируют друг друга. Применение системного подхода предполагает рассмотрение методического инструментария в единстве его элементов: методов, процедур, организационных механизмов, информационной базы и кадрового обеспечения.</w:t>
      </w:r>
    </w:p>
    <w:p w14:paraId="6907A64D" w14:textId="2A52709C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Процессный подход акцентирует внимание на деятельности как на процессе — непрерывной цепи взаимосвязанных операций. Применительно к исследованию, это означает изучение процесса разработки стратегического решения от инициации до утверждения, с идентификацией на каждом этапе используемых методических инструментов.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Вандерсмиссен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и Джордж подчеркивают, что стратегическое управление интегрирует формулирование и реализацию стратегии и обычно включает стратегическое планирование, способы реализации стратегий и непрерывное стратегическое обучение [4, с. 112-125]. Процессный подход позволяет детально рассмотреть последовательность применения инструментов, временные затраты, участников, информационные потоки, а также выявить узкие места и барьеры на каждом этапе стратегического цикла.</w:t>
      </w:r>
    </w:p>
    <w:p w14:paraId="09D038A6" w14:textId="4E803136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Контекстуальный (ситуационный) подход исходит из предпосылки, что не существует универсального «лучшего» набора инструментов. Их эффективность зависит от конкретных условий: типа стратегической задачи,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 xml:space="preserve">отраслевой специфики, организационной культуры, ресурсного обеспечения [5,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12-15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Исследования показывают, что накапливаются знания о том, какие подходы к стратегическому планированию и управлению работают в каких обстоятельствах, как и почему, но многое еще предстоит сделать. Контекстуальный подход позволяет разрабатывать гибкие рекомендации, а не жесткие шаблоны, что особенно важно для государственного сектора с его разнообразием ситуаций. Он требует учета региональных, отраслевых и организационных особенностей при выборе и адаптации инструментов.</w:t>
      </w:r>
    </w:p>
    <w:p w14:paraId="43A4D03D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Обоснование контекстуального подхода дополнительно связано с концепцией публичной ценности (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), разработанной Муром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М.Х.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В рамках этой концепции публичные менеджеры должны действовать в рамках «стратегического треугольника», где они осуществляют деятельность по: а) созданию ценности для гражданского общества; б) обеспечению легитимности и поддержки; в) развитию операционной способности. В отличие от частного сектора, где организации ориентированы на получение прибыли, государственные организации движимы созданием публичной ценности, которая охватывает мандат агентства, операционные возможности и социальную миссию. Контекстуальный подход позволяет учитывать, что эффективность инструментов зависит от того, насколько они соответствуют этим трем измерениям публичной ценности в конкретных условиях.</w:t>
      </w:r>
    </w:p>
    <w:p w14:paraId="308FDDD8" w14:textId="78C791EF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Институциональный подход помогает понять, как формальные правила (законы, регламенты, стандарты) и неформальные нормы внутри государственного органа влияют на выбор, применение и восприятие методических инструментов [15,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88-99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]. Анализ ФЗ-172 и других нормативных актов показывает, что правовое регулирование создает формальные рамки, но не обеспечивает содержательного наполнения стратегической работы. Институциональный подход также учитывает исторически сложившиеся практики, властные отношения и культурные особенности, что позволяет объяснить устойчивость неэффективных практик. Он фокусируется на правилах игры, которые определяют поведение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участников стратегического процесса, и помогает выявить институциональные барьеры на пути внедрения современных инструментов.</w:t>
      </w:r>
    </w:p>
    <w:p w14:paraId="69F0D102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Институциональный подход получает дополнительное обоснование через концепцию «цифрового изоморфизма». Как показывает исследование внедрения цифровых двойников в итальянских муниципалитетах, распространение цифровых технологий в публичном секторе приводит к возникновению паттернов организационной конвергенции в местном управлении, что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концептуализируется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как цифровой изоморфизм. Теоретической основой этого анализа служит институциональная теория и литература по цифровому публичному администрированию. Институциональный подход позволяет выявить, как формальные и неформальные институты влияют на выбор и внедрение методических инструментов, и почему в разных организациях при схожих внешних условиях формируются различные практики стратегирования.</w:t>
      </w:r>
    </w:p>
    <w:p w14:paraId="4DB447E5" w14:textId="33FB5EFC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Дополнительные подходы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: Для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полноты анализа также целесообразно привлечение сравнительного подхода (сопоставление практик разных органов власти, разных стран) и эволюционного подхода (рассмотрение динамики изменения инструментария во времени). Сравнительный подход позволяет выявить успешные практики и адаптировать их к российским условиям, а эволюционный — проследить логику развития методического инструментария и прогнозировать его дальнейшие изменения. Эти подходы обогащают авторскую модель, позволяя учесть как общие закономерности, так и уникальные особенности конкретного объекта исследования.</w:t>
      </w:r>
    </w:p>
    <w:p w14:paraId="0EEE2991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Как отмечается в «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Strategic Public Management» под редакцией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Греве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К. и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Йсы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Т. (2023), существуют пять перспектив рассмотрения стратегического публичного менеджмента: индивидуальный публичный менеджер, организация,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межорганизационная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сеть, системный/государственный уровень и международная организация [5, с. 12-15]. Это многообразие уровней анализа подтверждает необходимость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применения системного подхода, позволяющего учитывать взаимосвязи между различными уровнями стратегического управления.</w:t>
      </w:r>
    </w:p>
    <w:p w14:paraId="35F55ECF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Качественные методы исследования, включающие анализ документов и интервью, позволяют выявить глубинные смыслы, которые респонденты вкладывают в использование тех или иных методов, и расшифровать влияние неформальных норм на управленческое поведение [19,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88-99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Это особенно важно для понимания реальных практик применения инструментов, которые могут существенно отличаться от формальных предписаний.</w:t>
      </w:r>
    </w:p>
    <w:p w14:paraId="20C97D77" w14:textId="42D8CABE" w:rsid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Таким образом, обоснование выбора системного, процессного, контекстуального и институционального подходов создает многомерную исследовательскую оптику, позволяющую всесторонне изучить проблематику методического инструментария и разработать обоснованные рекомендации по его совершенствованию.</w:t>
      </w:r>
    </w:p>
    <w:p w14:paraId="5ADAB246" w14:textId="77777777" w:rsidR="001B15DB" w:rsidRPr="00DE0D10" w:rsidRDefault="001B15DB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105A37" w14:textId="4BEABB85" w:rsidR="00DE0D10" w:rsidRPr="001B15DB" w:rsidRDefault="00DE0D10" w:rsidP="001B15DB">
      <w:pPr>
        <w:pStyle w:val="3"/>
        <w:suppressAutoHyphens/>
        <w:spacing w:before="0" w:after="0" w:line="360" w:lineRule="auto"/>
        <w:ind w:left="709"/>
        <w:rPr>
          <w:rFonts w:ascii="Arial CYR" w:hAnsi="Arial CYR" w:cs="Times New Roman"/>
          <w:color w:val="000000" w:themeColor="text1"/>
        </w:rPr>
      </w:pPr>
      <w:bookmarkStart w:id="14" w:name="_Toc234074105"/>
      <w:r w:rsidRPr="001B15DB">
        <w:rPr>
          <w:rFonts w:ascii="Arial CYR" w:hAnsi="Arial CYR" w:cs="Times New Roman"/>
          <w:color w:val="000000" w:themeColor="text1"/>
        </w:rPr>
        <w:t>1.3.2 Критерии оценки эффективности методического инструментария</w:t>
      </w:r>
      <w:bookmarkEnd w:id="14"/>
    </w:p>
    <w:p w14:paraId="6561C685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09D4A6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Оценка эффективности методического инструментария в государственном секторе представляет собой сложную методологическую задачу, поскольку традиционные критерии частного сектора (прибыль, рентабельность) здесь неприменимы. Необходима разработка системы критериев, учитывающих специфику публичного управления и множественность целей государственной деятельности.</w:t>
      </w:r>
    </w:p>
    <w:p w14:paraId="6CFB6CC7" w14:textId="0144E30D" w:rsidR="00DE0D10" w:rsidRPr="00DE0D10" w:rsidRDefault="00DE0D10" w:rsidP="00546E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На основе анализа теоретических источников можно выделить следующие критерии оценки эффективности методического инструментария:</w:t>
      </w:r>
    </w:p>
    <w:p w14:paraId="142FA73D" w14:textId="4AC72D15" w:rsidR="00DE0D10" w:rsidRPr="00DE0D10" w:rsidRDefault="00DE0D10" w:rsidP="00546E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Критерий обоснованности — насколько применение инструментария позволяет получить достоверную и полную информацию для принятия решения. Как отмечает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Пойстер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Т.Х., стратегия должна становиться более осмысленной, а не просто формальным документом [7, с. 1126-1135]. Стратегическое управление должно быть направлено на укрепление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долгосрочной жизнеспособности организации. Обоснованность включает полноту охвата факторов, корректность применения методов, актуальность данных. Оценка этого критерия предполагает анализ того, насколько применяемые инструменты позволяют выявлять ключевые проблемы и возможности развития.</w:t>
      </w:r>
    </w:p>
    <w:p w14:paraId="032F8842" w14:textId="6945D074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Критерий своевременности — насколько инструментарий позволяет принимать решения в условиях ограниченного времени и высокой неопределенности. В условиях глобальной экономической трансформации особое значение приобретает способность инструментария снижать неопределенность [11,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45-62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Оценка своевременности связана с продолжительностью каждого этапа стратегического цикла, оперативностью получения результатов, а также способностью инструментов работать в режиме реального времени при мониторинге реализации стратегий.</w:t>
      </w:r>
    </w:p>
    <w:p w14:paraId="5ED27BA8" w14:textId="6EA6C752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Критерий реализуемости</w:t>
      </w:r>
      <w:r w:rsidR="001B15DB">
        <w:rPr>
          <w:rFonts w:ascii="Times New Roman" w:hAnsi="Times New Roman" w:cs="Times New Roman"/>
          <w:sz w:val="28"/>
          <w:szCs w:val="28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 xml:space="preserve">— насколько разработанные с использованием инструментария стратегии могут быть практически реализованы в существующих организационных условиях. Исследования показывают, что для успеха реализуемых стратегий ключевое значение имеют: политическое лидерство и эффективные менеджеры стратегического управления, ограниченное число хорошо выбранных и социально принятых целей, сотрудничество ключевых стейкхолдеров, синергия действий и их модификация в меняющихся обстоятельствах [5,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12-15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Реализуемость также включает оценку ресурсной обеспеченности и управленческого потенциала, а также наличие механизмов трансформации стратегических целей в конкретные планы действий.</w:t>
      </w:r>
    </w:p>
    <w:p w14:paraId="3A1F1BBF" w14:textId="2886A36F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Критерий согласованности — насколько инструментарий обеспечивает координацию различных участников стратегического процесса и согласование их интересов [16,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654-669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]. Оценка согласованности стратегических документов на региональном и муниципальном уровнях является актуальной задачей. Согласованность проявляется в отсутствии противоречий между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целями, показателями и сроками разных документов, а также в координации действий различных органов власти и структурных подразделений.</w:t>
      </w:r>
    </w:p>
    <w:p w14:paraId="5BE2B3FF" w14:textId="158FA21D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Критерий адаптивности — насколько инструментарий позволяет корректировать стратегию в ответ на изменение внешних условий. Глобальные вызовы требуют перестройки всей системы национального стратегического планирования [12,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78-95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]. Важным элементом стратегии является ее бюджет,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т.е.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трансляция долгосрочных целей в решения о доходах и расходах публичной единицы. Адаптивность предполагает наличие механизмов мониторинга, обратной связи и пересмотра решений, а также способность инструментов работать в условиях быстроменяющейся среды.</w:t>
      </w:r>
    </w:p>
    <w:p w14:paraId="22AA040D" w14:textId="19CCED38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Критерий полезности — создает ли применение инструментария реальную публичную ценность для граждан и общества. Это сложный для измерения, но принципиальный критерий, включающий улучшение качества жизни, социальную справедливость, экологическую устойчивость [5,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12-15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Оценка полезности требует разработки системы социальных индикаторов и механизмов обратной связи от граждан и стейкхолдеров.</w:t>
      </w:r>
    </w:p>
    <w:p w14:paraId="59C00B8B" w14:textId="6D20C705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Критерий цифровой зрелости — насколько инструментарий адаптирован к условиям цифровой трансформации и позволяет использовать возможности больших данных, искусственного интеллекта и цифровых двойников. Как отмечается в исследовании развития государственного управления на основе цифровых технологических решений, одним из ключевых барьеров на пути цифровизации является неадекватная цифровая инфраструктура и нехватка квалифицированных человеческих ресурсов [27,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110-114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Цифровая зрелость предполагает не только наличие технологической инфраструктуры, но и методическую готовность к использованию новых инструментов.</w:t>
      </w:r>
    </w:p>
    <w:p w14:paraId="6E926590" w14:textId="7E688156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Критерий легитимности — насколько применение инструментария обеспечивает общественное признание и поддержку принимаемых решений.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В рамках концепции публичной ценности,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легитимность является одним из трех ключевых измерений стратегического треугольника наряду с созданием ценности и операционной способностью. Инструментарий должен не только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обеспечивать аналитическую обоснованность решений, но и создавать условия для их общественного обсуждения и принятия.</w:t>
      </w:r>
    </w:p>
    <w:p w14:paraId="56228D9E" w14:textId="239A39BC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Критерий межведомственной координации — насколько инструментарий обеспечивает согласованность стратегических документов и действий различных органов власти. Как показывает исследование, действующая система стратегического планирования не описывает механизмы межотраслевой и межрегиональной координации разрабатываемых документов стратегического планирования, что создает серьезные проблемы для реализации стратегий [16,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654-669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Инструментарий должен способствовать преодолению ведомственных барьеров и обеспечению синергии усилий различных участников стратегического процесса.</w:t>
      </w:r>
    </w:p>
    <w:p w14:paraId="3A9E95C9" w14:textId="59781D12" w:rsidR="001B15DB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Критерий адаптивности к внешним шокам — насколько инструментарий позволяет оперативно корректировать стратегические курсы в ответ на резкие изменения внешней среды. В условиях растущей геоэкономической и геополитической неопределенности именно государство несет ответственность за определение вектора будущего развития страны и принятие комплексных стратегических решений для его реализации [31,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224-230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Инструментарий должен включать механизмы сценарного планирования, стресс-тестирования стратегий и оперативной корректировки целей и показателей.</w:t>
      </w:r>
      <w:r w:rsidR="001B15DB" w:rsidRPr="00DE0D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5FD01D" w14:textId="70002D0E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Критерий институциональной совместимости — насколько инструментарий соответствует существующим формальным и неформальным институтам, сложившимся в конкретном органе власти. Как показывает анализ проблем внедрения цифровых технологий, широко распространенная и глубоко укоренившаяся в государственном секторе модель бюрократии создает серьезные барьеры для инноваций. Инструментарий должен учитывать институциональные ограничения и предлагать реалистичные пути их преодоления.</w:t>
      </w:r>
    </w:p>
    <w:p w14:paraId="1897735A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Методология оценки эффективности государственного управления должна обновляться с учетом лучших мировых практик в условиях цифровой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 xml:space="preserve">экономики [22, с.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56-78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>]. В этом контексте особое значение приобретает использование стратегического анализа, включая PEST-анализ, для оценки эффективности государственного управления. Также актуальным является внедрение методов оценки воздействия регуляторных решений и оценки эффективности бюджетных расходов.</w:t>
      </w:r>
    </w:p>
    <w:p w14:paraId="43561B58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Таким образом, система критериев оценки эффективности методического инструментария должна быть многомерной, учитывающей как процессные, так и результативные аспекты, а также специфику публичного сектора, включая множественность целей и заинтересованных сторон.</w:t>
      </w:r>
    </w:p>
    <w:p w14:paraId="5963E28C" w14:textId="77777777" w:rsidR="00DE0D10" w:rsidRPr="001B15DB" w:rsidRDefault="00DE0D10" w:rsidP="001B15DB">
      <w:pPr>
        <w:pStyle w:val="3"/>
        <w:suppressAutoHyphens/>
        <w:spacing w:before="0" w:after="0" w:line="360" w:lineRule="auto"/>
        <w:ind w:left="709"/>
        <w:rPr>
          <w:rFonts w:ascii="Arial CYR" w:hAnsi="Arial CYR" w:cs="Times New Roman"/>
          <w:color w:val="000000" w:themeColor="text1"/>
        </w:rPr>
      </w:pPr>
    </w:p>
    <w:p w14:paraId="67F6FE0E" w14:textId="7F74A329" w:rsidR="00DE0D10" w:rsidRPr="001B15DB" w:rsidRDefault="00DE0D10" w:rsidP="001B15DB">
      <w:pPr>
        <w:pStyle w:val="3"/>
        <w:suppressAutoHyphens/>
        <w:spacing w:before="0" w:after="0" w:line="360" w:lineRule="auto"/>
        <w:ind w:left="709"/>
        <w:rPr>
          <w:rFonts w:ascii="Arial CYR" w:hAnsi="Arial CYR" w:cs="Times New Roman"/>
          <w:color w:val="000000" w:themeColor="text1"/>
        </w:rPr>
      </w:pPr>
      <w:bookmarkStart w:id="15" w:name="_Toc234074106"/>
      <w:r w:rsidRPr="001B15DB">
        <w:rPr>
          <w:rFonts w:ascii="Arial CYR" w:hAnsi="Arial CYR" w:cs="Times New Roman"/>
          <w:color w:val="000000" w:themeColor="text1"/>
        </w:rPr>
        <w:t>1.3.3 Авторская многоуровневая аналитическая модель</w:t>
      </w:r>
      <w:bookmarkEnd w:id="15"/>
    </w:p>
    <w:p w14:paraId="097D6031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DFEA01" w14:textId="1157D946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На основе синтеза рассмотренных методологических подходов и критериев оценки предлагается авторская многоуровневая контекстуальная модель эффективности методического инструментария в государственном секторе.</w:t>
      </w:r>
    </w:p>
    <w:p w14:paraId="21A3AA7B" w14:textId="77777777" w:rsidR="00DE0D10" w:rsidRPr="00DE0D10" w:rsidRDefault="00DE0D10" w:rsidP="001B15D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Модель исходит из того, что ключевой проблемой является разрыв между номинальной доступностью инструментов, регламентированным применением и реальной управленческой эффективностью. Этот разрыв обусловлен несогласованностью трех уровней, каждый из которых имеет свои логику и дискурс.</w:t>
      </w:r>
    </w:p>
    <w:p w14:paraId="2B7EA764" w14:textId="7ED19BDB" w:rsidR="00DE0D10" w:rsidRPr="00DE0D10" w:rsidRDefault="00DE0D10" w:rsidP="001B15D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Уровень 1: Научно-методический контекст включает теоретические разработки, классификации, «идеальные» инструменты, предлагаемые в научной литературе (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Брайсон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Минцберг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>, Портер и др.) [6, 8, 9]. Преобладающий дискурс на этом уровне — рациональность, системность, эффективность. Однако эти разработки часто слишком абстрактны и не учитывают реалии конкретного органа власти. На этом уровне инструменты рассматриваются как теоретические конструкты, обладающие внутренней логикой и обоснованностью, но не адаптированные к конкретным условиям применения.</w:t>
      </w:r>
    </w:p>
    <w:p w14:paraId="555CEF8D" w14:textId="4AA4C015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lastRenderedPageBreak/>
        <w:t>Уровень 2: Институционально-правовой контекст включает законы, регламенты, государственные программы, приоритеты (ФЗ-172, национальные проекты, стратегии цифровой трансформации) [17, 20]. Преобладающий дискурс — формализация, подотчетность, соответствие. Этот уровень задает обязательные требования, но часто не дает достаточной свободы для творческой адаптации инструментов. На этом уровне инструменты предписываются как обязательные процедуры, но без глубокого понимания их содержания и потенциала.</w:t>
      </w:r>
    </w:p>
    <w:p w14:paraId="78E56183" w14:textId="28211A1B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Уровень 3: Организационно-практический контекст включает реальные условия конкретного органа власти: структуру, культуру, ресурсы, рутины, компетенции сотрудников [1, 19]. Преобладающий дискурс — ресурсные ограничения, бюрократия, неформальные практики. Именно на этом уровне инструменты либо </w:t>
      </w:r>
      <w:r w:rsidR="001B15DB">
        <w:rPr>
          <w:rFonts w:ascii="Times New Roman" w:hAnsi="Times New Roman" w:cs="Times New Roman"/>
          <w:sz w:val="28"/>
          <w:szCs w:val="28"/>
        </w:rPr>
        <w:t>«</w:t>
      </w:r>
      <w:r w:rsidRPr="00DE0D10">
        <w:rPr>
          <w:rFonts w:ascii="Times New Roman" w:hAnsi="Times New Roman" w:cs="Times New Roman"/>
          <w:sz w:val="28"/>
          <w:szCs w:val="28"/>
        </w:rPr>
        <w:t>приживаются</w:t>
      </w:r>
      <w:r w:rsidR="001B15DB">
        <w:rPr>
          <w:rFonts w:ascii="Times New Roman" w:hAnsi="Times New Roman" w:cs="Times New Roman"/>
          <w:sz w:val="28"/>
          <w:szCs w:val="28"/>
        </w:rPr>
        <w:t>»</w:t>
      </w:r>
      <w:r w:rsidRPr="00DE0D10">
        <w:rPr>
          <w:rFonts w:ascii="Times New Roman" w:hAnsi="Times New Roman" w:cs="Times New Roman"/>
          <w:sz w:val="28"/>
          <w:szCs w:val="28"/>
        </w:rPr>
        <w:t>, либо отвергаются. Здесь ключевыми факторами становятся не формальные требования, а практические возможности и ограничения.</w:t>
      </w:r>
    </w:p>
    <w:p w14:paraId="6E8E46ED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Эффективность методического инструментария определяется не на одном уровне, а в точке взаимодействия всех трех контекстов. Инструмент может быть теоретически совершенен (Уровень 1) и формально предписан (Уровень 2), но его применение будет неэффективным из-за дефицита компетенций, времени или доминирования неформальных «правил игры» (Уровень 3). И наоборот, простой, но хорошо встроенный в организационные рутины инструмент может давать больший практический эффект.</w:t>
      </w:r>
    </w:p>
    <w:p w14:paraId="3E6BBFE6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Процесс разработки стратегического решения проходит через этапы: анализ → генерация идей → оценка → выбор. На каждом этапе применяется определенный инструментарий, эффективность которого зависит от согласованности всех трех уровней контекста.</w:t>
      </w:r>
    </w:p>
    <w:p w14:paraId="67DF52A7" w14:textId="46612060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Детализация модели по этапам стратегического процесса:</w:t>
      </w:r>
    </w:p>
    <w:p w14:paraId="7D72C447" w14:textId="3296C8E4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- На этапе анализа:</w:t>
      </w:r>
      <w:r w:rsidR="001B15DB">
        <w:rPr>
          <w:rFonts w:ascii="Times New Roman" w:hAnsi="Times New Roman" w:cs="Times New Roman"/>
          <w:sz w:val="28"/>
          <w:szCs w:val="28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 xml:space="preserve">инструменты должны обеспечивать сбор и обработку данных о внешней и внутренней среде (SWOT, PEST, стейкхолдер-анализ). Проблемы возникают, когда формальные требования (Уровень 2) требуют </w:t>
      </w:r>
      <w:r w:rsidRPr="00DE0D10">
        <w:rPr>
          <w:rFonts w:ascii="Times New Roman" w:hAnsi="Times New Roman" w:cs="Times New Roman"/>
          <w:sz w:val="28"/>
          <w:szCs w:val="28"/>
        </w:rPr>
        <w:lastRenderedPageBreak/>
        <w:t>использования SWOT, но реальные навыки сотрудников (Уровень 3) недостаточны для качественного анализа, а научные модели (Уровень 1) не адаптированы к специфике государственного сектора.</w:t>
      </w:r>
    </w:p>
    <w:p w14:paraId="6C5AB17B" w14:textId="04E1651E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- На этапе генерации идей:</w:t>
      </w:r>
      <w:r w:rsidR="001B15DB">
        <w:rPr>
          <w:rFonts w:ascii="Times New Roman" w:hAnsi="Times New Roman" w:cs="Times New Roman"/>
          <w:sz w:val="28"/>
          <w:szCs w:val="28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 xml:space="preserve">инструменты, такие как мозговой штурм или метод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Дельфи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>, требуют времени и организационных условий. Часто они формально проводятся, но реально не влияют на выбор стратегии из-за доминирования бюрократических процедур или отсутствия культуры открытого обсуждения.</w:t>
      </w:r>
    </w:p>
    <w:p w14:paraId="337A0BB3" w14:textId="17831234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- На этапе оценки и выбора: требуются системы критериев и экспертных оценок. Однако из-за политического давления или доминирования одного стейкхолдера эти инструменты могут искажаться, а их результаты — игнорироваться.</w:t>
      </w:r>
    </w:p>
    <w:p w14:paraId="11CCE678" w14:textId="24121438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- На этапе реализации и мониторинга: инструменты проектного управления и сбалансированной системы показателей требуют регулярного сбора данных и обратной связи. Проблемы возникают, когда мониторинг становится формальным отчетом, не влияющим на корректировку стратегии.</w:t>
      </w:r>
    </w:p>
    <w:p w14:paraId="5BC9B9A0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Модель также учитывает фактор времени: стратегический процесс не линейный, а циклический, с обратными связями. Инструменты мониторинга и оценки позволяют корректировать стратегию, но только если они реально применяются и результаты учитываются. В модели предусмотрены механизмы обратной связи между этапами, позволяющие корректировать стратегию на основе результатов мониторинга.</w:t>
      </w:r>
    </w:p>
    <w:p w14:paraId="5FE678C0" w14:textId="0DE2B42D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«Разрывы» в модели и способы их диагностики:</w:t>
      </w:r>
    </w:p>
    <w:p w14:paraId="27B34022" w14:textId="6894D26A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1. Разрыв между Уровнем 1 и Уровнем 2: научные разработки не находят отражения в нормативных документах. Диагностируется через анализ соответствия методических рекомендаций требованиям законодательства.</w:t>
      </w:r>
    </w:p>
    <w:p w14:paraId="5999D4F7" w14:textId="6424212E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2. Разрыв между Уровнем 2 и Уровнем 3: формальные требования не реализуются на практике. Диагностируется через интервью и наблюдение за реальными процессами.</w:t>
      </w:r>
    </w:p>
    <w:p w14:paraId="7F025A0A" w14:textId="4F3953FC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lastRenderedPageBreak/>
        <w:t>3. Разрыв между Уровнем 1 и Уровнем 3: теоретические модели не учитывают реальные организационные условия. Диагностируется через сопоставление идеальных и реальных практик.</w:t>
      </w:r>
    </w:p>
    <w:p w14:paraId="2E31978C" w14:textId="61FF264A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Данная модель позволяет диагностировать не просто наличие или отсутствие инструментов, а конкретные «разрывы» между уровнями, которые снижают эффективность стратегических решений. Она создает концептуальную основу для эмпирического исследования, которое предполагается провести на примере </w:t>
      </w:r>
      <w:r w:rsidR="005273E0">
        <w:rPr>
          <w:rFonts w:ascii="Times New Roman" w:hAnsi="Times New Roman" w:cs="Times New Roman"/>
          <w:sz w:val="28"/>
          <w:szCs w:val="28"/>
        </w:rPr>
        <w:t>м</w:t>
      </w:r>
      <w:r w:rsidRPr="00DE0D10">
        <w:rPr>
          <w:rFonts w:ascii="Times New Roman" w:hAnsi="Times New Roman" w:cs="Times New Roman"/>
          <w:sz w:val="28"/>
          <w:szCs w:val="28"/>
        </w:rPr>
        <w:t>инистерства экономического развития Приморского края, и для разработки практических рекомендаций по совершенствованию методического инструментария.</w:t>
      </w:r>
    </w:p>
    <w:p w14:paraId="04183170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Применение модели предполагает следующие шаги: 1) инвентаризация инструментов, закрепленных в научной литературе; 2) анализ нормативных требований к стратегическому планированию; 3) диагностика реальных практик применения инструментов в конкретном органе власти; 4) выявление «разрывов» между уровнями; 5) разработка рекомендаций по устранению выявленных разрывов и повышению эффективности инструментария.</w:t>
      </w:r>
    </w:p>
    <w:p w14:paraId="59F6CFCE" w14:textId="77777777" w:rsidR="001B15DB" w:rsidRDefault="001B15DB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41C61F97" w14:textId="77777777" w:rsidR="001B15DB" w:rsidRDefault="001B1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1950F56" w14:textId="262FB372" w:rsidR="00DE0D10" w:rsidRPr="001B15DB" w:rsidRDefault="00DE0D10" w:rsidP="001B15DB">
      <w:pPr>
        <w:pStyle w:val="1"/>
        <w:suppressAutoHyphens/>
        <w:jc w:val="center"/>
        <w:rPr>
          <w:rFonts w:ascii="Arial CYR" w:hAnsi="Arial CYR" w:cs="Times New Roman"/>
          <w:color w:val="000000" w:themeColor="text1"/>
          <w:sz w:val="30"/>
          <w:szCs w:val="30"/>
        </w:rPr>
      </w:pPr>
      <w:bookmarkStart w:id="16" w:name="_Toc234074107"/>
      <w:r w:rsidRPr="001B15DB">
        <w:rPr>
          <w:rFonts w:ascii="Arial CYR" w:hAnsi="Arial CYR" w:cs="Times New Roman"/>
          <w:color w:val="000000" w:themeColor="text1"/>
          <w:sz w:val="30"/>
          <w:szCs w:val="30"/>
        </w:rPr>
        <w:lastRenderedPageBreak/>
        <w:t>Заключение</w:t>
      </w:r>
      <w:bookmarkEnd w:id="16"/>
    </w:p>
    <w:p w14:paraId="5E7A41FD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426865" w14:textId="1B9044EF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По итогам прохождения производственной научно-исследовательской практики </w:t>
      </w:r>
      <w:r w:rsidR="00546E94">
        <w:rPr>
          <w:rFonts w:ascii="Times New Roman" w:hAnsi="Times New Roman" w:cs="Times New Roman"/>
          <w:sz w:val="28"/>
          <w:szCs w:val="28"/>
        </w:rPr>
        <w:t xml:space="preserve">достигнуты </w:t>
      </w:r>
      <w:r w:rsidRPr="00DE0D10">
        <w:rPr>
          <w:rFonts w:ascii="Times New Roman" w:hAnsi="Times New Roman" w:cs="Times New Roman"/>
          <w:sz w:val="28"/>
          <w:szCs w:val="28"/>
        </w:rPr>
        <w:t>поставленные задачи в соответствии с индивидуальным заданием.</w:t>
      </w:r>
    </w:p>
    <w:p w14:paraId="55AE7478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В ходе работы над пунктом 1.1 раскрыто содержание понятия «методический инструментарий» стратегического управления, проанализированы классификации и компоненты инструментария (SWOT, PEST, BSC, бенчмаркинг, матрица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Ансоффа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>, отраслевой анализ Портера и др.), выявлены тенденции его развития в контексте цифровизации и новых вызовов. Установлено, что современный этап характеризуется переходом от разрозненных методов к интегративным системам, учитывающим специфику публичного сектора. Особое внимание уделено новым цифровым инструментам, таким как технологии цифровых двойников и искусственный интеллект, которые открывают принципиально новые возможности для стратегического анализа и прогнозирования в государственном управлении [26, 27, 28].</w:t>
      </w:r>
    </w:p>
    <w:p w14:paraId="2A8B3AF5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В пункте 1.2 выявлена специфика стратегических решений в государственном секторе (политическое влияние, множественность стейкхолдеров, нефинансовый характер целей), проанализировано влияние нормативно-правового регулирования (ФЗ-172) на процессы стратегирования, сформулированы ключевые противоречия и проблемы внедрения современных инструментов: разрыв между формальными требованиями и содержательной работой, несоответствие сложности задач доступному инструментарию, разрыв между технологическим потенциалом и методической готовностью. Дополнительно выявлены проблемы отсутствия действенных механизмов оценки эффективности стратегического планирования, терминологической несогласованности в законодательстве, дефицита специалистов в области стратегического управления и необходимость перехода к индикативному планированию [29, 30, 31].</w:t>
      </w:r>
    </w:p>
    <w:p w14:paraId="3A61991A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3B5AF4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В пункте 1.3 обоснован выбор системного, процессного, контекстуального и институционального подходов к исследованию, сформулированы критерии оценки эффективности инструментария (обоснованность, своевременность, реализуемость, согласованность, адаптивность, полезность, цифровая зрелость, легитимность, межведомственная координация, адаптивность к внешним шокам, институциональная совместимость) и разработана авторская многоуровневая аналитическая модель, позволяющая диагностировать «разрывы» между научно-методическим, институционально-правовым и организационно-практическим уровнями.</w:t>
      </w:r>
    </w:p>
    <w:p w14:paraId="6C956F75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Проведен систематизированный обзор и критическая оценка результатов исследований российских и зарубежных ученых в области выбранной темы, включая работы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Брайсона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Дж.М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Пойстера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Т.Х.,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Минцберга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Г., Портера М., Сильвестрова С.Н., Прокофьева С.Е., Казанцева Н.М.,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Ленчук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Е.Б.,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Вандерсмиссен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Л. и Джорджа Б.,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Греве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К. и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Йсы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Т., а также других авторов.</w:t>
      </w:r>
    </w:p>
    <w:p w14:paraId="603E1CF3" w14:textId="15676BA1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Подготовлена научная статья по результатам исследования</w:t>
      </w:r>
      <w:r w:rsidR="001B15DB">
        <w:rPr>
          <w:rFonts w:ascii="Times New Roman" w:hAnsi="Times New Roman" w:cs="Times New Roman"/>
          <w:sz w:val="28"/>
          <w:szCs w:val="28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>для публикации</w:t>
      </w:r>
      <w:r w:rsidR="00D37FA9">
        <w:rPr>
          <w:rFonts w:ascii="Times New Roman" w:hAnsi="Times New Roman" w:cs="Times New Roman"/>
          <w:sz w:val="28"/>
          <w:szCs w:val="28"/>
        </w:rPr>
        <w:t xml:space="preserve">. </w:t>
      </w:r>
      <w:r w:rsidRPr="00DE0D10">
        <w:rPr>
          <w:rFonts w:ascii="Times New Roman" w:hAnsi="Times New Roman" w:cs="Times New Roman"/>
          <w:sz w:val="28"/>
          <w:szCs w:val="28"/>
        </w:rPr>
        <w:t xml:space="preserve">Теоретические наработки, выполненные в ходе практики, составят основу для эмпирического анализа практик применения методического инструментария в </w:t>
      </w:r>
      <w:r w:rsidR="005273E0">
        <w:rPr>
          <w:rFonts w:ascii="Times New Roman" w:hAnsi="Times New Roman" w:cs="Times New Roman"/>
          <w:sz w:val="28"/>
          <w:szCs w:val="28"/>
        </w:rPr>
        <w:t>м</w:t>
      </w:r>
      <w:r w:rsidRPr="00DE0D10">
        <w:rPr>
          <w:rFonts w:ascii="Times New Roman" w:hAnsi="Times New Roman" w:cs="Times New Roman"/>
          <w:sz w:val="28"/>
          <w:szCs w:val="28"/>
        </w:rPr>
        <w:t>инистерстве экономического развития Приморского края и разработки практических рекомендаций по его совершенствованию в последующих главах диссертационного исследования.</w:t>
      </w:r>
    </w:p>
    <w:p w14:paraId="49E98EE9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84D623" w14:textId="77777777" w:rsidR="001B15DB" w:rsidRDefault="001B1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3929F86" w14:textId="7CA50828" w:rsidR="00DE0D10" w:rsidRPr="001B15DB" w:rsidRDefault="00DE0D10" w:rsidP="001B15DB">
      <w:pPr>
        <w:pStyle w:val="1"/>
        <w:suppressAutoHyphens/>
        <w:jc w:val="center"/>
        <w:rPr>
          <w:rFonts w:ascii="Arial CYR" w:hAnsi="Arial CYR" w:cs="Times New Roman"/>
          <w:color w:val="000000" w:themeColor="text1"/>
          <w:sz w:val="30"/>
          <w:szCs w:val="30"/>
        </w:rPr>
      </w:pPr>
      <w:bookmarkStart w:id="17" w:name="_Toc234074108"/>
      <w:r w:rsidRPr="001B15DB">
        <w:rPr>
          <w:rFonts w:ascii="Arial CYR" w:hAnsi="Arial CYR" w:cs="Times New Roman"/>
          <w:color w:val="000000" w:themeColor="text1"/>
          <w:sz w:val="30"/>
          <w:szCs w:val="30"/>
        </w:rPr>
        <w:lastRenderedPageBreak/>
        <w:t>Список использованных источников</w:t>
      </w:r>
      <w:bookmarkEnd w:id="17"/>
    </w:p>
    <w:p w14:paraId="6AFEADEB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E444B3" w14:textId="6236DFD7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1. Прокофьев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С.Е.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Стратегическое управление в органах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власти :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учебник и практикум для СПО. – М.: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>, 2023. – 312 с.</w:t>
      </w:r>
    </w:p>
    <w:p w14:paraId="7D343159" w14:textId="6E3617F0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2. Сильвестров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С.Н.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Стратегическое планирование в государственном секторе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экономики :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Монография. – М.: ООО "Научно-издательский центр ИНФРА-М", 2023. – 344 с.</w:t>
      </w:r>
    </w:p>
    <w:p w14:paraId="3E65158F" w14:textId="79C76638" w:rsidR="00DE0D10" w:rsidRPr="00D37FA9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55FAF">
        <w:rPr>
          <w:rFonts w:ascii="Times New Roman" w:hAnsi="Times New Roman" w:cs="Times New Roman"/>
          <w:sz w:val="28"/>
          <w:szCs w:val="28"/>
        </w:rPr>
        <w:t xml:space="preserve">3. </w:t>
      </w:r>
      <w:r w:rsidR="00655FAF" w:rsidRPr="00655FAF">
        <w:rPr>
          <w:rFonts w:ascii="Times New Roman" w:hAnsi="Times New Roman" w:cs="Times New Roman"/>
          <w:sz w:val="28"/>
          <w:szCs w:val="28"/>
        </w:rPr>
        <w:t xml:space="preserve">Сахарова С. М., </w:t>
      </w:r>
      <w:proofErr w:type="spellStart"/>
      <w:r w:rsidR="00655FAF" w:rsidRPr="00655FAF">
        <w:rPr>
          <w:rFonts w:ascii="Times New Roman" w:hAnsi="Times New Roman" w:cs="Times New Roman"/>
          <w:sz w:val="28"/>
          <w:szCs w:val="28"/>
        </w:rPr>
        <w:t>Тугачева</w:t>
      </w:r>
      <w:proofErr w:type="spellEnd"/>
      <w:r w:rsidR="00655FAF" w:rsidRPr="00655FAF">
        <w:rPr>
          <w:rFonts w:ascii="Times New Roman" w:hAnsi="Times New Roman" w:cs="Times New Roman"/>
          <w:sz w:val="28"/>
          <w:szCs w:val="28"/>
        </w:rPr>
        <w:t xml:space="preserve"> Л. В., </w:t>
      </w:r>
      <w:proofErr w:type="spellStart"/>
      <w:r w:rsidR="00655FAF" w:rsidRPr="00655FAF">
        <w:rPr>
          <w:rFonts w:ascii="Times New Roman" w:hAnsi="Times New Roman" w:cs="Times New Roman"/>
          <w:sz w:val="28"/>
          <w:szCs w:val="28"/>
        </w:rPr>
        <w:t>Суровнева</w:t>
      </w:r>
      <w:proofErr w:type="spellEnd"/>
      <w:r w:rsidR="00655FAF" w:rsidRPr="00655FAF">
        <w:rPr>
          <w:rFonts w:ascii="Times New Roman" w:hAnsi="Times New Roman" w:cs="Times New Roman"/>
          <w:sz w:val="28"/>
          <w:szCs w:val="28"/>
        </w:rPr>
        <w:t xml:space="preserve"> А. А. </w:t>
      </w:r>
      <w:r w:rsidR="00655FAF">
        <w:rPr>
          <w:rFonts w:ascii="Times New Roman" w:hAnsi="Times New Roman" w:cs="Times New Roman"/>
          <w:sz w:val="28"/>
          <w:szCs w:val="28"/>
        </w:rPr>
        <w:t>М</w:t>
      </w:r>
      <w:r w:rsidR="00655FAF" w:rsidRPr="00655FAF">
        <w:rPr>
          <w:rFonts w:ascii="Times New Roman" w:hAnsi="Times New Roman" w:cs="Times New Roman"/>
          <w:sz w:val="28"/>
          <w:szCs w:val="28"/>
        </w:rPr>
        <w:t xml:space="preserve">етоды стратегического менеджмента в системе публичного управления // Вестник Академии знаний. </w:t>
      </w:r>
      <w:r w:rsidR="00655FAF" w:rsidRPr="00D37FA9">
        <w:rPr>
          <w:rFonts w:ascii="Times New Roman" w:hAnsi="Times New Roman" w:cs="Times New Roman"/>
          <w:sz w:val="28"/>
          <w:szCs w:val="28"/>
          <w:lang w:val="en-US"/>
        </w:rPr>
        <w:t>2022. №6 (53).</w:t>
      </w:r>
    </w:p>
    <w:p w14:paraId="54FC0B15" w14:textId="615034A8" w:rsidR="00DE0D10" w:rsidRPr="00655FAF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Вандерсмиссен</w:t>
      </w:r>
      <w:proofErr w:type="spellEnd"/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>Л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DE0D10">
        <w:rPr>
          <w:rFonts w:ascii="Times New Roman" w:hAnsi="Times New Roman" w:cs="Times New Roman"/>
          <w:sz w:val="28"/>
          <w:szCs w:val="28"/>
        </w:rPr>
        <w:t>Джордж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>Б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>. Strategic planning in public organizations: reviewing 35 years of research // International Public Management Journal. – 2023. – DOI: 10.1080/10967494.2023.2271901.</w:t>
      </w:r>
    </w:p>
    <w:p w14:paraId="52AC74B0" w14:textId="5D00FC2D" w:rsidR="00DE0D10" w:rsidRPr="00D37FA9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Греве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К.,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Йса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Т. (ред.). 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>Handbook on Strategic Public Management. – Cheltenham: Edward Elgar Publishing, 2023. – 416 p.</w:t>
      </w:r>
    </w:p>
    <w:p w14:paraId="12E581B7" w14:textId="09D740D0" w:rsidR="00DE0D10" w:rsidRPr="00D37FA9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Брайсон</w:t>
      </w:r>
      <w:proofErr w:type="spellEnd"/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>Дж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E0D10">
        <w:rPr>
          <w:rFonts w:ascii="Times New Roman" w:hAnsi="Times New Roman" w:cs="Times New Roman"/>
          <w:sz w:val="28"/>
          <w:szCs w:val="28"/>
        </w:rPr>
        <w:t>М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>. Toward a More Strategic View of Strategic Planning Research. – London: Taylor &amp; Francis Ltd, 2022. – 214 p.</w:t>
      </w:r>
    </w:p>
    <w:p w14:paraId="767FCA20" w14:textId="21DE25B6" w:rsidR="00DE0D10" w:rsidRPr="00D37FA9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Пойстер</w:t>
      </w:r>
      <w:proofErr w:type="spellEnd"/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>Т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E0D10">
        <w:rPr>
          <w:rFonts w:ascii="Times New Roman" w:hAnsi="Times New Roman" w:cs="Times New Roman"/>
          <w:sz w:val="28"/>
          <w:szCs w:val="28"/>
        </w:rPr>
        <w:t>Х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Аристигета</w:t>
      </w:r>
      <w:proofErr w:type="spellEnd"/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>М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E0D10">
        <w:rPr>
          <w:rFonts w:ascii="Times New Roman" w:hAnsi="Times New Roman" w:cs="Times New Roman"/>
          <w:sz w:val="28"/>
          <w:szCs w:val="28"/>
        </w:rPr>
        <w:t>П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DE0D10">
        <w:rPr>
          <w:rFonts w:ascii="Times New Roman" w:hAnsi="Times New Roman" w:cs="Times New Roman"/>
          <w:sz w:val="28"/>
          <w:szCs w:val="28"/>
        </w:rPr>
        <w:t>Холл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>Дж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E0D10">
        <w:rPr>
          <w:rFonts w:ascii="Times New Roman" w:hAnsi="Times New Roman" w:cs="Times New Roman"/>
          <w:sz w:val="28"/>
          <w:szCs w:val="28"/>
        </w:rPr>
        <w:t>Л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>. Managing and Measuring Performance in Public and Nonprofit Organizations: An Integrated Approach. – 2nd ed. – Jossey-Bass, 2022. – 480 p.</w:t>
      </w:r>
    </w:p>
    <w:p w14:paraId="1F7A2045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Минцберг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Г.,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Альстранд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Б.,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Лампель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Дж. 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>Strategy Safari: The Complete Guide Through the Wilds of Strategic Management. – 2nd ed. – Pearson Education, 2022. – 480 p.</w:t>
      </w:r>
    </w:p>
    <w:p w14:paraId="24B1DFD3" w14:textId="625968CB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9. Портер М. Конкурентная стратегия: Методика анализа отраслей и конкурентов. – М.: Альпина Паблишер, 2023. – 454 с.</w:t>
      </w:r>
    </w:p>
    <w:p w14:paraId="122C72F2" w14:textId="1B161DFF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Филобокова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Л.Ю.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Ресурсно-инфраструктурный подход к стратегическому управлению регионом: концепция, механизмы обеспечения,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инструментарно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-методический аппарат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оценки :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монография. – М.: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Русайнс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>, 2023. – 220 с.</w:t>
      </w:r>
    </w:p>
    <w:p w14:paraId="652E9906" w14:textId="3B9163B5" w:rsidR="00DE0D10" w:rsidRPr="00D37FA9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D1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11.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Ленчук</w:t>
      </w:r>
      <w:proofErr w:type="spellEnd"/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>Е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E0D10">
        <w:rPr>
          <w:rFonts w:ascii="Times New Roman" w:hAnsi="Times New Roman" w:cs="Times New Roman"/>
          <w:sz w:val="28"/>
          <w:szCs w:val="28"/>
        </w:rPr>
        <w:t>Б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DE0D10">
        <w:rPr>
          <w:rFonts w:ascii="Times New Roman" w:hAnsi="Times New Roman" w:cs="Times New Roman"/>
          <w:sz w:val="28"/>
          <w:szCs w:val="28"/>
        </w:rPr>
        <w:t>Филатов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>В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E0D10">
        <w:rPr>
          <w:rFonts w:ascii="Times New Roman" w:hAnsi="Times New Roman" w:cs="Times New Roman"/>
          <w:sz w:val="28"/>
          <w:szCs w:val="28"/>
        </w:rPr>
        <w:t>И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. Strategic planning as a tool for reducing uncertainty in conditions of global economic transformation // </w:t>
      </w:r>
      <w:r w:rsidRPr="00DE0D10">
        <w:rPr>
          <w:rFonts w:ascii="Times New Roman" w:hAnsi="Times New Roman" w:cs="Times New Roman"/>
          <w:sz w:val="28"/>
          <w:szCs w:val="28"/>
        </w:rPr>
        <w:t>Вестник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>Института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>экономики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0D10">
        <w:rPr>
          <w:rFonts w:ascii="Times New Roman" w:hAnsi="Times New Roman" w:cs="Times New Roman"/>
          <w:sz w:val="28"/>
          <w:szCs w:val="28"/>
        </w:rPr>
        <w:t>РАН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. – 2023. – № 3. – </w:t>
      </w:r>
      <w:r w:rsidRPr="00DE0D10">
        <w:rPr>
          <w:rFonts w:ascii="Times New Roman" w:hAnsi="Times New Roman" w:cs="Times New Roman"/>
          <w:sz w:val="28"/>
          <w:szCs w:val="28"/>
        </w:rPr>
        <w:t>С</w:t>
      </w:r>
      <w:r w:rsidRPr="00DE0D10">
        <w:rPr>
          <w:rFonts w:ascii="Times New Roman" w:hAnsi="Times New Roman" w:cs="Times New Roman"/>
          <w:sz w:val="28"/>
          <w:szCs w:val="28"/>
          <w:lang w:val="en-US"/>
        </w:rPr>
        <w:t>. 45-62.</w:t>
      </w:r>
    </w:p>
    <w:p w14:paraId="796ACEBC" w14:textId="53AADC83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12. Молчанов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И.Н.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Страновое стратегическое планирование в контексте укрепления экономической безопасности // Вестник Московского университета. Серия 21: Управление (государство и общество). – 2023. – № 2. – С. 78-95.</w:t>
      </w:r>
    </w:p>
    <w:p w14:paraId="75D3E2BA" w14:textId="5CDA6B8C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13. Ронин В.С. Об актуальных вопросах стратегического планирования в Российской Федерации // Юридическая наука и правоохранительная практика. – 2023. – № 4 (66). – С. 112-125.</w:t>
      </w:r>
    </w:p>
    <w:p w14:paraId="157FBEDB" w14:textId="425CD185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14. Гуринов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А.С.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Бюджетная обеспеченность российских регионов сдерживает внедрение стратегического планирования // Федерализм. – 2023. – № 2. – С. 88-102.</w:t>
      </w:r>
    </w:p>
    <w:p w14:paraId="2ECDCB1B" w14:textId="7DDEB839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15. Стратегическое планирование развития экономики в условиях цифровизации: инструменты, способы,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методы :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монография / под ред.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В.А.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Цветкова. – М.: Магистр, 2023. – 280 с.</w:t>
      </w:r>
    </w:p>
    <w:p w14:paraId="157828F4" w14:textId="644E6BE6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16. Оценка согласованности региональных и муниципальных документов стратегического планирования // Экономика региона. – 2023. – Т. 19, № 3. – С. 654-669.</w:t>
      </w:r>
    </w:p>
    <w:p w14:paraId="3791EE2E" w14:textId="2F8E46E0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17. Стратегическое планирование в государственном управлении как система институциональных инструментов и механизмов целеполагания // Известия Саратовского университета. Новая серия. Серия: Социология. Политология. – 2023. – Т. 23, № 2. – С. 188-196.</w:t>
      </w:r>
    </w:p>
    <w:p w14:paraId="4E5347D6" w14:textId="0041BD92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18. Развитие стратегического планирования в России: взгляд через призму высшего экономического образования // Экономическое возрождение России. – 2023. – № 2. – С. 45-58.</w:t>
      </w:r>
    </w:p>
    <w:p w14:paraId="6BF7B8FA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Мерсиянова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И.В.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, Корнеева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И.Е.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Качественные методы в исследованиях организационного поведения в публичном секторе // Социологические исследования. – 2022. – № 5. – С. 88-99.</w:t>
      </w:r>
    </w:p>
    <w:p w14:paraId="5B06FABD" w14:textId="7512345F" w:rsidR="00DE0D10" w:rsidRPr="00DE0D10" w:rsidRDefault="00DE0D10" w:rsidP="001B15D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lastRenderedPageBreak/>
        <w:t xml:space="preserve">20. Стратегические направления цифровой трансформации государственного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управления :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Распоряжение Правительства РФ от 16.03.2024 № 637-р.</w:t>
      </w:r>
    </w:p>
    <w:p w14:paraId="35CE10EF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  <w:lang w:val="en-US"/>
        </w:rPr>
        <w:t xml:space="preserve">21. OECD (2023). Recommendation on Regional Development Policy. </w:t>
      </w:r>
      <w:r w:rsidRPr="00DE0D10">
        <w:rPr>
          <w:rFonts w:ascii="Times New Roman" w:hAnsi="Times New Roman" w:cs="Times New Roman"/>
          <w:sz w:val="28"/>
          <w:szCs w:val="28"/>
        </w:rPr>
        <w:t>OECD Publishing, Paris.</w:t>
      </w:r>
    </w:p>
    <w:p w14:paraId="029FA07B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22. Савин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А.Н.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, Савина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Е.В.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Цифровые инструменты стратегического управления в государственном секторе: мировой опыт и российские перспективы // Вопросы государственного и муниципального управления. – 2023. – № 2. – С. 56-78.</w:t>
      </w:r>
    </w:p>
    <w:p w14:paraId="5D7589F9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23. Кудрявцев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А.А.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, Федорова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М.В.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Проблемы интеграции стратегического и бюджетного планирования на региональном уровне // Региональная экономика: теория и практика. – 2023. – № 1. – С. 34-52.</w:t>
      </w:r>
    </w:p>
    <w:p w14:paraId="4D9C010A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24. Гусев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А.Б.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, Комарова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А.В.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Форсайт как инструмент стратегического планирования в государственном управлении // Экономическая наука современной России. – 2022. – № 4. – С. 18-33.</w:t>
      </w:r>
    </w:p>
    <w:p w14:paraId="6B9CDEE7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>25. Зубаревич Н.В. Социально-экономическое развитие регионов России: вызовы и новые подходы к стратегированию // Проблемы прогнозирования. – 2023. – № 5. – С. 25-42.</w:t>
      </w:r>
    </w:p>
    <w:p w14:paraId="78C61A57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26. Самосудов М.В., Зуйков Я.П., Миронова М.П.,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Курлянова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А.А. О возможности использования цифровых двойников организаций в системе государственного планирования // Международная экономика. – 2023. – № 12. – С. 882-897.</w:t>
      </w:r>
    </w:p>
    <w:p w14:paraId="48C267D4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27. Чжао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Куньлян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>. Развитие государственного управления на основе цифровых технологических решений: новые вызовы и возможности // Проблемы современной экономики. – 2024. – № 4 (92). – С. 110-114.</w:t>
      </w:r>
    </w:p>
    <w:p w14:paraId="1B53B369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28. Филиппов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Р.В.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Организационно-правовые аспекты государственной политики в сфере развития искусственного интеллекта // Власть. – 2024. – Т. 32. – № 2. – С. 125-131.</w:t>
      </w:r>
    </w:p>
    <w:p w14:paraId="7DCDF585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lastRenderedPageBreak/>
        <w:t xml:space="preserve">29. Ульянов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А.Ю.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Проблемы оценки эффективности стратегического планирования в Российской Федерации // Право и политика. – 2023. – № 6. – С. 12-20.</w:t>
      </w:r>
    </w:p>
    <w:p w14:paraId="782CDCA1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Махмудалиева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D10">
        <w:rPr>
          <w:rFonts w:ascii="Times New Roman" w:hAnsi="Times New Roman" w:cs="Times New Roman"/>
          <w:sz w:val="28"/>
          <w:szCs w:val="28"/>
        </w:rPr>
        <w:t>А.А.</w:t>
      </w:r>
      <w:proofErr w:type="gramEnd"/>
      <w:r w:rsidRPr="00DE0D10">
        <w:rPr>
          <w:rFonts w:ascii="Times New Roman" w:hAnsi="Times New Roman" w:cs="Times New Roman"/>
          <w:sz w:val="28"/>
          <w:szCs w:val="28"/>
        </w:rPr>
        <w:t xml:space="preserve"> Проблемы и вызовы в управлении государственными организациями // Инновационная экономика: информация, аналитика, прогнозы. – 2023. – № S1. – С. 57-62.</w:t>
      </w:r>
    </w:p>
    <w:p w14:paraId="18B80C16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D10"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Ленчук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Е.Б. Стратегическое планирование: новые вызовы в условиях внешних ограничений // Journal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D10">
        <w:rPr>
          <w:rFonts w:ascii="Times New Roman" w:hAnsi="Times New Roman" w:cs="Times New Roman"/>
          <w:sz w:val="28"/>
          <w:szCs w:val="28"/>
        </w:rPr>
        <w:t>Institutional</w:t>
      </w:r>
      <w:proofErr w:type="spellEnd"/>
      <w:r w:rsidRPr="00DE0D10">
        <w:rPr>
          <w:rFonts w:ascii="Times New Roman" w:hAnsi="Times New Roman" w:cs="Times New Roman"/>
          <w:sz w:val="28"/>
          <w:szCs w:val="28"/>
        </w:rPr>
        <w:t xml:space="preserve"> Studies. – 2023. – Т. 15, № 4. – С. 224-230.</w:t>
      </w:r>
    </w:p>
    <w:p w14:paraId="0FA9BF4D" w14:textId="77777777" w:rsidR="00DE0D10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D10">
        <w:rPr>
          <w:rFonts w:ascii="Times New Roman" w:hAnsi="Times New Roman" w:cs="Times New Roman"/>
          <w:sz w:val="28"/>
          <w:szCs w:val="28"/>
          <w:lang w:val="en-US"/>
        </w:rPr>
        <w:t>32. Gil-Garcia J.R., Pardo T.A., Nam T. (2023). Digital Government and Public Value Creation: A Systematic Literature Review // Government Information Quarterly. – Vol. 40, Issue 1. – 101782.</w:t>
      </w:r>
    </w:p>
    <w:p w14:paraId="131B4336" w14:textId="2AD6F25D" w:rsidR="00006C7F" w:rsidRPr="00DE0D10" w:rsidRDefault="00DE0D10" w:rsidP="00753C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0D10">
        <w:rPr>
          <w:rFonts w:ascii="Times New Roman" w:hAnsi="Times New Roman" w:cs="Times New Roman"/>
          <w:sz w:val="28"/>
          <w:szCs w:val="28"/>
          <w:lang w:val="en-US"/>
        </w:rPr>
        <w:t>33. Mergel I., Kattel R., Lember V., McBride K. (2023). The Role of Artificial Intelligence in Public Sector Innovation // Public Management Review. – Vol. 25, Issue 4. – P. 1-22.</w:t>
      </w:r>
    </w:p>
    <w:sectPr w:rsidR="00006C7F" w:rsidRPr="00DE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42C61"/>
    <w:multiLevelType w:val="multilevel"/>
    <w:tmpl w:val="0DC6CD74"/>
    <w:lvl w:ilvl="0">
      <w:start w:val="1"/>
      <w:numFmt w:val="decimal"/>
      <w:lvlText w:val="%1."/>
      <w:lvlJc w:val="left"/>
      <w:pPr>
        <w:ind w:left="1069" w:hanging="360"/>
      </w:pPr>
      <w:rPr>
        <w:rFonts w:ascii="Arial CYR" w:eastAsiaTheme="majorEastAsia" w:hAnsi="Arial CYR" w:hint="default"/>
        <w:sz w:val="30"/>
      </w:rPr>
    </w:lvl>
    <w:lvl w:ilvl="1">
      <w:start w:val="1"/>
      <w:numFmt w:val="decimal"/>
      <w:isLgl/>
      <w:lvlText w:val="%1.%2"/>
      <w:lvlJc w:val="left"/>
      <w:pPr>
        <w:ind w:left="1549" w:hanging="8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9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9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 w16cid:durableId="1883134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05"/>
    <w:rsid w:val="00006C7F"/>
    <w:rsid w:val="000F16EA"/>
    <w:rsid w:val="000F198B"/>
    <w:rsid w:val="0012104E"/>
    <w:rsid w:val="001B15DB"/>
    <w:rsid w:val="001C4F58"/>
    <w:rsid w:val="003B28EB"/>
    <w:rsid w:val="005273E0"/>
    <w:rsid w:val="00546E94"/>
    <w:rsid w:val="00655FAF"/>
    <w:rsid w:val="0068132F"/>
    <w:rsid w:val="00753CC0"/>
    <w:rsid w:val="00804F42"/>
    <w:rsid w:val="00A42E8B"/>
    <w:rsid w:val="00A8284B"/>
    <w:rsid w:val="00B5372D"/>
    <w:rsid w:val="00BB70AE"/>
    <w:rsid w:val="00BD5409"/>
    <w:rsid w:val="00D37FA9"/>
    <w:rsid w:val="00DE0D10"/>
    <w:rsid w:val="00EE2805"/>
    <w:rsid w:val="00F20D93"/>
    <w:rsid w:val="00F25C96"/>
    <w:rsid w:val="00F637ED"/>
    <w:rsid w:val="00F7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C7CCD"/>
  <w15:chartTrackingRefBased/>
  <w15:docId w15:val="{73003E1C-41CA-4557-95F6-16C43A51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2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2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E2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E2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EE2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EE2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28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28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28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28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28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28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2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2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2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2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2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28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28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28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2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28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E2805"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12104E"/>
    <w:pPr>
      <w:spacing w:before="240" w:after="0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12104E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12104E"/>
    <w:pPr>
      <w:spacing w:after="100"/>
      <w:ind w:left="440"/>
    </w:pPr>
  </w:style>
  <w:style w:type="character" w:styleId="ad">
    <w:name w:val="Hyperlink"/>
    <w:basedOn w:val="a0"/>
    <w:uiPriority w:val="99"/>
    <w:unhideWhenUsed/>
    <w:rsid w:val="0012104E"/>
    <w:rPr>
      <w:color w:val="467886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0F198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68E61-A219-46BB-A4AA-D8CE5737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46</Pages>
  <Words>12045</Words>
  <Characters>68659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vip1470</dc:creator>
  <cp:keywords/>
  <dc:description/>
  <cp:lastModifiedBy>vip1470</cp:lastModifiedBy>
  <cp:revision>13</cp:revision>
  <dcterms:created xsi:type="dcterms:W3CDTF">2026-07-04T05:15:00Z</dcterms:created>
  <dcterms:modified xsi:type="dcterms:W3CDTF">2026-07-13T10:36:00Z</dcterms:modified>
</cp:coreProperties>
</file>