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B970C" w14:textId="77777777" w:rsidR="00B23776" w:rsidRPr="00AB4C8A" w:rsidRDefault="00B23776" w:rsidP="00B23776">
      <w:pPr>
        <w:suppressAutoHyphens/>
        <w:spacing w:after="0" w:line="240" w:lineRule="auto"/>
        <w:jc w:val="center"/>
        <w:rPr>
          <w:rFonts w:eastAsia="Times New Roman" w:cs="Times New Roman"/>
          <w:szCs w:val="28"/>
          <w:lang w:val="ru-RU"/>
        </w:rPr>
      </w:pPr>
      <w:r w:rsidRPr="00B23776">
        <w:rPr>
          <w:rFonts w:eastAsia="Times New Roman" w:cs="Times New Roman"/>
          <w:szCs w:val="28"/>
          <w:lang w:val="ru-RU" w:eastAsia="ar-SA"/>
        </w:rPr>
        <w:t xml:space="preserve">МИНИСТЕРСТВО НАУКИ И ВЫСШЕГО ОБРАЗОВАНИЯ </w:t>
      </w:r>
      <w:r w:rsidRPr="00B23776">
        <w:rPr>
          <w:rFonts w:eastAsia="Times New Roman" w:cs="Times New Roman"/>
          <w:szCs w:val="28"/>
          <w:lang w:val="ru-RU" w:eastAsia="ar-SA"/>
        </w:rPr>
        <w:br/>
        <w:t>РОССИЙСКОЙ ФЕДЕРАЦИИ</w:t>
      </w:r>
    </w:p>
    <w:p w14:paraId="381E95CE" w14:textId="77777777" w:rsidR="00B23776" w:rsidRPr="00AB4C8A" w:rsidRDefault="00B23776" w:rsidP="00B23776">
      <w:pPr>
        <w:suppressAutoHyphens/>
        <w:spacing w:after="0" w:line="240" w:lineRule="auto"/>
        <w:jc w:val="center"/>
        <w:rPr>
          <w:rFonts w:eastAsia="Times New Roman" w:cs="Times New Roman"/>
          <w:szCs w:val="28"/>
          <w:lang w:val="ru-RU"/>
        </w:rPr>
      </w:pPr>
      <w:r w:rsidRPr="00B23776">
        <w:rPr>
          <w:rFonts w:eastAsia="Times New Roman" w:cs="Times New Roman"/>
          <w:szCs w:val="28"/>
          <w:lang w:val="ru-RU" w:eastAsia="ru-RU"/>
        </w:rPr>
        <w:t xml:space="preserve">ВЛАДИВОСТОКСКИЙ ГОСУДАРСТВЕННЫЙ УНИВЕРСИТЕТ </w:t>
      </w:r>
    </w:p>
    <w:p w14:paraId="0865CFCA" w14:textId="77777777" w:rsidR="00B23776" w:rsidRPr="00AB4C8A" w:rsidRDefault="00B23776" w:rsidP="00B23776">
      <w:pPr>
        <w:suppressAutoHyphens/>
        <w:spacing w:after="0" w:line="240" w:lineRule="auto"/>
        <w:jc w:val="center"/>
        <w:rPr>
          <w:rFonts w:eastAsia="Times New Roman" w:cs="Times New Roman"/>
          <w:szCs w:val="28"/>
          <w:lang w:val="ru-RU"/>
        </w:rPr>
      </w:pPr>
      <w:r w:rsidRPr="00B23776">
        <w:rPr>
          <w:rFonts w:eastAsia="Times New Roman" w:cs="Times New Roman"/>
          <w:szCs w:val="28"/>
          <w:lang w:val="ru-RU" w:eastAsia="ru-RU"/>
        </w:rPr>
        <w:t xml:space="preserve">ИНСТИТУТ МЕЖДУНАРОДНОГО БИЗНЕСА, </w:t>
      </w:r>
      <w:r w:rsidRPr="00B23776">
        <w:rPr>
          <w:rFonts w:eastAsia="Times New Roman" w:cs="Times New Roman"/>
          <w:szCs w:val="28"/>
          <w:lang w:val="ru-RU" w:eastAsia="ru-RU"/>
        </w:rPr>
        <w:br/>
        <w:t>ЭКОНОМИКИ И УПРАВЛЕНИЯ</w:t>
      </w:r>
    </w:p>
    <w:p w14:paraId="44E12497" w14:textId="77777777" w:rsidR="00B23776" w:rsidRPr="00AB4C8A" w:rsidRDefault="00B23776" w:rsidP="00B23776">
      <w:pPr>
        <w:suppressAutoHyphens/>
        <w:spacing w:after="0" w:line="240" w:lineRule="auto"/>
        <w:jc w:val="center"/>
        <w:rPr>
          <w:rFonts w:eastAsia="Times New Roman" w:cs="Times New Roman"/>
          <w:szCs w:val="28"/>
          <w:lang w:val="ru-RU"/>
        </w:rPr>
      </w:pPr>
      <w:r w:rsidRPr="00B23776">
        <w:rPr>
          <w:rFonts w:eastAsia="Times New Roman" w:cs="Times New Roman"/>
          <w:szCs w:val="28"/>
          <w:lang w:val="ru-RU" w:eastAsia="ru-RU"/>
        </w:rPr>
        <w:t>КАФЕДРА ЭКОНОМИКИ УПРАВЛЕНИЯ</w:t>
      </w:r>
    </w:p>
    <w:p w14:paraId="0C459524" w14:textId="77777777" w:rsidR="00B23776" w:rsidRPr="00B23776" w:rsidRDefault="00B23776" w:rsidP="00B23776">
      <w:pPr>
        <w:spacing w:after="0" w:line="240" w:lineRule="auto"/>
        <w:rPr>
          <w:rFonts w:eastAsia="Times New Roman" w:cs="Times New Roman"/>
          <w:szCs w:val="24"/>
          <w:lang w:val="ru-RU" w:eastAsia="ru-RU"/>
        </w:rPr>
      </w:pPr>
    </w:p>
    <w:p w14:paraId="64774936" w14:textId="77777777" w:rsidR="00B23776" w:rsidRPr="00B23776" w:rsidRDefault="00B23776" w:rsidP="00B23776">
      <w:pPr>
        <w:spacing w:after="0" w:line="240" w:lineRule="auto"/>
        <w:rPr>
          <w:rFonts w:eastAsia="Times New Roman" w:cs="Times New Roman"/>
          <w:szCs w:val="24"/>
          <w:lang w:val="ru-RU" w:eastAsia="ru-RU"/>
        </w:rPr>
      </w:pPr>
    </w:p>
    <w:p w14:paraId="4F40933A" w14:textId="77777777" w:rsidR="00B23776" w:rsidRPr="00B23776" w:rsidRDefault="00B23776" w:rsidP="00B23776">
      <w:pPr>
        <w:spacing w:after="0" w:line="240" w:lineRule="auto"/>
        <w:ind w:left="6372"/>
        <w:rPr>
          <w:rFonts w:eastAsia="Times New Roman" w:cs="Times New Roman"/>
          <w:color w:val="000000" w:themeColor="text1"/>
          <w:sz w:val="24"/>
          <w:szCs w:val="24"/>
          <w:lang w:val="ru-RU" w:eastAsia="ru-RU"/>
        </w:rPr>
      </w:pPr>
    </w:p>
    <w:p w14:paraId="7B5D0683" w14:textId="77777777" w:rsidR="00B23776" w:rsidRPr="00B23776" w:rsidRDefault="00B23776" w:rsidP="00B23776">
      <w:pPr>
        <w:spacing w:after="0" w:line="240" w:lineRule="auto"/>
        <w:ind w:left="6372"/>
        <w:rPr>
          <w:rFonts w:eastAsia="Times New Roman" w:cs="Times New Roman"/>
          <w:color w:val="000000" w:themeColor="text1"/>
          <w:sz w:val="24"/>
          <w:szCs w:val="24"/>
          <w:lang w:val="ru-RU" w:eastAsia="ru-RU"/>
        </w:rPr>
      </w:pPr>
    </w:p>
    <w:p w14:paraId="3ACFC5C1" w14:textId="77777777" w:rsidR="00B23776" w:rsidRPr="00B23776" w:rsidRDefault="00B23776" w:rsidP="00B23776">
      <w:pPr>
        <w:spacing w:after="0" w:line="240" w:lineRule="auto"/>
        <w:ind w:left="6372"/>
        <w:rPr>
          <w:rFonts w:eastAsia="Times New Roman" w:cs="Times New Roman"/>
          <w:color w:val="000000" w:themeColor="text1"/>
          <w:sz w:val="24"/>
          <w:szCs w:val="24"/>
          <w:lang w:val="ru-RU" w:eastAsia="ru-RU"/>
        </w:rPr>
      </w:pPr>
    </w:p>
    <w:p w14:paraId="4FE241D2" w14:textId="77777777" w:rsidR="00B23776" w:rsidRPr="00B23776" w:rsidRDefault="00B23776" w:rsidP="00B23776">
      <w:pPr>
        <w:spacing w:after="0" w:line="240" w:lineRule="auto"/>
        <w:ind w:left="6372"/>
        <w:rPr>
          <w:rFonts w:eastAsia="Times New Roman" w:cs="Times New Roman"/>
          <w:color w:val="000000" w:themeColor="text1"/>
          <w:sz w:val="24"/>
          <w:szCs w:val="24"/>
          <w:lang w:val="ru-RU" w:eastAsia="ru-RU"/>
        </w:rPr>
      </w:pPr>
    </w:p>
    <w:p w14:paraId="360404C9" w14:textId="77777777" w:rsidR="00B23776" w:rsidRPr="00B23776" w:rsidRDefault="00B23776" w:rsidP="00B23776">
      <w:pPr>
        <w:spacing w:after="0" w:line="240" w:lineRule="auto"/>
        <w:jc w:val="right"/>
        <w:rPr>
          <w:rFonts w:eastAsia="Times New Roman" w:cs="Times New Roman"/>
          <w:color w:val="000000" w:themeColor="text1"/>
          <w:szCs w:val="24"/>
          <w:lang w:val="ru-RU" w:eastAsia="ru-RU"/>
        </w:rPr>
      </w:pPr>
    </w:p>
    <w:p w14:paraId="53385149" w14:textId="77777777" w:rsidR="00B23776" w:rsidRPr="003418BD" w:rsidRDefault="00B23776" w:rsidP="003418BD">
      <w:pPr>
        <w:spacing w:before="240" w:after="60" w:line="360" w:lineRule="auto"/>
        <w:jc w:val="center"/>
        <w:rPr>
          <w:rFonts w:eastAsia="Times New Roman" w:cs="Times New Roman"/>
          <w:sz w:val="48"/>
          <w:szCs w:val="48"/>
          <w:lang w:val="ru-RU" w:eastAsia="ru-RU"/>
        </w:rPr>
      </w:pPr>
      <w:bookmarkStart w:id="0" w:name="_Toc234074092"/>
      <w:r w:rsidRPr="003418BD">
        <w:rPr>
          <w:rFonts w:eastAsia="Times New Roman" w:cs="Times New Roman"/>
          <w:sz w:val="48"/>
          <w:szCs w:val="48"/>
          <w:lang w:val="ru-RU" w:eastAsia="ru-RU"/>
        </w:rPr>
        <w:t>ОТЧЕТ</w:t>
      </w:r>
      <w:bookmarkEnd w:id="0"/>
    </w:p>
    <w:p w14:paraId="32933530" w14:textId="093B6BF0" w:rsidR="00B23776" w:rsidRPr="003418BD" w:rsidRDefault="003418BD" w:rsidP="003418BD">
      <w:pPr>
        <w:suppressAutoHyphens/>
        <w:spacing w:after="240" w:line="240" w:lineRule="auto"/>
        <w:jc w:val="center"/>
        <w:rPr>
          <w:rFonts w:eastAsia="Times New Roman" w:cs="Times New Roman"/>
          <w:sz w:val="44"/>
          <w:szCs w:val="44"/>
          <w:lang w:val="ru-RU" w:eastAsia="ru-RU"/>
        </w:rPr>
      </w:pPr>
      <w:r w:rsidRPr="003418BD">
        <w:rPr>
          <w:rFonts w:eastAsia="Times New Roman" w:cs="Times New Roman"/>
          <w:sz w:val="44"/>
          <w:szCs w:val="44"/>
          <w:lang w:val="ru-RU" w:eastAsia="ru-RU"/>
        </w:rPr>
        <w:t xml:space="preserve">по производственной </w:t>
      </w:r>
      <w:r>
        <w:rPr>
          <w:rFonts w:eastAsia="Times New Roman" w:cs="Times New Roman"/>
          <w:sz w:val="44"/>
          <w:szCs w:val="44"/>
          <w:lang w:val="ru-RU" w:eastAsia="ru-RU"/>
        </w:rPr>
        <w:br/>
      </w:r>
      <w:r w:rsidRPr="003418BD">
        <w:rPr>
          <w:rFonts w:eastAsia="Times New Roman" w:cs="Times New Roman"/>
          <w:sz w:val="44"/>
          <w:szCs w:val="44"/>
          <w:lang w:val="ru-RU" w:eastAsia="ru-RU"/>
        </w:rPr>
        <w:t>научно-исследовательской практике</w:t>
      </w:r>
    </w:p>
    <w:p w14:paraId="546C39D8" w14:textId="77777777" w:rsidR="00B23776" w:rsidRPr="00B23776" w:rsidRDefault="00B23776" w:rsidP="00B23776">
      <w:pPr>
        <w:spacing w:before="240" w:after="0" w:line="240" w:lineRule="auto"/>
        <w:ind w:right="-74"/>
        <w:jc w:val="center"/>
        <w:rPr>
          <w:rFonts w:eastAsia="Times New Roman" w:cs="Times New Roman"/>
          <w:color w:val="000000" w:themeColor="text1"/>
          <w:sz w:val="44"/>
          <w:szCs w:val="20"/>
          <w:lang w:val="ru-RU" w:eastAsia="ru-RU"/>
        </w:rPr>
      </w:pPr>
    </w:p>
    <w:p w14:paraId="677C1A84" w14:textId="77777777" w:rsidR="00B23776" w:rsidRPr="00B23776" w:rsidRDefault="00B23776" w:rsidP="00B23776">
      <w:pPr>
        <w:spacing w:before="240" w:after="0" w:line="240" w:lineRule="auto"/>
        <w:ind w:right="-74"/>
        <w:jc w:val="center"/>
        <w:rPr>
          <w:rFonts w:eastAsia="Times New Roman" w:cs="Times New Roman"/>
          <w:color w:val="000000" w:themeColor="text1"/>
          <w:sz w:val="44"/>
          <w:szCs w:val="20"/>
          <w:lang w:val="ru-RU" w:eastAsia="ru-RU"/>
        </w:rPr>
      </w:pPr>
    </w:p>
    <w:p w14:paraId="1F121F1C" w14:textId="77777777" w:rsidR="00B23776" w:rsidRPr="00B23776" w:rsidRDefault="00B23776" w:rsidP="00B23776">
      <w:pPr>
        <w:spacing w:before="240" w:after="0" w:line="240" w:lineRule="auto"/>
        <w:ind w:right="-74"/>
        <w:jc w:val="center"/>
        <w:rPr>
          <w:rFonts w:eastAsia="Times New Roman" w:cs="Times New Roman"/>
          <w:color w:val="000000" w:themeColor="text1"/>
          <w:sz w:val="44"/>
          <w:szCs w:val="20"/>
          <w:lang w:val="ru-RU" w:eastAsia="ru-RU"/>
        </w:rPr>
      </w:pPr>
    </w:p>
    <w:tbl>
      <w:tblPr>
        <w:tblW w:w="9690" w:type="dxa"/>
        <w:tblLayout w:type="fixed"/>
        <w:tblLook w:val="04A0" w:firstRow="1" w:lastRow="0" w:firstColumn="1" w:lastColumn="0" w:noHBand="0" w:noVBand="1"/>
      </w:tblPr>
      <w:tblGrid>
        <w:gridCol w:w="3971"/>
        <w:gridCol w:w="2491"/>
        <w:gridCol w:w="3228"/>
      </w:tblGrid>
      <w:tr w:rsidR="00B23776" w:rsidRPr="00436136" w14:paraId="13CC2D26" w14:textId="77777777" w:rsidTr="009B1F73">
        <w:tc>
          <w:tcPr>
            <w:tcW w:w="3972" w:type="dxa"/>
            <w:hideMark/>
          </w:tcPr>
          <w:p w14:paraId="154030E5" w14:textId="77777777" w:rsidR="00B23776" w:rsidRPr="00436136" w:rsidRDefault="00B23776" w:rsidP="009B1F73">
            <w:pPr>
              <w:spacing w:after="0" w:line="240" w:lineRule="auto"/>
              <w:ind w:right="963"/>
              <w:jc w:val="both"/>
              <w:rPr>
                <w:rFonts w:eastAsia="Times New Roman" w:cs="Times New Roman"/>
                <w:szCs w:val="28"/>
              </w:rPr>
            </w:pPr>
            <w:proofErr w:type="spellStart"/>
            <w:r w:rsidRPr="00436136">
              <w:rPr>
                <w:rFonts w:eastAsia="Times New Roman" w:cs="Times New Roman"/>
                <w:color w:val="000000" w:themeColor="text1"/>
                <w:szCs w:val="28"/>
                <w:lang w:eastAsia="ru-RU"/>
              </w:rPr>
              <w:t>Студент</w:t>
            </w:r>
            <w:proofErr w:type="spellEnd"/>
          </w:p>
        </w:tc>
        <w:tc>
          <w:tcPr>
            <w:tcW w:w="2491" w:type="dxa"/>
            <w:hideMark/>
          </w:tcPr>
          <w:p w14:paraId="5AA06BC0" w14:textId="77777777" w:rsidR="00B23776" w:rsidRPr="00436136" w:rsidRDefault="00B23776" w:rsidP="009B1F73">
            <w:pPr>
              <w:spacing w:after="0" w:line="240" w:lineRule="auto"/>
              <w:ind w:right="144"/>
              <w:jc w:val="both"/>
              <w:rPr>
                <w:rFonts w:eastAsia="Times New Roman" w:cs="Times New Roman"/>
                <w:szCs w:val="28"/>
              </w:rPr>
            </w:pPr>
            <w:r w:rsidRPr="00436136">
              <w:rPr>
                <w:rFonts w:eastAsia="Times New Roman" w:cs="Times New Roman"/>
                <w:color w:val="000000" w:themeColor="text1"/>
                <w:szCs w:val="28"/>
                <w:lang w:eastAsia="ru-RU"/>
              </w:rPr>
              <w:t>______________</w:t>
            </w:r>
          </w:p>
        </w:tc>
        <w:tc>
          <w:tcPr>
            <w:tcW w:w="3228" w:type="dxa"/>
            <w:hideMark/>
          </w:tcPr>
          <w:p w14:paraId="5752852E" w14:textId="77777777" w:rsidR="00B23776" w:rsidRPr="00B23776" w:rsidRDefault="00B23776" w:rsidP="009B1F73">
            <w:pPr>
              <w:spacing w:after="0" w:line="240" w:lineRule="auto"/>
              <w:jc w:val="both"/>
              <w:rPr>
                <w:rFonts w:eastAsia="Times New Roman" w:cs="Times New Roman"/>
                <w:szCs w:val="28"/>
              </w:rPr>
            </w:pPr>
            <w:r>
              <w:rPr>
                <w:rFonts w:eastAsia="Times New Roman" w:cs="Times New Roman"/>
                <w:color w:val="000000" w:themeColor="text1"/>
                <w:szCs w:val="28"/>
                <w:lang w:val="ru-RU" w:eastAsia="ru-RU"/>
              </w:rPr>
              <w:t>И</w:t>
            </w:r>
            <w:r w:rsidRPr="00436136">
              <w:rPr>
                <w:rFonts w:eastAsia="Times New Roman" w:cs="Times New Roman"/>
                <w:color w:val="000000" w:themeColor="text1"/>
                <w:szCs w:val="28"/>
                <w:lang w:eastAsia="ru-RU"/>
              </w:rPr>
              <w:t>.</w:t>
            </w:r>
            <w:r>
              <w:rPr>
                <w:rFonts w:eastAsia="Times New Roman" w:cs="Times New Roman"/>
                <w:color w:val="000000" w:themeColor="text1"/>
                <w:szCs w:val="28"/>
                <w:lang w:val="ru-RU" w:eastAsia="ru-RU"/>
              </w:rPr>
              <w:t>К</w:t>
            </w:r>
            <w:r w:rsidRPr="00436136">
              <w:rPr>
                <w:rFonts w:eastAsia="Times New Roman" w:cs="Times New Roman"/>
                <w:color w:val="000000" w:themeColor="text1"/>
                <w:szCs w:val="28"/>
                <w:lang w:eastAsia="ru-RU"/>
              </w:rPr>
              <w:t xml:space="preserve">. </w:t>
            </w:r>
            <w:r>
              <w:rPr>
                <w:rFonts w:eastAsia="Times New Roman" w:cs="Times New Roman"/>
                <w:color w:val="000000" w:themeColor="text1"/>
                <w:szCs w:val="28"/>
                <w:lang w:val="ru-RU" w:eastAsia="ru-RU"/>
              </w:rPr>
              <w:t>Просалов</w:t>
            </w:r>
          </w:p>
        </w:tc>
      </w:tr>
      <w:tr w:rsidR="00B23776" w:rsidRPr="00436136" w14:paraId="0E7B0A91" w14:textId="77777777" w:rsidTr="009B1F73">
        <w:tc>
          <w:tcPr>
            <w:tcW w:w="3972" w:type="dxa"/>
            <w:hideMark/>
          </w:tcPr>
          <w:p w14:paraId="1AECD2D0" w14:textId="77777777" w:rsidR="00B23776" w:rsidRPr="00436136" w:rsidRDefault="00B23776" w:rsidP="009B1F73">
            <w:pPr>
              <w:spacing w:after="0" w:line="240" w:lineRule="auto"/>
              <w:ind w:right="963"/>
              <w:jc w:val="both"/>
              <w:rPr>
                <w:rFonts w:eastAsia="Times New Roman" w:cs="Times New Roman"/>
                <w:szCs w:val="28"/>
              </w:rPr>
            </w:pPr>
            <w:proofErr w:type="spellStart"/>
            <w:r w:rsidRPr="00436136">
              <w:rPr>
                <w:rFonts w:eastAsia="Times New Roman" w:cs="Times New Roman"/>
                <w:color w:val="000000" w:themeColor="text1"/>
                <w:szCs w:val="28"/>
                <w:lang w:eastAsia="ru-RU"/>
              </w:rPr>
              <w:t>группы</w:t>
            </w:r>
            <w:proofErr w:type="spellEnd"/>
            <w:r w:rsidRPr="00436136">
              <w:rPr>
                <w:rFonts w:eastAsia="Times New Roman" w:cs="Times New Roman"/>
                <w:color w:val="000000" w:themeColor="text1"/>
                <w:szCs w:val="28"/>
                <w:lang w:eastAsia="ru-RU"/>
              </w:rPr>
              <w:t xml:space="preserve"> ММН-25-СУ1</w:t>
            </w:r>
          </w:p>
        </w:tc>
        <w:tc>
          <w:tcPr>
            <w:tcW w:w="2491" w:type="dxa"/>
          </w:tcPr>
          <w:p w14:paraId="0A603E65" w14:textId="77777777" w:rsidR="00B23776" w:rsidRPr="00436136" w:rsidRDefault="00B23776" w:rsidP="009B1F73">
            <w:pPr>
              <w:spacing w:after="0" w:line="240" w:lineRule="auto"/>
              <w:ind w:right="144"/>
              <w:jc w:val="both"/>
              <w:rPr>
                <w:rFonts w:eastAsia="Times New Roman" w:cs="Times New Roman"/>
                <w:szCs w:val="28"/>
              </w:rPr>
            </w:pPr>
          </w:p>
        </w:tc>
        <w:tc>
          <w:tcPr>
            <w:tcW w:w="3228" w:type="dxa"/>
          </w:tcPr>
          <w:p w14:paraId="29467173" w14:textId="77777777" w:rsidR="00B23776" w:rsidRPr="00436136" w:rsidRDefault="00B23776" w:rsidP="009B1F73">
            <w:pPr>
              <w:spacing w:after="0" w:line="240" w:lineRule="auto"/>
              <w:jc w:val="both"/>
              <w:rPr>
                <w:rFonts w:eastAsia="Times New Roman" w:cs="Times New Roman"/>
                <w:szCs w:val="28"/>
              </w:rPr>
            </w:pPr>
          </w:p>
        </w:tc>
      </w:tr>
      <w:tr w:rsidR="00B23776" w:rsidRPr="00436136" w14:paraId="077AA739" w14:textId="77777777" w:rsidTr="009B1F73">
        <w:tc>
          <w:tcPr>
            <w:tcW w:w="3972" w:type="dxa"/>
          </w:tcPr>
          <w:p w14:paraId="21512296" w14:textId="77777777" w:rsidR="00B23776" w:rsidRPr="00AB4C8A" w:rsidRDefault="00B23776" w:rsidP="009B1F73">
            <w:pPr>
              <w:spacing w:after="0" w:line="240" w:lineRule="auto"/>
              <w:ind w:right="963"/>
              <w:jc w:val="both"/>
              <w:rPr>
                <w:rFonts w:eastAsia="Times New Roman" w:cs="Times New Roman"/>
                <w:szCs w:val="28"/>
                <w:lang w:val="ru-RU"/>
              </w:rPr>
            </w:pPr>
          </w:p>
          <w:p w14:paraId="40A89A07" w14:textId="77777777" w:rsidR="00B23776" w:rsidRPr="00AB4C8A" w:rsidRDefault="00B23776" w:rsidP="009B1F73">
            <w:pPr>
              <w:spacing w:after="0" w:line="240" w:lineRule="auto"/>
              <w:ind w:right="963"/>
              <w:jc w:val="both"/>
              <w:rPr>
                <w:rFonts w:eastAsia="Times New Roman" w:cs="Times New Roman"/>
                <w:szCs w:val="28"/>
                <w:lang w:val="ru-RU"/>
              </w:rPr>
            </w:pPr>
            <w:r w:rsidRPr="00B23776">
              <w:rPr>
                <w:rFonts w:eastAsia="Times New Roman" w:cs="Times New Roman"/>
                <w:color w:val="000000" w:themeColor="text1"/>
                <w:szCs w:val="28"/>
                <w:lang w:val="ru-RU" w:eastAsia="ru-RU"/>
              </w:rPr>
              <w:t>Руководитель</w:t>
            </w:r>
          </w:p>
          <w:p w14:paraId="1F29C79A" w14:textId="77777777" w:rsidR="00B23776" w:rsidRPr="00AB4C8A" w:rsidRDefault="00B23776" w:rsidP="009B1F73">
            <w:pPr>
              <w:spacing w:after="0" w:line="240" w:lineRule="auto"/>
              <w:ind w:right="963"/>
              <w:rPr>
                <w:rFonts w:eastAsia="Times New Roman" w:cs="Times New Roman"/>
                <w:szCs w:val="28"/>
                <w:lang w:val="ru-RU"/>
              </w:rPr>
            </w:pPr>
            <w:r w:rsidRPr="00B23776">
              <w:rPr>
                <w:rFonts w:eastAsia="Times New Roman" w:cs="Times New Roman"/>
                <w:color w:val="000000" w:themeColor="text1"/>
                <w:szCs w:val="28"/>
                <w:lang w:val="ru-RU" w:eastAsia="ru-RU"/>
              </w:rPr>
              <w:t>канд. экон. наук. доцент</w:t>
            </w:r>
          </w:p>
        </w:tc>
        <w:tc>
          <w:tcPr>
            <w:tcW w:w="2491" w:type="dxa"/>
          </w:tcPr>
          <w:p w14:paraId="20DB163F" w14:textId="77777777" w:rsidR="00B23776" w:rsidRPr="00AB4C8A" w:rsidRDefault="00B23776" w:rsidP="009B1F73">
            <w:pPr>
              <w:spacing w:after="0" w:line="240" w:lineRule="auto"/>
              <w:ind w:right="144"/>
              <w:jc w:val="both"/>
              <w:rPr>
                <w:rFonts w:eastAsia="Times New Roman" w:cs="Times New Roman"/>
                <w:szCs w:val="28"/>
                <w:lang w:val="ru-RU"/>
              </w:rPr>
            </w:pPr>
          </w:p>
          <w:p w14:paraId="0FF12450" w14:textId="77777777" w:rsidR="00B23776" w:rsidRPr="00436136" w:rsidRDefault="00B23776" w:rsidP="009B1F73">
            <w:pPr>
              <w:spacing w:after="0" w:line="240" w:lineRule="auto"/>
              <w:ind w:right="144"/>
              <w:jc w:val="both"/>
              <w:rPr>
                <w:rFonts w:eastAsia="Times New Roman" w:cs="Times New Roman"/>
                <w:szCs w:val="28"/>
              </w:rPr>
            </w:pPr>
            <w:r w:rsidRPr="00436136">
              <w:rPr>
                <w:rFonts w:eastAsia="Times New Roman" w:cs="Times New Roman"/>
                <w:color w:val="000000" w:themeColor="text1"/>
                <w:szCs w:val="28"/>
                <w:lang w:eastAsia="ru-RU"/>
              </w:rPr>
              <w:t>______________</w:t>
            </w:r>
          </w:p>
        </w:tc>
        <w:tc>
          <w:tcPr>
            <w:tcW w:w="3228" w:type="dxa"/>
          </w:tcPr>
          <w:p w14:paraId="310AD819" w14:textId="77777777" w:rsidR="00B23776" w:rsidRPr="00436136" w:rsidRDefault="00B23776" w:rsidP="009B1F73">
            <w:pPr>
              <w:spacing w:after="0" w:line="240" w:lineRule="auto"/>
              <w:jc w:val="both"/>
              <w:rPr>
                <w:rFonts w:eastAsia="Times New Roman" w:cs="Times New Roman"/>
                <w:szCs w:val="28"/>
              </w:rPr>
            </w:pPr>
          </w:p>
          <w:p w14:paraId="0810F20E" w14:textId="77777777" w:rsidR="00B23776" w:rsidRPr="00B23776" w:rsidRDefault="00B23776" w:rsidP="009B1F73">
            <w:pPr>
              <w:spacing w:after="0" w:line="240" w:lineRule="auto"/>
              <w:jc w:val="both"/>
              <w:rPr>
                <w:rFonts w:eastAsia="Times New Roman" w:cs="Times New Roman"/>
                <w:szCs w:val="28"/>
              </w:rPr>
            </w:pPr>
            <w:r>
              <w:rPr>
                <w:rFonts w:eastAsia="Times New Roman" w:cs="Times New Roman"/>
                <w:color w:val="000000" w:themeColor="text1"/>
                <w:szCs w:val="28"/>
                <w:lang w:val="ru-RU" w:eastAsia="ru-RU"/>
              </w:rPr>
              <w:t>Т</w:t>
            </w:r>
            <w:r w:rsidRPr="00436136">
              <w:rPr>
                <w:rFonts w:eastAsia="Times New Roman" w:cs="Times New Roman"/>
                <w:color w:val="000000" w:themeColor="text1"/>
                <w:szCs w:val="28"/>
                <w:lang w:eastAsia="ru-RU"/>
              </w:rPr>
              <w:t xml:space="preserve">. </w:t>
            </w:r>
            <w:r>
              <w:rPr>
                <w:rFonts w:eastAsia="Times New Roman" w:cs="Times New Roman"/>
                <w:color w:val="000000" w:themeColor="text1"/>
                <w:szCs w:val="28"/>
                <w:lang w:val="ru-RU" w:eastAsia="ru-RU"/>
              </w:rPr>
              <w:t>Е</w:t>
            </w:r>
            <w:r w:rsidRPr="00436136">
              <w:rPr>
                <w:rFonts w:eastAsia="Times New Roman" w:cs="Times New Roman"/>
                <w:color w:val="000000" w:themeColor="text1"/>
                <w:szCs w:val="28"/>
                <w:lang w:eastAsia="ru-RU"/>
              </w:rPr>
              <w:t xml:space="preserve">. </w:t>
            </w:r>
            <w:r>
              <w:rPr>
                <w:rFonts w:eastAsia="Times New Roman" w:cs="Times New Roman"/>
                <w:color w:val="000000" w:themeColor="text1"/>
                <w:szCs w:val="28"/>
                <w:lang w:val="ru-RU" w:eastAsia="ru-RU"/>
              </w:rPr>
              <w:t>Даниловских</w:t>
            </w:r>
          </w:p>
          <w:p w14:paraId="0D22B4B1" w14:textId="77777777" w:rsidR="00B23776" w:rsidRPr="00436136" w:rsidRDefault="00B23776" w:rsidP="009B1F73">
            <w:pPr>
              <w:spacing w:after="0" w:line="240" w:lineRule="auto"/>
              <w:jc w:val="both"/>
              <w:rPr>
                <w:rFonts w:eastAsia="Times New Roman" w:cs="Times New Roman"/>
                <w:szCs w:val="28"/>
              </w:rPr>
            </w:pPr>
          </w:p>
        </w:tc>
      </w:tr>
    </w:tbl>
    <w:p w14:paraId="076DDCAC" w14:textId="77777777" w:rsidR="00B23776" w:rsidRPr="00436136" w:rsidRDefault="00B23776" w:rsidP="00B23776">
      <w:pPr>
        <w:spacing w:after="0" w:line="240" w:lineRule="auto"/>
        <w:ind w:right="963"/>
        <w:jc w:val="center"/>
        <w:rPr>
          <w:rFonts w:eastAsia="Times New Roman" w:cs="Times New Roman"/>
          <w:color w:val="000000" w:themeColor="text1"/>
          <w:sz w:val="32"/>
          <w:szCs w:val="20"/>
          <w:lang w:eastAsia="ru-RU"/>
        </w:rPr>
      </w:pPr>
    </w:p>
    <w:p w14:paraId="1CB77759" w14:textId="77777777" w:rsidR="00B23776" w:rsidRPr="00436136" w:rsidRDefault="00B23776" w:rsidP="00B23776">
      <w:pPr>
        <w:spacing w:after="0" w:line="240" w:lineRule="auto"/>
        <w:ind w:right="963"/>
        <w:jc w:val="center"/>
        <w:rPr>
          <w:rFonts w:eastAsia="Times New Roman" w:cs="Times New Roman"/>
          <w:color w:val="000000" w:themeColor="text1"/>
          <w:sz w:val="32"/>
          <w:szCs w:val="20"/>
          <w:lang w:eastAsia="ru-RU"/>
        </w:rPr>
      </w:pPr>
    </w:p>
    <w:p w14:paraId="456A4209" w14:textId="23A5F79B" w:rsidR="00B23776" w:rsidRDefault="00B23776" w:rsidP="00B23776">
      <w:pPr>
        <w:spacing w:after="0" w:line="240" w:lineRule="auto"/>
        <w:ind w:right="963"/>
        <w:rPr>
          <w:rFonts w:eastAsia="Times New Roman" w:cs="Times New Roman"/>
          <w:color w:val="000000" w:themeColor="text1"/>
          <w:sz w:val="32"/>
          <w:szCs w:val="20"/>
          <w:lang w:val="ru-RU" w:eastAsia="ru-RU"/>
        </w:rPr>
      </w:pPr>
    </w:p>
    <w:p w14:paraId="3118B78C" w14:textId="1C463F37" w:rsidR="003418BD" w:rsidRDefault="003418BD" w:rsidP="00B23776">
      <w:pPr>
        <w:spacing w:after="0" w:line="240" w:lineRule="auto"/>
        <w:ind w:right="963"/>
        <w:rPr>
          <w:rFonts w:eastAsia="Times New Roman" w:cs="Times New Roman"/>
          <w:color w:val="000000" w:themeColor="text1"/>
          <w:sz w:val="32"/>
          <w:szCs w:val="20"/>
          <w:lang w:val="ru-RU" w:eastAsia="ru-RU"/>
        </w:rPr>
      </w:pPr>
    </w:p>
    <w:p w14:paraId="4DF3F426" w14:textId="22EA4779" w:rsidR="003418BD" w:rsidRDefault="003418BD" w:rsidP="00B23776">
      <w:pPr>
        <w:spacing w:after="0" w:line="240" w:lineRule="auto"/>
        <w:ind w:right="963"/>
        <w:rPr>
          <w:rFonts w:eastAsia="Times New Roman" w:cs="Times New Roman"/>
          <w:color w:val="000000" w:themeColor="text1"/>
          <w:sz w:val="32"/>
          <w:szCs w:val="20"/>
          <w:lang w:val="ru-RU" w:eastAsia="ru-RU"/>
        </w:rPr>
      </w:pPr>
    </w:p>
    <w:p w14:paraId="61545901" w14:textId="7BE77079" w:rsidR="003418BD" w:rsidRDefault="003418BD" w:rsidP="00B23776">
      <w:pPr>
        <w:spacing w:after="0" w:line="240" w:lineRule="auto"/>
        <w:ind w:right="963"/>
        <w:rPr>
          <w:rFonts w:eastAsia="Times New Roman" w:cs="Times New Roman"/>
          <w:color w:val="000000" w:themeColor="text1"/>
          <w:sz w:val="32"/>
          <w:szCs w:val="20"/>
          <w:lang w:val="ru-RU" w:eastAsia="ru-RU"/>
        </w:rPr>
      </w:pPr>
    </w:p>
    <w:p w14:paraId="78D2CE7C" w14:textId="4A48670E" w:rsidR="003418BD" w:rsidRDefault="003418BD" w:rsidP="00B23776">
      <w:pPr>
        <w:spacing w:after="0" w:line="240" w:lineRule="auto"/>
        <w:ind w:right="963"/>
        <w:rPr>
          <w:rFonts w:eastAsia="Times New Roman" w:cs="Times New Roman"/>
          <w:color w:val="000000" w:themeColor="text1"/>
          <w:sz w:val="32"/>
          <w:szCs w:val="20"/>
          <w:lang w:val="ru-RU" w:eastAsia="ru-RU"/>
        </w:rPr>
      </w:pPr>
    </w:p>
    <w:p w14:paraId="56A64F3D" w14:textId="453AB81E" w:rsidR="003418BD" w:rsidRDefault="003418BD" w:rsidP="00B23776">
      <w:pPr>
        <w:spacing w:after="0" w:line="240" w:lineRule="auto"/>
        <w:ind w:right="963"/>
        <w:rPr>
          <w:rFonts w:eastAsia="Times New Roman" w:cs="Times New Roman"/>
          <w:color w:val="000000" w:themeColor="text1"/>
          <w:sz w:val="32"/>
          <w:szCs w:val="20"/>
          <w:lang w:val="ru-RU" w:eastAsia="ru-RU"/>
        </w:rPr>
      </w:pPr>
    </w:p>
    <w:p w14:paraId="26EC73DD" w14:textId="77777777" w:rsidR="003418BD" w:rsidRPr="00B23776" w:rsidRDefault="003418BD" w:rsidP="00B23776">
      <w:pPr>
        <w:spacing w:after="0" w:line="240" w:lineRule="auto"/>
        <w:ind w:right="963"/>
        <w:rPr>
          <w:rFonts w:eastAsia="Times New Roman" w:cs="Times New Roman"/>
          <w:color w:val="000000" w:themeColor="text1"/>
          <w:sz w:val="32"/>
          <w:szCs w:val="20"/>
          <w:lang w:val="ru-RU" w:eastAsia="ru-RU"/>
        </w:rPr>
      </w:pPr>
    </w:p>
    <w:p w14:paraId="18742FA9" w14:textId="77777777" w:rsidR="00B23776" w:rsidRPr="00436136" w:rsidRDefault="00B23776" w:rsidP="00B23776">
      <w:pPr>
        <w:spacing w:after="0" w:line="240" w:lineRule="auto"/>
        <w:ind w:right="963"/>
        <w:jc w:val="center"/>
        <w:rPr>
          <w:rFonts w:eastAsia="Times New Roman" w:cs="Times New Roman"/>
          <w:color w:val="000000" w:themeColor="text1"/>
          <w:sz w:val="32"/>
          <w:szCs w:val="20"/>
          <w:lang w:eastAsia="ru-RU"/>
        </w:rPr>
      </w:pPr>
    </w:p>
    <w:p w14:paraId="21F1F953" w14:textId="77777777" w:rsidR="009B1F73" w:rsidRDefault="00B23776" w:rsidP="00B23776">
      <w:pPr>
        <w:suppressAutoHyphens/>
        <w:spacing w:after="0" w:line="240" w:lineRule="auto"/>
        <w:jc w:val="center"/>
        <w:rPr>
          <w:rFonts w:eastAsia="Times New Roman" w:cs="Times New Roman"/>
          <w:color w:val="000000" w:themeColor="text1"/>
          <w:szCs w:val="28"/>
          <w:lang w:eastAsia="ru-RU"/>
        </w:rPr>
        <w:sectPr w:rsidR="009B1F73">
          <w:headerReference w:type="default" r:id="rId8"/>
          <w:pgSz w:w="11906" w:h="16838"/>
          <w:pgMar w:top="1134" w:right="567" w:bottom="1134" w:left="1701" w:header="709" w:footer="709" w:gutter="0"/>
          <w:pgNumType w:start="1"/>
          <w:cols w:space="708"/>
          <w:titlePg/>
          <w:docGrid w:linePitch="360"/>
        </w:sectPr>
      </w:pPr>
      <w:proofErr w:type="spellStart"/>
      <w:r w:rsidRPr="00436136">
        <w:rPr>
          <w:rFonts w:eastAsia="Times New Roman" w:cs="Times New Roman"/>
          <w:color w:val="000000" w:themeColor="text1"/>
          <w:szCs w:val="28"/>
          <w:lang w:eastAsia="ru-RU"/>
        </w:rPr>
        <w:t>Владивосток</w:t>
      </w:r>
      <w:proofErr w:type="spellEnd"/>
      <w:r w:rsidRPr="00436136">
        <w:rPr>
          <w:rFonts w:eastAsia="Times New Roman" w:cs="Times New Roman"/>
          <w:color w:val="000000" w:themeColor="text1"/>
          <w:szCs w:val="28"/>
          <w:lang w:eastAsia="ru-RU"/>
        </w:rPr>
        <w:t xml:space="preserve"> 2026</w:t>
      </w:r>
    </w:p>
    <w:p w14:paraId="2797B424" w14:textId="64E38F0C" w:rsidR="00121129" w:rsidRDefault="00B23776" w:rsidP="00B23776">
      <w:pPr>
        <w:keepNext/>
        <w:widowControl w:val="0"/>
        <w:suppressAutoHyphens/>
        <w:spacing w:after="240" w:line="240" w:lineRule="auto"/>
        <w:jc w:val="center"/>
        <w:outlineLvl w:val="0"/>
        <w:rPr>
          <w:rFonts w:ascii="Arial" w:eastAsia="Arial" w:hAnsi="Arial" w:cs="Arial"/>
          <w:sz w:val="30"/>
          <w:szCs w:val="30"/>
        </w:rPr>
      </w:pPr>
      <w:proofErr w:type="spellStart"/>
      <w:r>
        <w:rPr>
          <w:rFonts w:ascii="Arial" w:eastAsia="Arial" w:hAnsi="Arial" w:cs="Arial"/>
          <w:color w:val="000000"/>
          <w:sz w:val="30"/>
          <w:szCs w:val="30"/>
        </w:rPr>
        <w:lastRenderedPageBreak/>
        <w:t>Содержание</w:t>
      </w:r>
      <w:proofErr w:type="spellEnd"/>
    </w:p>
    <w:p w14:paraId="01E6A40C" w14:textId="6359ACA8" w:rsidR="00121129" w:rsidRPr="009B1F73" w:rsidRDefault="00E03C62">
      <w:pPr>
        <w:widowControl w:val="0"/>
        <w:tabs>
          <w:tab w:val="right" w:leader="dot" w:pos="9638"/>
        </w:tabs>
        <w:suppressAutoHyphens/>
        <w:spacing w:after="0" w:line="360" w:lineRule="auto"/>
        <w:rPr>
          <w:rFonts w:eastAsia="Times New Roman" w:cs="Times New Roman"/>
          <w:szCs w:val="28"/>
          <w:lang w:val="ru-RU"/>
        </w:rPr>
      </w:pPr>
      <w:r w:rsidRPr="009B1F73">
        <w:rPr>
          <w:rFonts w:eastAsia="Times New Roman" w:cs="Times New Roman"/>
          <w:color w:val="000000"/>
          <w:szCs w:val="28"/>
          <w:lang w:val="ru-RU"/>
        </w:rPr>
        <w:t>Введение</w:t>
      </w:r>
      <w:r w:rsidRPr="009B1F73">
        <w:rPr>
          <w:rFonts w:eastAsia="Times New Roman" w:cs="Times New Roman"/>
          <w:szCs w:val="28"/>
          <w:lang w:val="ru-RU"/>
        </w:rPr>
        <w:tab/>
      </w:r>
      <w:r>
        <w:rPr>
          <w:rFonts w:eastAsia="Times New Roman" w:cs="Times New Roman"/>
          <w:szCs w:val="28"/>
        </w:rPr>
        <w:fldChar w:fldCharType="begin" w:fldLock="1"/>
      </w:r>
      <w:r w:rsidRPr="009B1F73">
        <w:rPr>
          <w:rFonts w:eastAsia="Times New Roman" w:cs="Times New Roman"/>
          <w:szCs w:val="28"/>
          <w:lang w:val="ru-RU"/>
        </w:rPr>
        <w:instrText xml:space="preserve"> </w:instrText>
      </w:r>
      <w:r>
        <w:rPr>
          <w:rFonts w:eastAsia="Times New Roman" w:cs="Times New Roman"/>
          <w:szCs w:val="28"/>
        </w:rPr>
        <w:instrText>PAGEREF</w:instrText>
      </w:r>
      <w:r w:rsidRPr="009B1F73">
        <w:rPr>
          <w:rFonts w:eastAsia="Times New Roman" w:cs="Times New Roman"/>
          <w:szCs w:val="28"/>
          <w:lang w:val="ru-RU"/>
        </w:rPr>
        <w:instrText xml:space="preserve"> _</w:instrText>
      </w:r>
      <w:r>
        <w:rPr>
          <w:rFonts w:eastAsia="Times New Roman" w:cs="Times New Roman"/>
          <w:szCs w:val="28"/>
        </w:rPr>
        <w:instrText>sto</w:instrText>
      </w:r>
      <w:r w:rsidRPr="009B1F73">
        <w:rPr>
          <w:rFonts w:eastAsia="Times New Roman" w:cs="Times New Roman"/>
          <w:szCs w:val="28"/>
          <w:lang w:val="ru-RU"/>
        </w:rPr>
        <w:instrText>_</w:instrText>
      </w:r>
      <w:r>
        <w:rPr>
          <w:rFonts w:eastAsia="Times New Roman" w:cs="Times New Roman"/>
          <w:szCs w:val="28"/>
        </w:rPr>
        <w:instrText>toc</w:instrText>
      </w:r>
      <w:r w:rsidRPr="009B1F73">
        <w:rPr>
          <w:rFonts w:eastAsia="Times New Roman" w:cs="Times New Roman"/>
          <w:szCs w:val="28"/>
          <w:lang w:val="ru-RU"/>
        </w:rPr>
        <w:instrText>_1 \</w:instrText>
      </w:r>
      <w:r>
        <w:rPr>
          <w:rFonts w:eastAsia="Times New Roman" w:cs="Times New Roman"/>
          <w:szCs w:val="28"/>
        </w:rPr>
        <w:instrText>h</w:instrText>
      </w:r>
      <w:r w:rsidRPr="009B1F73">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9B1F73">
        <w:rPr>
          <w:rFonts w:eastAsia="Times New Roman" w:cs="Times New Roman"/>
          <w:noProof/>
          <w:szCs w:val="28"/>
          <w:lang w:val="ru-RU"/>
        </w:rPr>
        <w:t>3</w:t>
      </w:r>
      <w:r>
        <w:rPr>
          <w:rFonts w:eastAsia="Times New Roman" w:cs="Times New Roman"/>
          <w:szCs w:val="28"/>
        </w:rPr>
        <w:fldChar w:fldCharType="end"/>
      </w:r>
    </w:p>
    <w:p w14:paraId="0830011B" w14:textId="2657B5E9" w:rsidR="00121129" w:rsidRPr="00AB4C8A" w:rsidRDefault="00E03C62">
      <w:pPr>
        <w:widowControl w:val="0"/>
        <w:tabs>
          <w:tab w:val="right" w:leader="dot" w:pos="9638"/>
        </w:tabs>
        <w:suppressAutoHyphens/>
        <w:spacing w:after="120" w:line="240" w:lineRule="auto"/>
        <w:rPr>
          <w:rFonts w:eastAsia="Times New Roman" w:cs="Times New Roman"/>
          <w:szCs w:val="28"/>
          <w:lang w:val="ru-RU"/>
        </w:rPr>
      </w:pPr>
      <w:r w:rsidRPr="00B23776">
        <w:rPr>
          <w:rFonts w:eastAsia="Times New Roman" w:cs="Times New Roman"/>
          <w:color w:val="000000"/>
          <w:szCs w:val="28"/>
          <w:lang w:val="ru-RU"/>
        </w:rPr>
        <w:t>1 Теоретико-методические основы формирования стратегии управления рисками инвестиционного портфеля</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_2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4</w:t>
      </w:r>
      <w:r>
        <w:rPr>
          <w:rFonts w:eastAsia="Times New Roman" w:cs="Times New Roman"/>
          <w:szCs w:val="28"/>
        </w:rPr>
        <w:fldChar w:fldCharType="end"/>
      </w:r>
    </w:p>
    <w:p w14:paraId="34A72AC0" w14:textId="7549FA2C"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1.1 Эволюция научных подходов к управлению портфельным риском</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_3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4</w:t>
      </w:r>
      <w:r>
        <w:rPr>
          <w:rFonts w:eastAsia="Times New Roman" w:cs="Times New Roman"/>
          <w:szCs w:val="28"/>
        </w:rPr>
        <w:fldChar w:fldCharType="end"/>
      </w:r>
    </w:p>
    <w:p w14:paraId="0C1FCC3B" w14:textId="13866F54"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1.2 Сущность и классификация рисков инвестиционного портфеля</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_4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6</w:t>
      </w:r>
      <w:r>
        <w:rPr>
          <w:rFonts w:eastAsia="Times New Roman" w:cs="Times New Roman"/>
          <w:szCs w:val="28"/>
        </w:rPr>
        <w:fldChar w:fldCharType="end"/>
      </w:r>
    </w:p>
    <w:p w14:paraId="3AEA9869" w14:textId="1C730E86"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1.3 Критический анализ российских и зарубежных исследований</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_5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8</w:t>
      </w:r>
      <w:r>
        <w:rPr>
          <w:rFonts w:eastAsia="Times New Roman" w:cs="Times New Roman"/>
          <w:szCs w:val="28"/>
        </w:rPr>
        <w:fldChar w:fldCharType="end"/>
      </w:r>
    </w:p>
    <w:p w14:paraId="54E5D357" w14:textId="0CADDDD6" w:rsidR="00121129" w:rsidRPr="00AB4C8A" w:rsidRDefault="00E03C62">
      <w:pPr>
        <w:widowControl w:val="0"/>
        <w:tabs>
          <w:tab w:val="right" w:leader="dot" w:pos="9638"/>
        </w:tabs>
        <w:suppressAutoHyphens/>
        <w:spacing w:after="120" w:line="240" w:lineRule="auto"/>
        <w:rPr>
          <w:rFonts w:eastAsia="Times New Roman" w:cs="Times New Roman"/>
          <w:szCs w:val="28"/>
          <w:lang w:val="ru-RU"/>
        </w:rPr>
      </w:pPr>
      <w:r w:rsidRPr="00B23776">
        <w:rPr>
          <w:rFonts w:eastAsia="Times New Roman" w:cs="Times New Roman"/>
          <w:color w:val="000000"/>
          <w:szCs w:val="28"/>
          <w:lang w:val="ru-RU"/>
        </w:rPr>
        <w:t>2 Анализ действующей практики управления рисками инвестиционного портфеля и диагностика проблем фрагментарности</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_6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12</w:t>
      </w:r>
      <w:r>
        <w:rPr>
          <w:rFonts w:eastAsia="Times New Roman" w:cs="Times New Roman"/>
          <w:szCs w:val="28"/>
        </w:rPr>
        <w:fldChar w:fldCharType="end"/>
      </w:r>
    </w:p>
    <w:p w14:paraId="0FE99503" w14:textId="5522566B"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2.1 Характеристика объекта апробации и структура портфеля</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_7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12</w:t>
      </w:r>
      <w:r>
        <w:rPr>
          <w:rFonts w:eastAsia="Times New Roman" w:cs="Times New Roman"/>
          <w:szCs w:val="28"/>
        </w:rPr>
        <w:fldChar w:fldCharType="end"/>
      </w:r>
    </w:p>
    <w:p w14:paraId="0F0656DB" w14:textId="19ED948F"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2.2 Система показателей и анализ текущих методов оценки</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_8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13</w:t>
      </w:r>
      <w:r>
        <w:rPr>
          <w:rFonts w:eastAsia="Times New Roman" w:cs="Times New Roman"/>
          <w:szCs w:val="28"/>
        </w:rPr>
        <w:fldChar w:fldCharType="end"/>
      </w:r>
    </w:p>
    <w:p w14:paraId="013EBCF8" w14:textId="36F3E43A"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2.3 Выявление несогласованности решений</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_9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14</w:t>
      </w:r>
      <w:r>
        <w:rPr>
          <w:rFonts w:eastAsia="Times New Roman" w:cs="Times New Roman"/>
          <w:szCs w:val="28"/>
        </w:rPr>
        <w:fldChar w:fldCharType="end"/>
      </w:r>
    </w:p>
    <w:p w14:paraId="5EE42C6A" w14:textId="71826E28"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2.4 Разработка унифицированных методов управления рисками</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_10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15</w:t>
      </w:r>
      <w:r>
        <w:rPr>
          <w:rFonts w:eastAsia="Times New Roman" w:cs="Times New Roman"/>
          <w:szCs w:val="28"/>
        </w:rPr>
        <w:fldChar w:fldCharType="end"/>
      </w:r>
    </w:p>
    <w:p w14:paraId="7288D2CC" w14:textId="3BF4E990" w:rsidR="00121129" w:rsidRPr="00AB4C8A" w:rsidRDefault="00E03C62">
      <w:pPr>
        <w:widowControl w:val="0"/>
        <w:tabs>
          <w:tab w:val="right" w:leader="dot" w:pos="9638"/>
        </w:tabs>
        <w:suppressAutoHyphens/>
        <w:spacing w:after="120" w:line="240" w:lineRule="auto"/>
        <w:rPr>
          <w:rFonts w:eastAsia="Times New Roman" w:cs="Times New Roman"/>
          <w:szCs w:val="28"/>
          <w:lang w:val="ru-RU"/>
        </w:rPr>
      </w:pPr>
      <w:r w:rsidRPr="00B23776">
        <w:rPr>
          <w:rFonts w:eastAsia="Times New Roman" w:cs="Times New Roman"/>
          <w:color w:val="000000"/>
          <w:szCs w:val="28"/>
          <w:lang w:val="ru-RU"/>
        </w:rPr>
        <w:t>3 Разработка и апробация методического инструментария формирования стратегии управления рисками инвестиционного портфеля</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_11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18</w:t>
      </w:r>
      <w:r>
        <w:rPr>
          <w:rFonts w:eastAsia="Times New Roman" w:cs="Times New Roman"/>
          <w:szCs w:val="28"/>
        </w:rPr>
        <w:fldChar w:fldCharType="end"/>
      </w:r>
    </w:p>
    <w:p w14:paraId="060BBDD2" w14:textId="4DE22936"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3.1 Применение предложенного алгоритма на исторических данных и демо-счетах</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_12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18</w:t>
      </w:r>
      <w:r>
        <w:rPr>
          <w:rFonts w:eastAsia="Times New Roman" w:cs="Times New Roman"/>
          <w:szCs w:val="28"/>
        </w:rPr>
        <w:fldChar w:fldCharType="end"/>
      </w:r>
    </w:p>
    <w:p w14:paraId="0B7DCF60" w14:textId="41548F53"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3.2 Сценарное тестирование портфеля</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_13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19</w:t>
      </w:r>
      <w:r>
        <w:rPr>
          <w:rFonts w:eastAsia="Times New Roman" w:cs="Times New Roman"/>
          <w:szCs w:val="28"/>
        </w:rPr>
        <w:fldChar w:fldCharType="end"/>
      </w:r>
    </w:p>
    <w:p w14:paraId="74893E2F" w14:textId="1F719F77"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3.3 Оценка эффекта для риска, доходности и операционной согласованности решений</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_14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20</w:t>
      </w:r>
      <w:r>
        <w:rPr>
          <w:rFonts w:eastAsia="Times New Roman" w:cs="Times New Roman"/>
          <w:szCs w:val="28"/>
        </w:rPr>
        <w:fldChar w:fldCharType="end"/>
      </w:r>
    </w:p>
    <w:p w14:paraId="502386A3" w14:textId="30C8F346" w:rsidR="00121129" w:rsidRPr="00AB4C8A" w:rsidRDefault="00E03C62">
      <w:pPr>
        <w:widowControl w:val="0"/>
        <w:tabs>
          <w:tab w:val="right" w:leader="dot" w:pos="9638"/>
        </w:tabs>
        <w:suppressAutoHyphens/>
        <w:spacing w:after="0" w:line="360" w:lineRule="auto"/>
        <w:ind w:left="709"/>
        <w:rPr>
          <w:rFonts w:eastAsia="Times New Roman" w:cs="Times New Roman"/>
          <w:szCs w:val="28"/>
          <w:lang w:val="ru-RU"/>
        </w:rPr>
      </w:pPr>
      <w:r w:rsidRPr="00B23776">
        <w:rPr>
          <w:rFonts w:eastAsia="Times New Roman" w:cs="Times New Roman"/>
          <w:color w:val="000000"/>
          <w:szCs w:val="28"/>
          <w:lang w:val="ru-RU"/>
        </w:rPr>
        <w:t>3.4 Итоговая структура магистерской диссертации</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_15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21</w:t>
      </w:r>
      <w:r>
        <w:rPr>
          <w:rFonts w:eastAsia="Times New Roman" w:cs="Times New Roman"/>
          <w:szCs w:val="28"/>
        </w:rPr>
        <w:fldChar w:fldCharType="end"/>
      </w:r>
    </w:p>
    <w:p w14:paraId="7DF0F4E7" w14:textId="5BEF39AC" w:rsidR="00121129" w:rsidRPr="00AB4C8A" w:rsidRDefault="00E03C62">
      <w:pPr>
        <w:widowControl w:val="0"/>
        <w:tabs>
          <w:tab w:val="right" w:leader="dot" w:pos="9638"/>
        </w:tabs>
        <w:suppressAutoHyphens/>
        <w:spacing w:after="0" w:line="360" w:lineRule="auto"/>
        <w:rPr>
          <w:rFonts w:eastAsia="Times New Roman" w:cs="Times New Roman"/>
          <w:szCs w:val="28"/>
          <w:lang w:val="ru-RU"/>
        </w:rPr>
      </w:pPr>
      <w:r w:rsidRPr="00B23776">
        <w:rPr>
          <w:rFonts w:eastAsia="Times New Roman" w:cs="Times New Roman"/>
          <w:color w:val="000000"/>
          <w:szCs w:val="28"/>
          <w:lang w:val="ru-RU"/>
        </w:rPr>
        <w:t>Заключение</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_16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24</w:t>
      </w:r>
      <w:r>
        <w:rPr>
          <w:rFonts w:eastAsia="Times New Roman" w:cs="Times New Roman"/>
          <w:szCs w:val="28"/>
        </w:rPr>
        <w:fldChar w:fldCharType="end"/>
      </w:r>
    </w:p>
    <w:p w14:paraId="1FF02C05" w14:textId="0A8A37A2" w:rsidR="00121129" w:rsidRPr="00AB4C8A" w:rsidRDefault="00E03C62">
      <w:pPr>
        <w:widowControl w:val="0"/>
        <w:tabs>
          <w:tab w:val="right" w:leader="dot" w:pos="9638"/>
        </w:tabs>
        <w:suppressAutoHyphens/>
        <w:spacing w:after="0" w:line="360" w:lineRule="auto"/>
        <w:rPr>
          <w:rFonts w:eastAsia="Times New Roman" w:cs="Times New Roman"/>
          <w:szCs w:val="28"/>
          <w:lang w:val="ru-RU"/>
        </w:rPr>
      </w:pPr>
      <w:r w:rsidRPr="00B23776">
        <w:rPr>
          <w:rFonts w:eastAsia="Times New Roman" w:cs="Times New Roman"/>
          <w:color w:val="000000"/>
          <w:szCs w:val="28"/>
          <w:lang w:val="ru-RU"/>
        </w:rPr>
        <w:t>Список использованных источников</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_17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25</w:t>
      </w:r>
      <w:r>
        <w:rPr>
          <w:rFonts w:eastAsia="Times New Roman" w:cs="Times New Roman"/>
          <w:szCs w:val="28"/>
        </w:rPr>
        <w:fldChar w:fldCharType="end"/>
      </w:r>
    </w:p>
    <w:p w14:paraId="5BD57715" w14:textId="4F6561F2" w:rsidR="00121129" w:rsidRPr="00AB4C8A" w:rsidRDefault="00E03C62">
      <w:pPr>
        <w:widowControl w:val="0"/>
        <w:tabs>
          <w:tab w:val="right" w:leader="dot" w:pos="9638"/>
        </w:tabs>
        <w:suppressAutoHyphens/>
        <w:spacing w:after="0" w:line="360" w:lineRule="auto"/>
        <w:rPr>
          <w:rFonts w:eastAsia="Times New Roman" w:cs="Times New Roman"/>
          <w:szCs w:val="28"/>
          <w:lang w:val="ru-RU"/>
        </w:rPr>
      </w:pPr>
      <w:r w:rsidRPr="00B23776">
        <w:rPr>
          <w:rFonts w:eastAsia="Times New Roman" w:cs="Times New Roman"/>
          <w:color w:val="000000"/>
          <w:szCs w:val="28"/>
          <w:lang w:val="ru-RU"/>
        </w:rPr>
        <w:t>Приложение А. Публикация по результатам исследования</w:t>
      </w:r>
      <w:r w:rsidRPr="00AB4C8A">
        <w:rPr>
          <w:rFonts w:eastAsia="Times New Roman" w:cs="Times New Roman"/>
          <w:szCs w:val="28"/>
          <w:lang w:val="ru-RU"/>
        </w:rPr>
        <w:tab/>
      </w:r>
      <w:r>
        <w:rPr>
          <w:rFonts w:eastAsia="Times New Roman" w:cs="Times New Roman"/>
          <w:szCs w:val="28"/>
        </w:rPr>
        <w:fldChar w:fldCharType="begin" w:fldLock="1"/>
      </w:r>
      <w:r w:rsidRPr="00AB4C8A">
        <w:rPr>
          <w:rFonts w:eastAsia="Times New Roman" w:cs="Times New Roman"/>
          <w:szCs w:val="28"/>
          <w:lang w:val="ru-RU"/>
        </w:rPr>
        <w:instrText xml:space="preserve"> </w:instrText>
      </w:r>
      <w:r>
        <w:rPr>
          <w:rFonts w:eastAsia="Times New Roman" w:cs="Times New Roman"/>
          <w:szCs w:val="28"/>
        </w:rPr>
        <w:instrText>PAGEREF</w:instrText>
      </w:r>
      <w:r w:rsidRPr="00AB4C8A">
        <w:rPr>
          <w:rFonts w:eastAsia="Times New Roman" w:cs="Times New Roman"/>
          <w:szCs w:val="28"/>
          <w:lang w:val="ru-RU"/>
        </w:rPr>
        <w:instrText xml:space="preserve"> _</w:instrText>
      </w:r>
      <w:r>
        <w:rPr>
          <w:rFonts w:eastAsia="Times New Roman" w:cs="Times New Roman"/>
          <w:szCs w:val="28"/>
        </w:rPr>
        <w:instrText>sto</w:instrText>
      </w:r>
      <w:r w:rsidRPr="00AB4C8A">
        <w:rPr>
          <w:rFonts w:eastAsia="Times New Roman" w:cs="Times New Roman"/>
          <w:szCs w:val="28"/>
          <w:lang w:val="ru-RU"/>
        </w:rPr>
        <w:instrText>_</w:instrText>
      </w:r>
      <w:r>
        <w:rPr>
          <w:rFonts w:eastAsia="Times New Roman" w:cs="Times New Roman"/>
          <w:szCs w:val="28"/>
        </w:rPr>
        <w:instrText>toc</w:instrText>
      </w:r>
      <w:r w:rsidRPr="00AB4C8A">
        <w:rPr>
          <w:rFonts w:eastAsia="Times New Roman" w:cs="Times New Roman"/>
          <w:szCs w:val="28"/>
          <w:lang w:val="ru-RU"/>
        </w:rPr>
        <w:instrText>_18 \</w:instrText>
      </w:r>
      <w:r>
        <w:rPr>
          <w:rFonts w:eastAsia="Times New Roman" w:cs="Times New Roman"/>
          <w:szCs w:val="28"/>
        </w:rPr>
        <w:instrText>h</w:instrText>
      </w:r>
      <w:r w:rsidRPr="00AB4C8A">
        <w:rPr>
          <w:rFonts w:eastAsia="Times New Roman" w:cs="Times New Roman"/>
          <w:szCs w:val="28"/>
          <w:lang w:val="ru-RU"/>
        </w:rPr>
        <w:instrText xml:space="preserve"> </w:instrText>
      </w:r>
      <w:r>
        <w:rPr>
          <w:rFonts w:eastAsia="Times New Roman" w:cs="Times New Roman"/>
          <w:szCs w:val="28"/>
        </w:rPr>
      </w:r>
      <w:r>
        <w:rPr>
          <w:rFonts w:eastAsia="Times New Roman" w:cs="Times New Roman"/>
          <w:szCs w:val="28"/>
        </w:rPr>
        <w:fldChar w:fldCharType="separate"/>
      </w:r>
      <w:r w:rsidR="009D6FB9" w:rsidRPr="00AB4C8A">
        <w:rPr>
          <w:rFonts w:eastAsia="Times New Roman" w:cs="Times New Roman"/>
          <w:noProof/>
          <w:szCs w:val="28"/>
          <w:lang w:val="ru-RU"/>
        </w:rPr>
        <w:t>28</w:t>
      </w:r>
      <w:r>
        <w:rPr>
          <w:rFonts w:eastAsia="Times New Roman" w:cs="Times New Roman"/>
          <w:szCs w:val="28"/>
        </w:rPr>
        <w:fldChar w:fldCharType="end"/>
      </w:r>
    </w:p>
    <w:p w14:paraId="27465478" w14:textId="77777777" w:rsidR="00121129" w:rsidRPr="00B23776" w:rsidRDefault="00E03C62">
      <w:pPr>
        <w:rPr>
          <w:lang w:val="ru-RU"/>
        </w:rPr>
      </w:pPr>
      <w:r w:rsidRPr="00B23776">
        <w:rPr>
          <w:lang w:val="ru-RU"/>
        </w:rPr>
        <w:br w:type="page"/>
      </w:r>
    </w:p>
    <w:p w14:paraId="50235264" w14:textId="77777777" w:rsidR="00121129" w:rsidRPr="00AB4C8A" w:rsidRDefault="00E03C62">
      <w:pPr>
        <w:keepNext/>
        <w:widowControl w:val="0"/>
        <w:suppressAutoHyphens/>
        <w:spacing w:after="240" w:line="240" w:lineRule="auto"/>
        <w:jc w:val="center"/>
        <w:outlineLvl w:val="0"/>
        <w:rPr>
          <w:rFonts w:ascii="Arial" w:eastAsia="Arial" w:hAnsi="Arial" w:cs="Arial"/>
          <w:sz w:val="30"/>
          <w:szCs w:val="30"/>
          <w:lang w:val="ru-RU"/>
        </w:rPr>
      </w:pPr>
      <w:bookmarkStart w:id="1" w:name="_sto_toc_1"/>
      <w:r w:rsidRPr="00B23776">
        <w:rPr>
          <w:rFonts w:ascii="Arial" w:eastAsia="Arial" w:hAnsi="Arial" w:cs="Arial"/>
          <w:color w:val="000000"/>
          <w:sz w:val="30"/>
          <w:szCs w:val="30"/>
          <w:lang w:val="ru-RU"/>
        </w:rPr>
        <w:lastRenderedPageBreak/>
        <w:t>Введение</w:t>
      </w:r>
      <w:bookmarkEnd w:id="1"/>
    </w:p>
    <w:p w14:paraId="761C9526" w14:textId="67F4C54C" w:rsidR="00121129" w:rsidRPr="00AB4C8A" w:rsidRDefault="00C86951">
      <w:pPr>
        <w:widowControl w:val="0"/>
        <w:spacing w:after="0" w:line="360" w:lineRule="auto"/>
        <w:ind w:firstLine="709"/>
        <w:jc w:val="both"/>
        <w:rPr>
          <w:rFonts w:eastAsia="Times New Roman" w:cs="Times New Roman"/>
          <w:szCs w:val="28"/>
          <w:lang w:val="ru-RU"/>
        </w:rPr>
      </w:pPr>
      <w:r w:rsidRPr="00C86951">
        <w:rPr>
          <w:rFonts w:eastAsia="Times New Roman" w:cs="Times New Roman"/>
          <w:szCs w:val="28"/>
          <w:lang w:val="ru-RU"/>
        </w:rPr>
        <w:t>Настоящий отчет составлен по итогам прохождения производственной научно-исследовательской практики (НИР) в рамках освоения образовательной программы магистратуры. Практика проходила в период с 25 мая 2026 года по 18 июля 2026 года в форме стационарной работы на месте прохождения практики и предполагала выполнение индивидуального задания, направленного на подготовку теоретической основы магистерской диссертации</w:t>
      </w:r>
      <w:r>
        <w:rPr>
          <w:rFonts w:eastAsia="Times New Roman" w:cs="Times New Roman"/>
          <w:szCs w:val="28"/>
          <w:lang w:val="ru-RU"/>
        </w:rPr>
        <w:t>.</w:t>
      </w:r>
      <w:r w:rsidRPr="00B23776">
        <w:rPr>
          <w:rFonts w:eastAsia="Times New Roman" w:cs="Times New Roman"/>
          <w:szCs w:val="28"/>
          <w:lang w:val="ru-RU"/>
        </w:rPr>
        <w:t xml:space="preserve"> Тема исследования </w:t>
      </w:r>
      <w:r w:rsidR="009B1F73" w:rsidRPr="009B1F73">
        <w:rPr>
          <w:lang w:val="ru-RU"/>
        </w:rPr>
        <w:t>–</w:t>
      </w:r>
      <w:r w:rsidRPr="00B23776">
        <w:rPr>
          <w:rFonts w:eastAsia="Times New Roman" w:cs="Times New Roman"/>
          <w:szCs w:val="28"/>
          <w:lang w:val="ru-RU"/>
        </w:rPr>
        <w:t xml:space="preserve"> «Методический инструментарий формирования стратегии управления рисками инвестиционного портфеля». </w:t>
      </w:r>
    </w:p>
    <w:p w14:paraId="4192D64E"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Актуальность темы определяется тем, что в инвестиционном управлении одновременно используются разные показатели и методы оценки риска: волатильность, </w:t>
      </w:r>
      <w:r>
        <w:rPr>
          <w:rFonts w:eastAsia="Times New Roman" w:cs="Times New Roman"/>
          <w:szCs w:val="28"/>
        </w:rPr>
        <w:t>beta</w:t>
      </w:r>
      <w:r w:rsidRPr="00B23776">
        <w:rPr>
          <w:rFonts w:eastAsia="Times New Roman" w:cs="Times New Roman"/>
          <w:szCs w:val="28"/>
          <w:lang w:val="ru-RU"/>
        </w:rPr>
        <w:t xml:space="preserve">-коэффициенты, ковариации, кредитные рейтинги, </w:t>
      </w:r>
      <w:proofErr w:type="spellStart"/>
      <w:r>
        <w:rPr>
          <w:rFonts w:eastAsia="Times New Roman" w:cs="Times New Roman"/>
          <w:szCs w:val="28"/>
        </w:rPr>
        <w:t>VaR</w:t>
      </w:r>
      <w:proofErr w:type="spellEnd"/>
      <w:r w:rsidRPr="00B23776">
        <w:rPr>
          <w:rFonts w:eastAsia="Times New Roman" w:cs="Times New Roman"/>
          <w:szCs w:val="28"/>
          <w:lang w:val="ru-RU"/>
        </w:rPr>
        <w:t xml:space="preserve"> и стресс-тесты. Однако наличие отдельных методов не гарантирует согласованности решений. Если показатели рассчитываются по разным правилам, а результаты не связаны с целями инвестора и составом портфеля, риск-менеджмент приобретает фрагментарный характер.</w:t>
      </w:r>
    </w:p>
    <w:p w14:paraId="39343FC9" w14:textId="7FFF4543"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Цель прохождения производственной научно-исследовательской практики </w:t>
      </w:r>
      <w:r w:rsidR="009B1F73">
        <w:rPr>
          <w:rFonts w:eastAsia="Times New Roman" w:cs="Times New Roman"/>
          <w:szCs w:val="28"/>
          <w:lang w:val="ru-RU"/>
        </w:rPr>
        <w:t>–</w:t>
      </w:r>
      <w:r w:rsidRPr="00B23776">
        <w:rPr>
          <w:rFonts w:eastAsia="Times New Roman" w:cs="Times New Roman"/>
          <w:szCs w:val="28"/>
          <w:lang w:val="ru-RU"/>
        </w:rPr>
        <w:t xml:space="preserve"> систематизировать теоретические и методические подходы к управлению рисками инвестиционного портфеля, провести критический обзор российских и зарубежных исследований и сформировать основу для разработки авторского алгоритма принятия решений.</w:t>
      </w:r>
    </w:p>
    <w:p w14:paraId="6B91D627" w14:textId="77777777" w:rsidR="009B1F73"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Задачи практики: </w:t>
      </w:r>
    </w:p>
    <w:p w14:paraId="03103F7A" w14:textId="77777777" w:rsidR="009B1F73"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1) рассмотреть эволюцию научных подходов к управлению портфельным риском и уточнить классификацию рисков; </w:t>
      </w:r>
    </w:p>
    <w:p w14:paraId="7446BD0D" w14:textId="77777777" w:rsidR="009B1F73"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2) проанализировать объект апробации, структуру портфеля и применяемую систему показателей; </w:t>
      </w:r>
    </w:p>
    <w:p w14:paraId="247FC682" w14:textId="215FD3A2"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3) выявить признаки несогласованности методов и решений</w:t>
      </w:r>
      <w:r w:rsidR="00B23776">
        <w:rPr>
          <w:rFonts w:eastAsia="Times New Roman" w:cs="Times New Roman"/>
          <w:szCs w:val="28"/>
          <w:lang w:val="ru-RU"/>
        </w:rPr>
        <w:t>.</w:t>
      </w:r>
    </w:p>
    <w:p w14:paraId="54EF1D73" w14:textId="77777777" w:rsidR="00121129" w:rsidRPr="00AB4C8A" w:rsidRDefault="00E03C62" w:rsidP="009B1F73">
      <w:pPr>
        <w:pStyle w:val="affa"/>
      </w:pPr>
      <w:bookmarkStart w:id="2" w:name="_sto_toc_2"/>
      <w:r w:rsidRPr="00B23776">
        <w:lastRenderedPageBreak/>
        <w:t>1 Теоретико-методические основы формирования стратегии управления рисками инвестиционного портфеля</w:t>
      </w:r>
      <w:bookmarkEnd w:id="2"/>
    </w:p>
    <w:p w14:paraId="7449B5C4" w14:textId="4F37CB36"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Цель первой главы </w:t>
      </w:r>
      <w:r w:rsidR="009B1F73">
        <w:rPr>
          <w:rFonts w:eastAsia="Times New Roman" w:cs="Times New Roman"/>
          <w:szCs w:val="28"/>
          <w:lang w:val="ru-RU"/>
        </w:rPr>
        <w:t>–</w:t>
      </w:r>
      <w:r w:rsidRPr="00B23776">
        <w:rPr>
          <w:rFonts w:eastAsia="Times New Roman" w:cs="Times New Roman"/>
          <w:szCs w:val="28"/>
          <w:lang w:val="ru-RU"/>
        </w:rPr>
        <w:t xml:space="preserve"> систематизировать теоретические подходы к управлению рисками инвестиционного портфеля, уточнить классификацию рисков и определить методическую основу дальнейшей апробации.</w:t>
      </w:r>
    </w:p>
    <w:p w14:paraId="4ACF1D1C" w14:textId="77777777" w:rsidR="00121129" w:rsidRPr="00AB4C8A" w:rsidRDefault="00E03C62" w:rsidP="009B1F73">
      <w:pPr>
        <w:pStyle w:val="aff8"/>
      </w:pPr>
      <w:bookmarkStart w:id="3" w:name="_sto_toc_3"/>
      <w:r w:rsidRPr="00B23776">
        <w:t>1.1 Эволюция научных подходов к управлению портфельным риском</w:t>
      </w:r>
      <w:bookmarkEnd w:id="3"/>
    </w:p>
    <w:p w14:paraId="069C8D39"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В современной научной литературе управление рисками инвестиционного портфеля рассматривается на основе классической портфельной теории, но ее исходная модель постепенно расширяется. В классическом подходе основное внимание уделяется соотношению ожидаемой доходности и дисперсии, а диверсификация используется для снижения несистематического риска. В более поздних исследованиях дополнительно учитываются поведение инвестора, сценарии рынка, альтернативные меры риска, </w:t>
      </w:r>
      <w:r>
        <w:rPr>
          <w:rFonts w:eastAsia="Times New Roman" w:cs="Times New Roman"/>
          <w:szCs w:val="28"/>
        </w:rPr>
        <w:t>ESG</w:t>
      </w:r>
      <w:r w:rsidRPr="00B23776">
        <w:rPr>
          <w:rFonts w:eastAsia="Times New Roman" w:cs="Times New Roman"/>
          <w:szCs w:val="28"/>
          <w:lang w:val="ru-RU"/>
        </w:rPr>
        <w:t>-ограничения и алгоритмические методы выбора активов [1; 2; 3; 4; 5].</w:t>
      </w:r>
    </w:p>
    <w:p w14:paraId="3EE27336"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В развитии научных подходов можно выделить несколько этапов. В 2010–2015 гг. основное внимание уделялось ковариационному анализу, взаимозависимостям активов, </w:t>
      </w:r>
      <w:proofErr w:type="spellStart"/>
      <w:r>
        <w:rPr>
          <w:rFonts w:eastAsia="Times New Roman" w:cs="Times New Roman"/>
          <w:szCs w:val="28"/>
        </w:rPr>
        <w:t>VaR</w:t>
      </w:r>
      <w:proofErr w:type="spellEnd"/>
      <w:r w:rsidRPr="00B23776">
        <w:rPr>
          <w:rFonts w:eastAsia="Times New Roman" w:cs="Times New Roman"/>
          <w:szCs w:val="28"/>
          <w:lang w:val="ru-RU"/>
        </w:rPr>
        <w:t xml:space="preserve">, </w:t>
      </w:r>
      <w:r>
        <w:rPr>
          <w:rFonts w:eastAsia="Times New Roman" w:cs="Times New Roman"/>
          <w:szCs w:val="28"/>
        </w:rPr>
        <w:t>GARCH</w:t>
      </w:r>
      <w:r w:rsidRPr="00B23776">
        <w:rPr>
          <w:rFonts w:eastAsia="Times New Roman" w:cs="Times New Roman"/>
          <w:szCs w:val="28"/>
          <w:lang w:val="ru-RU"/>
        </w:rPr>
        <w:t xml:space="preserve">-моделям и линейной оптимизации. В 2016–2020 гг. в портфельные модели активнее включались климатические, </w:t>
      </w:r>
      <w:r>
        <w:rPr>
          <w:rFonts w:eastAsia="Times New Roman" w:cs="Times New Roman"/>
          <w:szCs w:val="28"/>
        </w:rPr>
        <w:t>ESG</w:t>
      </w:r>
      <w:r w:rsidRPr="00B23776">
        <w:rPr>
          <w:rFonts w:eastAsia="Times New Roman" w:cs="Times New Roman"/>
          <w:szCs w:val="28"/>
          <w:lang w:val="ru-RU"/>
        </w:rPr>
        <w:t xml:space="preserve">- и криптовалютные риски, а также показатели потерь ниже заданного уровня. После 2021 г. заметно вырос интерес к машинному обучению, </w:t>
      </w:r>
      <w:proofErr w:type="spellStart"/>
      <w:r w:rsidRPr="00B23776">
        <w:rPr>
          <w:rFonts w:eastAsia="Times New Roman" w:cs="Times New Roman"/>
          <w:szCs w:val="28"/>
          <w:lang w:val="ru-RU"/>
        </w:rPr>
        <w:t>графовым</w:t>
      </w:r>
      <w:proofErr w:type="spellEnd"/>
      <w:r w:rsidRPr="00B23776">
        <w:rPr>
          <w:rFonts w:eastAsia="Times New Roman" w:cs="Times New Roman"/>
          <w:szCs w:val="28"/>
          <w:lang w:val="ru-RU"/>
        </w:rPr>
        <w:t xml:space="preserve"> моделям, топологическому анализу и персонализации риск-аппетита [2; 6; 7; 8; 9; 10; 11; 12].</w:t>
      </w:r>
    </w:p>
    <w:p w14:paraId="3C573C8D" w14:textId="77777777" w:rsidR="0032530F"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Вместе с изменением инструментария изменилось содержание самой стратегии управления рисками. В настоящее время она понимается как последовательность взаимосвязанных процедур: постановка целей, выявление рисков, их количественная оценка, выбор способов реагирования, контроль и корректировка. </w:t>
      </w:r>
    </w:p>
    <w:p w14:paraId="106ABE9B" w14:textId="2208880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Для настоящего исследования это важно, поскольку проблема фрагментарности возникает именно при отсутствии связи между отдельными этапами.</w:t>
      </w:r>
    </w:p>
    <w:p w14:paraId="6A1EE792"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Отдельное направление современной литературы связано с учетом </w:t>
      </w:r>
      <w:r w:rsidRPr="00B23776">
        <w:rPr>
          <w:rFonts w:eastAsia="Times New Roman" w:cs="Times New Roman"/>
          <w:szCs w:val="28"/>
          <w:lang w:val="ru-RU"/>
        </w:rPr>
        <w:lastRenderedPageBreak/>
        <w:t>поведения инвестора. Инвесторы отличаются по отношению к риску, инвестиционному горизонту и допустимому уровню потерь. Поэтому единый методический инструментарий должен задавать общий порядок работы, но не исключать настройку лимитов, показателей и сценариев под конкретные цели портфеля [1; 4].</w:t>
      </w:r>
    </w:p>
    <w:p w14:paraId="3EA6ACC6" w14:textId="648F5CCC"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Еще одна тенденция </w:t>
      </w:r>
      <w:r w:rsidR="009B1F73">
        <w:rPr>
          <w:rFonts w:eastAsia="Times New Roman" w:cs="Times New Roman"/>
          <w:szCs w:val="28"/>
          <w:lang w:val="ru-RU"/>
        </w:rPr>
        <w:t>–</w:t>
      </w:r>
      <w:r w:rsidRPr="00B23776">
        <w:rPr>
          <w:rFonts w:eastAsia="Times New Roman" w:cs="Times New Roman"/>
          <w:szCs w:val="28"/>
          <w:lang w:val="ru-RU"/>
        </w:rPr>
        <w:t xml:space="preserve"> переход от ретроспективной оценки к сценарному анализу. В публикациях рассматриваются рост рынка, снижение, боковая динамика, изменение ставок, расширение спредов и рост корреляций между активами. Это дает возможность оценивать не только уже полученный результат, но и возможные последствия изменения рыночной среды [11; 13; 14; 15; 16].</w:t>
      </w:r>
    </w:p>
    <w:p w14:paraId="1B3EEE84"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Таким образом, риск инвестиционного портфеля включает не только изменение доходности. В состав риска входят рыночные, процентные, валютные, кредитные и </w:t>
      </w:r>
      <w:proofErr w:type="spellStart"/>
      <w:r w:rsidRPr="00B23776">
        <w:rPr>
          <w:rFonts w:eastAsia="Times New Roman" w:cs="Times New Roman"/>
          <w:szCs w:val="28"/>
          <w:lang w:val="ru-RU"/>
        </w:rPr>
        <w:t>ликвидностные</w:t>
      </w:r>
      <w:proofErr w:type="spellEnd"/>
      <w:r w:rsidRPr="00B23776">
        <w:rPr>
          <w:rFonts w:eastAsia="Times New Roman" w:cs="Times New Roman"/>
          <w:szCs w:val="28"/>
          <w:lang w:val="ru-RU"/>
        </w:rPr>
        <w:t xml:space="preserve"> факторы, концентрация, ошибки моделей, организационные сбои и изменение рыночного режима. Данная позиция определяет необходимость использования нескольких методов оценки, объединенных общей логикой принятия решений [3; 5; 11; 14; 15; 16].</w:t>
      </w:r>
    </w:p>
    <w:p w14:paraId="5850F579"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Проведенный обзор позволяет сделать вывод, что основная проблема исследования связана не с отсутствием методов оценки риска. Наиболее существенным является отсутствие порядка, который объединяет показатели, сценарии, лимиты и действия по портфелю. Это положение соответствует рабочим гипотезам о снижении фрагментарности и операционного риска при интеграции методов в единый алгоритм. Эволюция научных подходов систематизирована в таблице 1.1.</w:t>
      </w:r>
    </w:p>
    <w:p w14:paraId="34E613A6" w14:textId="77777777" w:rsidR="00121129" w:rsidRPr="00AB4C8A" w:rsidRDefault="00E03C62" w:rsidP="009B1F73">
      <w:pPr>
        <w:pStyle w:val="affc"/>
        <w:spacing w:after="120"/>
      </w:pPr>
      <w:r w:rsidRPr="00B23776">
        <w:rPr>
          <w:color w:val="000000"/>
        </w:rPr>
        <w:t xml:space="preserve">Таблица 1.1 – </w:t>
      </w:r>
      <w:r w:rsidRPr="009B1F73">
        <w:t>Эволюция</w:t>
      </w:r>
      <w:r w:rsidRPr="00B23776">
        <w:rPr>
          <w:color w:val="000000"/>
        </w:rPr>
        <w:t xml:space="preserve"> научных подходов к управлению портфельным риском</w:t>
      </w: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83"/>
        <w:gridCol w:w="3767"/>
        <w:gridCol w:w="4397"/>
      </w:tblGrid>
      <w:tr w:rsidR="00121129" w14:paraId="5DF41C87" w14:textId="77777777" w:rsidTr="0032530F">
        <w:trPr>
          <w:cantSplit/>
          <w:trHeight w:val="454"/>
          <w:jc w:val="center"/>
        </w:trPr>
        <w:tc>
          <w:tcPr>
            <w:tcW w:w="1483" w:type="dxa"/>
            <w:tcMar>
              <w:top w:w="80" w:type="dxa"/>
              <w:left w:w="120" w:type="dxa"/>
              <w:bottom w:w="80" w:type="dxa"/>
              <w:right w:w="120" w:type="dxa"/>
            </w:tcMar>
            <w:vAlign w:val="center"/>
          </w:tcPr>
          <w:p w14:paraId="798CA855" w14:textId="77777777" w:rsidR="00121129" w:rsidRPr="0032530F" w:rsidRDefault="00E03C62" w:rsidP="0032530F">
            <w:pPr>
              <w:spacing w:after="0" w:line="240" w:lineRule="auto"/>
              <w:jc w:val="center"/>
              <w:rPr>
                <w:sz w:val="24"/>
              </w:rPr>
            </w:pPr>
            <w:proofErr w:type="spellStart"/>
            <w:r w:rsidRPr="0032530F">
              <w:rPr>
                <w:sz w:val="24"/>
              </w:rPr>
              <w:t>Период</w:t>
            </w:r>
            <w:proofErr w:type="spellEnd"/>
          </w:p>
        </w:tc>
        <w:tc>
          <w:tcPr>
            <w:tcW w:w="3767" w:type="dxa"/>
            <w:tcMar>
              <w:top w:w="80" w:type="dxa"/>
              <w:left w:w="120" w:type="dxa"/>
              <w:bottom w:w="80" w:type="dxa"/>
              <w:right w:w="120" w:type="dxa"/>
            </w:tcMar>
            <w:vAlign w:val="center"/>
          </w:tcPr>
          <w:p w14:paraId="2422CDB3" w14:textId="77777777" w:rsidR="00121129" w:rsidRPr="0032530F" w:rsidRDefault="00E03C62" w:rsidP="0032530F">
            <w:pPr>
              <w:spacing w:after="0" w:line="240" w:lineRule="auto"/>
              <w:jc w:val="center"/>
              <w:rPr>
                <w:sz w:val="24"/>
              </w:rPr>
            </w:pPr>
            <w:proofErr w:type="spellStart"/>
            <w:r w:rsidRPr="0032530F">
              <w:rPr>
                <w:sz w:val="24"/>
              </w:rPr>
              <w:t>Ключевые</w:t>
            </w:r>
            <w:proofErr w:type="spellEnd"/>
            <w:r w:rsidRPr="0032530F">
              <w:rPr>
                <w:sz w:val="24"/>
              </w:rPr>
              <w:t xml:space="preserve"> </w:t>
            </w:r>
            <w:proofErr w:type="spellStart"/>
            <w:r w:rsidRPr="0032530F">
              <w:rPr>
                <w:sz w:val="24"/>
              </w:rPr>
              <w:t>фокусы</w:t>
            </w:r>
            <w:proofErr w:type="spellEnd"/>
          </w:p>
        </w:tc>
        <w:tc>
          <w:tcPr>
            <w:tcW w:w="4397" w:type="dxa"/>
            <w:tcMar>
              <w:top w:w="80" w:type="dxa"/>
              <w:left w:w="120" w:type="dxa"/>
              <w:bottom w:w="80" w:type="dxa"/>
              <w:right w:w="120" w:type="dxa"/>
            </w:tcMar>
            <w:vAlign w:val="center"/>
          </w:tcPr>
          <w:p w14:paraId="663A1993" w14:textId="77777777" w:rsidR="00121129" w:rsidRPr="0032530F" w:rsidRDefault="00E03C62" w:rsidP="0032530F">
            <w:pPr>
              <w:spacing w:after="0" w:line="240" w:lineRule="auto"/>
              <w:jc w:val="center"/>
              <w:rPr>
                <w:sz w:val="24"/>
              </w:rPr>
            </w:pPr>
            <w:proofErr w:type="spellStart"/>
            <w:r w:rsidRPr="0032530F">
              <w:rPr>
                <w:sz w:val="24"/>
              </w:rPr>
              <w:t>Преобладающий</w:t>
            </w:r>
            <w:proofErr w:type="spellEnd"/>
            <w:r w:rsidRPr="0032530F">
              <w:rPr>
                <w:sz w:val="24"/>
              </w:rPr>
              <w:t xml:space="preserve"> </w:t>
            </w:r>
            <w:proofErr w:type="spellStart"/>
            <w:r w:rsidRPr="0032530F">
              <w:rPr>
                <w:sz w:val="24"/>
              </w:rPr>
              <w:t>инструментарий</w:t>
            </w:r>
            <w:proofErr w:type="spellEnd"/>
          </w:p>
        </w:tc>
      </w:tr>
      <w:tr w:rsidR="00121129" w:rsidRPr="0032530F" w14:paraId="6E612EDF" w14:textId="77777777" w:rsidTr="0032530F">
        <w:trPr>
          <w:cantSplit/>
          <w:trHeight w:val="454"/>
          <w:jc w:val="center"/>
        </w:trPr>
        <w:tc>
          <w:tcPr>
            <w:tcW w:w="1483" w:type="dxa"/>
            <w:tcMar>
              <w:top w:w="80" w:type="dxa"/>
              <w:left w:w="120" w:type="dxa"/>
              <w:bottom w:w="80" w:type="dxa"/>
              <w:right w:w="120" w:type="dxa"/>
            </w:tcMar>
            <w:vAlign w:val="center"/>
          </w:tcPr>
          <w:p w14:paraId="78F7581B" w14:textId="77777777" w:rsidR="00121129" w:rsidRPr="0032530F" w:rsidRDefault="00E03C62" w:rsidP="0032530F">
            <w:pPr>
              <w:spacing w:after="0" w:line="240" w:lineRule="auto"/>
              <w:jc w:val="center"/>
              <w:rPr>
                <w:sz w:val="24"/>
              </w:rPr>
            </w:pPr>
            <w:r w:rsidRPr="0032530F">
              <w:rPr>
                <w:sz w:val="24"/>
              </w:rPr>
              <w:t>2010-2015</w:t>
            </w:r>
          </w:p>
        </w:tc>
        <w:tc>
          <w:tcPr>
            <w:tcW w:w="3767" w:type="dxa"/>
            <w:tcMar>
              <w:top w:w="80" w:type="dxa"/>
              <w:left w:w="120" w:type="dxa"/>
              <w:bottom w:w="80" w:type="dxa"/>
              <w:right w:w="120" w:type="dxa"/>
            </w:tcMar>
            <w:vAlign w:val="center"/>
          </w:tcPr>
          <w:p w14:paraId="43FC07AF" w14:textId="77777777" w:rsidR="00121129" w:rsidRPr="0032530F" w:rsidRDefault="00E03C62" w:rsidP="0032530F">
            <w:pPr>
              <w:spacing w:after="0" w:line="240" w:lineRule="auto"/>
              <w:jc w:val="center"/>
              <w:rPr>
                <w:sz w:val="24"/>
                <w:lang w:val="ru-RU"/>
              </w:rPr>
            </w:pPr>
            <w:r w:rsidRPr="0032530F">
              <w:rPr>
                <w:sz w:val="24"/>
                <w:lang w:val="ru-RU"/>
              </w:rPr>
              <w:t xml:space="preserve">Институциональный риск, </w:t>
            </w:r>
            <w:r w:rsidRPr="0032530F">
              <w:rPr>
                <w:sz w:val="24"/>
              </w:rPr>
              <w:t>Basel</w:t>
            </w:r>
            <w:r w:rsidRPr="0032530F">
              <w:rPr>
                <w:sz w:val="24"/>
                <w:lang w:val="ru-RU"/>
              </w:rPr>
              <w:t xml:space="preserve"> </w:t>
            </w:r>
            <w:r w:rsidRPr="0032530F">
              <w:rPr>
                <w:sz w:val="24"/>
              </w:rPr>
              <w:t>II</w:t>
            </w:r>
            <w:r w:rsidRPr="0032530F">
              <w:rPr>
                <w:sz w:val="24"/>
                <w:lang w:val="ru-RU"/>
              </w:rPr>
              <w:t>, оценка взаимозависимостей и ковариаций</w:t>
            </w:r>
          </w:p>
        </w:tc>
        <w:tc>
          <w:tcPr>
            <w:tcW w:w="4397" w:type="dxa"/>
            <w:tcMar>
              <w:top w:w="80" w:type="dxa"/>
              <w:left w:w="120" w:type="dxa"/>
              <w:bottom w:w="80" w:type="dxa"/>
              <w:right w:w="120" w:type="dxa"/>
            </w:tcMar>
            <w:vAlign w:val="center"/>
          </w:tcPr>
          <w:p w14:paraId="36BF926D" w14:textId="77777777" w:rsidR="00121129" w:rsidRPr="0032530F" w:rsidRDefault="00E03C62" w:rsidP="0032530F">
            <w:pPr>
              <w:spacing w:after="0" w:line="240" w:lineRule="auto"/>
              <w:jc w:val="center"/>
              <w:rPr>
                <w:sz w:val="24"/>
                <w:lang w:val="ru-RU"/>
              </w:rPr>
            </w:pPr>
            <w:proofErr w:type="spellStart"/>
            <w:r w:rsidRPr="0032530F">
              <w:rPr>
                <w:sz w:val="24"/>
              </w:rPr>
              <w:t>VaR</w:t>
            </w:r>
            <w:proofErr w:type="spellEnd"/>
            <w:r w:rsidRPr="0032530F">
              <w:rPr>
                <w:sz w:val="24"/>
                <w:lang w:val="ru-RU"/>
              </w:rPr>
              <w:t xml:space="preserve">, </w:t>
            </w:r>
            <w:r w:rsidRPr="0032530F">
              <w:rPr>
                <w:sz w:val="24"/>
              </w:rPr>
              <w:t>DCC</w:t>
            </w:r>
            <w:r w:rsidRPr="0032530F">
              <w:rPr>
                <w:sz w:val="24"/>
                <w:lang w:val="ru-RU"/>
              </w:rPr>
              <w:t>-</w:t>
            </w:r>
            <w:r w:rsidRPr="0032530F">
              <w:rPr>
                <w:sz w:val="24"/>
              </w:rPr>
              <w:t>GARCH</w:t>
            </w:r>
            <w:r w:rsidRPr="0032530F">
              <w:rPr>
                <w:sz w:val="24"/>
                <w:lang w:val="ru-RU"/>
              </w:rPr>
              <w:t>, линейное программирование, ковариационный анализ</w:t>
            </w:r>
          </w:p>
        </w:tc>
      </w:tr>
      <w:tr w:rsidR="00121129" w14:paraId="09800E00" w14:textId="77777777" w:rsidTr="0032530F">
        <w:trPr>
          <w:cantSplit/>
          <w:trHeight w:val="454"/>
          <w:jc w:val="center"/>
        </w:trPr>
        <w:tc>
          <w:tcPr>
            <w:tcW w:w="1483" w:type="dxa"/>
            <w:tcMar>
              <w:top w:w="80" w:type="dxa"/>
              <w:left w:w="120" w:type="dxa"/>
              <w:bottom w:w="80" w:type="dxa"/>
              <w:right w:w="120" w:type="dxa"/>
            </w:tcMar>
            <w:vAlign w:val="center"/>
          </w:tcPr>
          <w:p w14:paraId="21500199" w14:textId="77777777" w:rsidR="00121129" w:rsidRPr="0032530F" w:rsidRDefault="00E03C62" w:rsidP="0032530F">
            <w:pPr>
              <w:spacing w:after="0" w:line="240" w:lineRule="auto"/>
              <w:jc w:val="center"/>
              <w:rPr>
                <w:sz w:val="24"/>
              </w:rPr>
            </w:pPr>
            <w:r w:rsidRPr="0032530F">
              <w:rPr>
                <w:sz w:val="24"/>
              </w:rPr>
              <w:t>2016-2020</w:t>
            </w:r>
          </w:p>
        </w:tc>
        <w:tc>
          <w:tcPr>
            <w:tcW w:w="3767" w:type="dxa"/>
            <w:tcMar>
              <w:top w:w="80" w:type="dxa"/>
              <w:left w:w="120" w:type="dxa"/>
              <w:bottom w:w="80" w:type="dxa"/>
              <w:right w:w="120" w:type="dxa"/>
            </w:tcMar>
            <w:vAlign w:val="center"/>
          </w:tcPr>
          <w:p w14:paraId="155A034E" w14:textId="77777777" w:rsidR="00121129" w:rsidRPr="0032530F" w:rsidRDefault="00E03C62" w:rsidP="0032530F">
            <w:pPr>
              <w:spacing w:after="0" w:line="240" w:lineRule="auto"/>
              <w:jc w:val="center"/>
              <w:rPr>
                <w:sz w:val="24"/>
              </w:rPr>
            </w:pPr>
            <w:r w:rsidRPr="0032530F">
              <w:rPr>
                <w:sz w:val="24"/>
              </w:rPr>
              <w:t xml:space="preserve">ESG, divestment, downside risk, </w:t>
            </w:r>
            <w:proofErr w:type="spellStart"/>
            <w:r w:rsidRPr="0032530F">
              <w:rPr>
                <w:sz w:val="24"/>
              </w:rPr>
              <w:t>криптовалютные</w:t>
            </w:r>
            <w:proofErr w:type="spellEnd"/>
            <w:r w:rsidRPr="0032530F">
              <w:rPr>
                <w:sz w:val="24"/>
              </w:rPr>
              <w:t xml:space="preserve"> </w:t>
            </w:r>
            <w:proofErr w:type="spellStart"/>
            <w:r w:rsidRPr="0032530F">
              <w:rPr>
                <w:sz w:val="24"/>
              </w:rPr>
              <w:t>активы</w:t>
            </w:r>
            <w:proofErr w:type="spellEnd"/>
          </w:p>
        </w:tc>
        <w:tc>
          <w:tcPr>
            <w:tcW w:w="4397" w:type="dxa"/>
            <w:tcMar>
              <w:top w:w="80" w:type="dxa"/>
              <w:left w:w="120" w:type="dxa"/>
              <w:bottom w:w="80" w:type="dxa"/>
              <w:right w:w="120" w:type="dxa"/>
            </w:tcMar>
            <w:vAlign w:val="center"/>
          </w:tcPr>
          <w:p w14:paraId="393D8E12" w14:textId="77777777" w:rsidR="00121129" w:rsidRPr="0032530F" w:rsidRDefault="00E03C62" w:rsidP="0032530F">
            <w:pPr>
              <w:spacing w:after="0" w:line="240" w:lineRule="auto"/>
              <w:jc w:val="center"/>
              <w:rPr>
                <w:sz w:val="24"/>
              </w:rPr>
            </w:pPr>
            <w:r w:rsidRPr="0032530F">
              <w:rPr>
                <w:sz w:val="24"/>
              </w:rPr>
              <w:t xml:space="preserve">MAD, SAD, </w:t>
            </w:r>
            <w:proofErr w:type="spellStart"/>
            <w:r w:rsidRPr="0032530F">
              <w:rPr>
                <w:sz w:val="24"/>
              </w:rPr>
              <w:t>mVaR</w:t>
            </w:r>
            <w:proofErr w:type="spellEnd"/>
            <w:r w:rsidRPr="0032530F">
              <w:rPr>
                <w:sz w:val="24"/>
              </w:rPr>
              <w:t xml:space="preserve">, Cornish-Fisher, </w:t>
            </w:r>
            <w:proofErr w:type="spellStart"/>
            <w:r w:rsidRPr="0032530F">
              <w:rPr>
                <w:sz w:val="24"/>
              </w:rPr>
              <w:t>сценарный</w:t>
            </w:r>
            <w:proofErr w:type="spellEnd"/>
            <w:r w:rsidRPr="0032530F">
              <w:rPr>
                <w:sz w:val="24"/>
              </w:rPr>
              <w:t xml:space="preserve"> </w:t>
            </w:r>
            <w:proofErr w:type="spellStart"/>
            <w:r w:rsidRPr="0032530F">
              <w:rPr>
                <w:sz w:val="24"/>
              </w:rPr>
              <w:t>анализ</w:t>
            </w:r>
            <w:proofErr w:type="spellEnd"/>
          </w:p>
        </w:tc>
      </w:tr>
    </w:tbl>
    <w:p w14:paraId="66485175" w14:textId="204A3B11" w:rsidR="0032530F" w:rsidRPr="0032530F" w:rsidRDefault="0032530F" w:rsidP="0032530F">
      <w:pPr>
        <w:spacing w:after="0" w:line="360" w:lineRule="auto"/>
        <w:rPr>
          <w:lang w:val="ru-RU"/>
        </w:rPr>
      </w:pPr>
      <w:r>
        <w:rPr>
          <w:lang w:val="ru-RU"/>
        </w:rPr>
        <w:lastRenderedPageBreak/>
        <w:t>Продолжение таблицы 1.1</w:t>
      </w: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83"/>
        <w:gridCol w:w="3767"/>
        <w:gridCol w:w="4397"/>
      </w:tblGrid>
      <w:tr w:rsidR="0032530F" w14:paraId="0C8819CE" w14:textId="77777777" w:rsidTr="0032530F">
        <w:trPr>
          <w:cantSplit/>
          <w:trHeight w:val="454"/>
          <w:jc w:val="center"/>
        </w:trPr>
        <w:tc>
          <w:tcPr>
            <w:tcW w:w="1483" w:type="dxa"/>
            <w:tcMar>
              <w:top w:w="80" w:type="dxa"/>
              <w:left w:w="120" w:type="dxa"/>
              <w:bottom w:w="80" w:type="dxa"/>
              <w:right w:w="120" w:type="dxa"/>
            </w:tcMar>
            <w:vAlign w:val="center"/>
          </w:tcPr>
          <w:p w14:paraId="4B305F14" w14:textId="077AE3AB" w:rsidR="0032530F" w:rsidRPr="0032530F" w:rsidRDefault="0032530F" w:rsidP="0032530F">
            <w:pPr>
              <w:spacing w:after="0" w:line="240" w:lineRule="auto"/>
              <w:jc w:val="center"/>
              <w:rPr>
                <w:sz w:val="24"/>
              </w:rPr>
            </w:pPr>
            <w:proofErr w:type="spellStart"/>
            <w:r w:rsidRPr="0032530F">
              <w:rPr>
                <w:sz w:val="24"/>
              </w:rPr>
              <w:t>Период</w:t>
            </w:r>
            <w:proofErr w:type="spellEnd"/>
          </w:p>
        </w:tc>
        <w:tc>
          <w:tcPr>
            <w:tcW w:w="3767" w:type="dxa"/>
            <w:tcMar>
              <w:top w:w="80" w:type="dxa"/>
              <w:left w:w="120" w:type="dxa"/>
              <w:bottom w:w="80" w:type="dxa"/>
              <w:right w:w="120" w:type="dxa"/>
            </w:tcMar>
            <w:vAlign w:val="center"/>
          </w:tcPr>
          <w:p w14:paraId="19BC7189" w14:textId="107CBC97" w:rsidR="0032530F" w:rsidRPr="0032530F" w:rsidRDefault="0032530F" w:rsidP="0032530F">
            <w:pPr>
              <w:spacing w:after="0" w:line="240" w:lineRule="auto"/>
              <w:jc w:val="center"/>
              <w:rPr>
                <w:sz w:val="24"/>
              </w:rPr>
            </w:pPr>
            <w:proofErr w:type="spellStart"/>
            <w:r w:rsidRPr="0032530F">
              <w:rPr>
                <w:sz w:val="24"/>
              </w:rPr>
              <w:t>Ключевые</w:t>
            </w:r>
            <w:proofErr w:type="spellEnd"/>
            <w:r w:rsidRPr="0032530F">
              <w:rPr>
                <w:sz w:val="24"/>
              </w:rPr>
              <w:t xml:space="preserve"> </w:t>
            </w:r>
            <w:proofErr w:type="spellStart"/>
            <w:r w:rsidRPr="0032530F">
              <w:rPr>
                <w:sz w:val="24"/>
              </w:rPr>
              <w:t>фокусы</w:t>
            </w:r>
            <w:proofErr w:type="spellEnd"/>
          </w:p>
        </w:tc>
        <w:tc>
          <w:tcPr>
            <w:tcW w:w="4397" w:type="dxa"/>
            <w:tcMar>
              <w:top w:w="80" w:type="dxa"/>
              <w:left w:w="120" w:type="dxa"/>
              <w:bottom w:w="80" w:type="dxa"/>
              <w:right w:w="120" w:type="dxa"/>
            </w:tcMar>
            <w:vAlign w:val="center"/>
          </w:tcPr>
          <w:p w14:paraId="6D5C647E" w14:textId="1C5B9971" w:rsidR="0032530F" w:rsidRPr="0032530F" w:rsidRDefault="0032530F" w:rsidP="0032530F">
            <w:pPr>
              <w:spacing w:after="0" w:line="240" w:lineRule="auto"/>
              <w:jc w:val="center"/>
              <w:rPr>
                <w:sz w:val="24"/>
              </w:rPr>
            </w:pPr>
            <w:proofErr w:type="spellStart"/>
            <w:r w:rsidRPr="0032530F">
              <w:rPr>
                <w:sz w:val="24"/>
              </w:rPr>
              <w:t>Преобладающий</w:t>
            </w:r>
            <w:proofErr w:type="spellEnd"/>
            <w:r w:rsidRPr="0032530F">
              <w:rPr>
                <w:sz w:val="24"/>
              </w:rPr>
              <w:t xml:space="preserve"> </w:t>
            </w:r>
            <w:proofErr w:type="spellStart"/>
            <w:r w:rsidRPr="0032530F">
              <w:rPr>
                <w:sz w:val="24"/>
              </w:rPr>
              <w:t>инструментарий</w:t>
            </w:r>
            <w:proofErr w:type="spellEnd"/>
          </w:p>
        </w:tc>
      </w:tr>
      <w:tr w:rsidR="0032530F" w14:paraId="79809285" w14:textId="77777777" w:rsidTr="0032530F">
        <w:trPr>
          <w:cantSplit/>
          <w:trHeight w:val="454"/>
          <w:jc w:val="center"/>
        </w:trPr>
        <w:tc>
          <w:tcPr>
            <w:tcW w:w="1483" w:type="dxa"/>
            <w:tcMar>
              <w:top w:w="80" w:type="dxa"/>
              <w:left w:w="120" w:type="dxa"/>
              <w:bottom w:w="80" w:type="dxa"/>
              <w:right w:w="120" w:type="dxa"/>
            </w:tcMar>
            <w:vAlign w:val="center"/>
          </w:tcPr>
          <w:p w14:paraId="10A5D817" w14:textId="77777777" w:rsidR="0032530F" w:rsidRPr="0032530F" w:rsidRDefault="0032530F" w:rsidP="0032530F">
            <w:pPr>
              <w:spacing w:after="0" w:line="240" w:lineRule="auto"/>
              <w:jc w:val="center"/>
              <w:rPr>
                <w:sz w:val="24"/>
              </w:rPr>
            </w:pPr>
            <w:r w:rsidRPr="0032530F">
              <w:rPr>
                <w:sz w:val="24"/>
              </w:rPr>
              <w:t>2021-2026</w:t>
            </w:r>
          </w:p>
        </w:tc>
        <w:tc>
          <w:tcPr>
            <w:tcW w:w="3767" w:type="dxa"/>
            <w:tcMar>
              <w:top w:w="80" w:type="dxa"/>
              <w:left w:w="120" w:type="dxa"/>
              <w:bottom w:w="80" w:type="dxa"/>
              <w:right w:w="120" w:type="dxa"/>
            </w:tcMar>
            <w:vAlign w:val="center"/>
          </w:tcPr>
          <w:p w14:paraId="455FA5C6" w14:textId="77777777" w:rsidR="0032530F" w:rsidRPr="0032530F" w:rsidRDefault="0032530F" w:rsidP="0032530F">
            <w:pPr>
              <w:spacing w:after="0" w:line="240" w:lineRule="auto"/>
              <w:jc w:val="center"/>
              <w:rPr>
                <w:sz w:val="24"/>
                <w:lang w:val="ru-RU"/>
              </w:rPr>
            </w:pPr>
            <w:r w:rsidRPr="0032530F">
              <w:rPr>
                <w:sz w:val="24"/>
              </w:rPr>
              <w:t>AI</w:t>
            </w:r>
            <w:r w:rsidRPr="0032530F">
              <w:rPr>
                <w:sz w:val="24"/>
                <w:lang w:val="ru-RU"/>
              </w:rPr>
              <w:t>-</w:t>
            </w:r>
            <w:r w:rsidRPr="0032530F">
              <w:rPr>
                <w:sz w:val="24"/>
              </w:rPr>
              <w:t>driven</w:t>
            </w:r>
            <w:r w:rsidRPr="0032530F">
              <w:rPr>
                <w:sz w:val="24"/>
                <w:lang w:val="ru-RU"/>
              </w:rPr>
              <w:t xml:space="preserve"> </w:t>
            </w:r>
            <w:r w:rsidRPr="0032530F">
              <w:rPr>
                <w:sz w:val="24"/>
              </w:rPr>
              <w:t>optimization</w:t>
            </w:r>
            <w:r w:rsidRPr="0032530F">
              <w:rPr>
                <w:sz w:val="24"/>
                <w:lang w:val="ru-RU"/>
              </w:rPr>
              <w:t xml:space="preserve">, </w:t>
            </w:r>
            <w:r w:rsidRPr="0032530F">
              <w:rPr>
                <w:sz w:val="24"/>
              </w:rPr>
              <w:t>TDA</w:t>
            </w:r>
            <w:r w:rsidRPr="0032530F">
              <w:rPr>
                <w:sz w:val="24"/>
                <w:lang w:val="ru-RU"/>
              </w:rPr>
              <w:t xml:space="preserve">, </w:t>
            </w:r>
            <w:proofErr w:type="spellStart"/>
            <w:r w:rsidRPr="0032530F">
              <w:rPr>
                <w:sz w:val="24"/>
                <w:lang w:val="ru-RU"/>
              </w:rPr>
              <w:t>графовые</w:t>
            </w:r>
            <w:proofErr w:type="spellEnd"/>
            <w:r w:rsidRPr="0032530F">
              <w:rPr>
                <w:sz w:val="24"/>
                <w:lang w:val="ru-RU"/>
              </w:rPr>
              <w:t xml:space="preserve"> модели, персонализация риск-аппетита</w:t>
            </w:r>
          </w:p>
        </w:tc>
        <w:tc>
          <w:tcPr>
            <w:tcW w:w="4397" w:type="dxa"/>
            <w:tcMar>
              <w:top w:w="80" w:type="dxa"/>
              <w:left w:w="120" w:type="dxa"/>
              <w:bottom w:w="80" w:type="dxa"/>
              <w:right w:w="120" w:type="dxa"/>
            </w:tcMar>
            <w:vAlign w:val="center"/>
          </w:tcPr>
          <w:p w14:paraId="01677859" w14:textId="77777777" w:rsidR="0032530F" w:rsidRPr="0032530F" w:rsidRDefault="0032530F" w:rsidP="0032530F">
            <w:pPr>
              <w:spacing w:after="0" w:line="240" w:lineRule="auto"/>
              <w:jc w:val="center"/>
              <w:rPr>
                <w:sz w:val="24"/>
              </w:rPr>
            </w:pPr>
            <w:r w:rsidRPr="0032530F">
              <w:rPr>
                <w:sz w:val="24"/>
              </w:rPr>
              <w:t>Deep RL, signed graph convolution, shrinkage, HRP, TDA</w:t>
            </w:r>
          </w:p>
        </w:tc>
      </w:tr>
    </w:tbl>
    <w:p w14:paraId="5481EE41" w14:textId="77777777" w:rsidR="00121129" w:rsidRPr="00AB4C8A" w:rsidRDefault="00F077B9" w:rsidP="009B1F73">
      <w:pPr>
        <w:widowControl w:val="0"/>
        <w:spacing w:before="120" w:after="0" w:line="360" w:lineRule="auto"/>
        <w:ind w:firstLine="709"/>
        <w:jc w:val="both"/>
        <w:rPr>
          <w:rFonts w:eastAsia="Times New Roman" w:cs="Times New Roman"/>
          <w:szCs w:val="28"/>
          <w:lang w:val="ru-RU"/>
        </w:rPr>
      </w:pPr>
      <w:r w:rsidRPr="009E0609">
        <w:rPr>
          <w:rFonts w:eastAsia="Times New Roman" w:cs="Times New Roman"/>
          <w:szCs w:val="28"/>
          <w:lang w:val="ru-RU"/>
        </w:rPr>
        <w:t>Подходы к управлению рисками расширились от статистической оценки волатильности до моделей, учитывающих поведение инвестора, сценарии рынка, внешние ограничения и качество данных.</w:t>
      </w:r>
    </w:p>
    <w:p w14:paraId="179E153F" w14:textId="77777777" w:rsidR="00121129" w:rsidRPr="00AB4C8A" w:rsidRDefault="00E03C62" w:rsidP="009B1F73">
      <w:pPr>
        <w:pStyle w:val="aff8"/>
      </w:pPr>
      <w:bookmarkStart w:id="4" w:name="_sto_toc_4"/>
      <w:r w:rsidRPr="00B23776">
        <w:t>1.2 Сущность и классификация рисков инвестиционного портфеля</w:t>
      </w:r>
      <w:bookmarkEnd w:id="4"/>
    </w:p>
    <w:p w14:paraId="26A1DF5D"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Для целей исследования инвестиционный риск определяется как возможность отклонения результата портфеля от заданных целей инвестора. Причиной такого отклонения может быть изменение цены, ставки, валютного курса, кредитного качества, ликвидности, корреляций или ошибки в организации расчетов. Поэтому классификация должна охватывать как финансовые, так и организационные источники риска [3; 5; 16].</w:t>
      </w:r>
    </w:p>
    <w:p w14:paraId="2B02C595"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К рыночным рискам относятся изменение цен акций, процентных ставок, валютных курсов, кредитных спредов, инфляции и общей волатильности. Для портфеля из акций, облигаций и денежных инструментов важен также корреляционный риск. В неблагоприятном рыночном режиме активы, которые обычно выполняют разные функции, могут начать двигаться в одном направлении.</w:t>
      </w:r>
    </w:p>
    <w:p w14:paraId="2ACE4A76" w14:textId="77777777" w:rsidR="0032530F"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Кредитный и контрагентский риски связаны с ухудшением платежеспособности эмитента или нарушением обязательств контрагентом. </w:t>
      </w:r>
    </w:p>
    <w:p w14:paraId="2462B3F5" w14:textId="594AEF61"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Для облигаций признаками ухудшения качества являются снижение рейтинга, рост доходности и расширение кредитного спреда. При этом кредитный риск взаимодействует с процентным и </w:t>
      </w:r>
      <w:proofErr w:type="spellStart"/>
      <w:r w:rsidRPr="00B23776">
        <w:rPr>
          <w:rFonts w:eastAsia="Times New Roman" w:cs="Times New Roman"/>
          <w:szCs w:val="28"/>
          <w:lang w:val="ru-RU"/>
        </w:rPr>
        <w:t>ликвидностным</w:t>
      </w:r>
      <w:proofErr w:type="spellEnd"/>
      <w:r w:rsidRPr="00B23776">
        <w:rPr>
          <w:rFonts w:eastAsia="Times New Roman" w:cs="Times New Roman"/>
          <w:szCs w:val="28"/>
          <w:lang w:val="ru-RU"/>
        </w:rPr>
        <w:t xml:space="preserve"> рисками, поэтому его оценка должна проводиться в общей структуре портфеля.</w:t>
      </w:r>
    </w:p>
    <w:p w14:paraId="799E74C6" w14:textId="77777777" w:rsidR="00121129" w:rsidRPr="00AB4C8A" w:rsidRDefault="00E03C62">
      <w:pPr>
        <w:widowControl w:val="0"/>
        <w:spacing w:after="0" w:line="360" w:lineRule="auto"/>
        <w:ind w:firstLine="709"/>
        <w:jc w:val="both"/>
        <w:rPr>
          <w:rFonts w:eastAsia="Times New Roman" w:cs="Times New Roman"/>
          <w:szCs w:val="28"/>
          <w:lang w:val="ru-RU"/>
        </w:rPr>
      </w:pPr>
      <w:proofErr w:type="spellStart"/>
      <w:r w:rsidRPr="00B23776">
        <w:rPr>
          <w:rFonts w:eastAsia="Times New Roman" w:cs="Times New Roman"/>
          <w:szCs w:val="28"/>
          <w:lang w:val="ru-RU"/>
        </w:rPr>
        <w:t>Ликвидностный</w:t>
      </w:r>
      <w:proofErr w:type="spellEnd"/>
      <w:r w:rsidRPr="00B23776">
        <w:rPr>
          <w:rFonts w:eastAsia="Times New Roman" w:cs="Times New Roman"/>
          <w:szCs w:val="28"/>
          <w:lang w:val="ru-RU"/>
        </w:rPr>
        <w:t xml:space="preserve"> риск выражается в невозможности быстро закрыть позицию без существенного изменения цены. Он проявляется при продаже отдельного инструмента, срочной ребалансировке или хеджировании. Для его оценки могут использоваться объем торгов, величина спреда, глубина рынка и время, </w:t>
      </w:r>
      <w:r w:rsidRPr="00B23776">
        <w:rPr>
          <w:rFonts w:eastAsia="Times New Roman" w:cs="Times New Roman"/>
          <w:szCs w:val="28"/>
          <w:lang w:val="ru-RU"/>
        </w:rPr>
        <w:lastRenderedPageBreak/>
        <w:t>необходимое для выхода из позиции.</w:t>
      </w:r>
    </w:p>
    <w:p w14:paraId="52E2A8C9" w14:textId="176648D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Риск концентрации возникает при чрезмерной доле отдельного актива, эмитента, сектора, валюты или инвестиционной идеи. При этом большое число позиций еще не означает реальную диверсификацию. Для проверки защитного эффекта портфеля нужно анализировать корреляции и общие факторы доходности активов.</w:t>
      </w:r>
      <w:r w:rsidR="0032530F">
        <w:rPr>
          <w:rFonts w:eastAsia="Times New Roman" w:cs="Times New Roman"/>
          <w:szCs w:val="28"/>
          <w:lang w:val="ru-RU"/>
        </w:rPr>
        <w:t xml:space="preserve"> </w:t>
      </w:r>
      <w:r w:rsidRPr="00B23776">
        <w:rPr>
          <w:rFonts w:eastAsia="Times New Roman" w:cs="Times New Roman"/>
          <w:szCs w:val="28"/>
          <w:lang w:val="ru-RU"/>
        </w:rPr>
        <w:t>Модельный и измерительный риски зависят от порядка расчета показателей. Разные источники данных, временные окна и предположения о распределении доходностей могут давать разные оценки одного и того же портфеля. Использование аналитиками собственных таблиц и несопоставимых метрик приводит к расхождению выводов.</w:t>
      </w:r>
    </w:p>
    <w:p w14:paraId="5C7213AA"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Операционный, организационный и поведенческий риски возникают из-за ошибок в данных, задержки обновления показателей, нарушения регламента и несогласованных действий аналитиков. К этой группе относится и ситуация, когда риск-сигнал зафиксирован, но решение по изменению структуры портфеля принимается с опозданием.</w:t>
      </w:r>
    </w:p>
    <w:p w14:paraId="2527782B" w14:textId="52285138"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Стратегический, регуляторный и </w:t>
      </w:r>
      <w:r>
        <w:rPr>
          <w:rFonts w:eastAsia="Times New Roman" w:cs="Times New Roman"/>
          <w:szCs w:val="28"/>
        </w:rPr>
        <w:t>ESG</w:t>
      </w:r>
      <w:r w:rsidRPr="00B23776">
        <w:rPr>
          <w:rFonts w:eastAsia="Times New Roman" w:cs="Times New Roman"/>
          <w:szCs w:val="28"/>
          <w:lang w:val="ru-RU"/>
        </w:rPr>
        <w:t>-риски связаны с изменением внешних условий. Новые требования, санкционные ограничения, климатическая политика или изменение инвестиционных приоритетов могут сделать прежний состав портфеля несоответствующим целям инвестора. Эти факторы должны учитываться при сценарном тестировании [2; 6; 16; 17; 18].</w:t>
      </w:r>
      <w:r w:rsidR="0032530F">
        <w:rPr>
          <w:rFonts w:eastAsia="Times New Roman" w:cs="Times New Roman"/>
          <w:szCs w:val="28"/>
          <w:lang w:val="ru-RU"/>
        </w:rPr>
        <w:t xml:space="preserve"> </w:t>
      </w:r>
      <w:r w:rsidRPr="00B23776">
        <w:rPr>
          <w:rFonts w:eastAsia="Times New Roman" w:cs="Times New Roman"/>
          <w:szCs w:val="28"/>
          <w:lang w:val="ru-RU"/>
        </w:rPr>
        <w:t>Классификация рисков инвестиционного портфеля приведена в таблице 1.2.</w:t>
      </w:r>
    </w:p>
    <w:p w14:paraId="17D3FBAF" w14:textId="3A6B396C" w:rsidR="0032530F" w:rsidRPr="00AB4C8A" w:rsidRDefault="00E03C62" w:rsidP="0032530F">
      <w:pPr>
        <w:pStyle w:val="affc"/>
        <w:spacing w:after="120"/>
      </w:pPr>
      <w:r w:rsidRPr="00AB4C8A">
        <w:t>Таблица 1.2 – Классификация рисков инвестиционного портфеля</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969"/>
        <w:gridCol w:w="3576"/>
      </w:tblGrid>
      <w:tr w:rsidR="00121129" w14:paraId="3C7982EF" w14:textId="77777777" w:rsidTr="0032530F">
        <w:trPr>
          <w:cantSplit/>
          <w:trHeight w:val="397"/>
          <w:jc w:val="center"/>
        </w:trPr>
        <w:tc>
          <w:tcPr>
            <w:tcW w:w="2263" w:type="dxa"/>
            <w:tcMar>
              <w:top w:w="80" w:type="dxa"/>
              <w:left w:w="120" w:type="dxa"/>
              <w:bottom w:w="80" w:type="dxa"/>
              <w:right w:w="120" w:type="dxa"/>
            </w:tcMar>
            <w:vAlign w:val="center"/>
          </w:tcPr>
          <w:p w14:paraId="20F2AFED"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Группа</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рисков</w:t>
            </w:r>
            <w:proofErr w:type="spellEnd"/>
          </w:p>
        </w:tc>
        <w:tc>
          <w:tcPr>
            <w:tcW w:w="3969" w:type="dxa"/>
            <w:tcMar>
              <w:top w:w="80" w:type="dxa"/>
              <w:left w:w="120" w:type="dxa"/>
              <w:bottom w:w="80" w:type="dxa"/>
              <w:right w:w="120" w:type="dxa"/>
            </w:tcMar>
            <w:vAlign w:val="center"/>
          </w:tcPr>
          <w:p w14:paraId="1953EA58"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Содержание</w:t>
            </w:r>
            <w:proofErr w:type="spellEnd"/>
          </w:p>
        </w:tc>
        <w:tc>
          <w:tcPr>
            <w:tcW w:w="3576" w:type="dxa"/>
            <w:tcMar>
              <w:top w:w="80" w:type="dxa"/>
              <w:left w:w="120" w:type="dxa"/>
              <w:bottom w:w="80" w:type="dxa"/>
              <w:right w:w="120" w:type="dxa"/>
            </w:tcMar>
            <w:vAlign w:val="center"/>
          </w:tcPr>
          <w:p w14:paraId="4352043D"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Базовые</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способы</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управления</w:t>
            </w:r>
            <w:proofErr w:type="spellEnd"/>
          </w:p>
        </w:tc>
      </w:tr>
      <w:tr w:rsidR="00121129" w:rsidRPr="0032530F" w14:paraId="76568216" w14:textId="77777777" w:rsidTr="0032530F">
        <w:trPr>
          <w:cantSplit/>
          <w:trHeight w:val="283"/>
          <w:jc w:val="center"/>
        </w:trPr>
        <w:tc>
          <w:tcPr>
            <w:tcW w:w="2263" w:type="dxa"/>
            <w:tcMar>
              <w:top w:w="80" w:type="dxa"/>
              <w:left w:w="120" w:type="dxa"/>
              <w:bottom w:w="80" w:type="dxa"/>
              <w:right w:w="120" w:type="dxa"/>
            </w:tcMar>
            <w:vAlign w:val="center"/>
          </w:tcPr>
          <w:p w14:paraId="1CA0DE72" w14:textId="77777777" w:rsidR="00121129" w:rsidRDefault="00E03C62">
            <w:pPr>
              <w:widowControl w:val="0"/>
              <w:spacing w:after="0" w:line="240" w:lineRule="auto"/>
              <w:rPr>
                <w:rFonts w:eastAsia="Times New Roman" w:cs="Times New Roman"/>
                <w:sz w:val="24"/>
                <w:szCs w:val="24"/>
              </w:rPr>
            </w:pPr>
            <w:proofErr w:type="spellStart"/>
            <w:r>
              <w:rPr>
                <w:rFonts w:eastAsia="Times New Roman" w:cs="Times New Roman"/>
                <w:color w:val="000000"/>
                <w:sz w:val="24"/>
                <w:szCs w:val="24"/>
              </w:rPr>
              <w:t>Рыночные</w:t>
            </w:r>
            <w:proofErr w:type="spellEnd"/>
          </w:p>
        </w:tc>
        <w:tc>
          <w:tcPr>
            <w:tcW w:w="3969" w:type="dxa"/>
            <w:tcMar>
              <w:top w:w="80" w:type="dxa"/>
              <w:left w:w="120" w:type="dxa"/>
              <w:bottom w:w="80" w:type="dxa"/>
              <w:right w:w="120" w:type="dxa"/>
            </w:tcMar>
            <w:vAlign w:val="center"/>
          </w:tcPr>
          <w:p w14:paraId="62828A29" w14:textId="77777777" w:rsidR="00121129" w:rsidRPr="00AB4C8A" w:rsidRDefault="00E03C62">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Цены акций, ставки, валюты, спрэды, инфляция, волатильность, корреляции</w:t>
            </w:r>
          </w:p>
        </w:tc>
        <w:tc>
          <w:tcPr>
            <w:tcW w:w="3576" w:type="dxa"/>
            <w:tcMar>
              <w:top w:w="80" w:type="dxa"/>
              <w:left w:w="120" w:type="dxa"/>
              <w:bottom w:w="80" w:type="dxa"/>
              <w:right w:w="120" w:type="dxa"/>
            </w:tcMar>
            <w:vAlign w:val="center"/>
          </w:tcPr>
          <w:p w14:paraId="44FB436D" w14:textId="77777777" w:rsidR="00121129" w:rsidRPr="00AB4C8A" w:rsidRDefault="00E03C62">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 xml:space="preserve">Диверсификация, </w:t>
            </w:r>
            <w:r>
              <w:rPr>
                <w:rFonts w:eastAsia="Times New Roman" w:cs="Times New Roman"/>
                <w:color w:val="000000"/>
                <w:sz w:val="24"/>
                <w:szCs w:val="24"/>
              </w:rPr>
              <w:t>duration</w:t>
            </w:r>
            <w:r w:rsidRPr="00B23776">
              <w:rPr>
                <w:rFonts w:eastAsia="Times New Roman" w:cs="Times New Roman"/>
                <w:color w:val="000000"/>
                <w:sz w:val="24"/>
                <w:szCs w:val="24"/>
                <w:lang w:val="ru-RU"/>
              </w:rPr>
              <w:t>-менеджмент, хеджирование, сценарный контроль</w:t>
            </w:r>
          </w:p>
        </w:tc>
      </w:tr>
      <w:tr w:rsidR="00121129" w:rsidRPr="0032530F" w14:paraId="12A1349B" w14:textId="77777777" w:rsidTr="0032530F">
        <w:trPr>
          <w:cantSplit/>
          <w:trHeight w:val="397"/>
          <w:jc w:val="center"/>
        </w:trPr>
        <w:tc>
          <w:tcPr>
            <w:tcW w:w="2263" w:type="dxa"/>
            <w:tcMar>
              <w:top w:w="80" w:type="dxa"/>
              <w:left w:w="120" w:type="dxa"/>
              <w:bottom w:w="80" w:type="dxa"/>
              <w:right w:w="120" w:type="dxa"/>
            </w:tcMar>
            <w:vAlign w:val="center"/>
          </w:tcPr>
          <w:p w14:paraId="6FC98FDC" w14:textId="77777777" w:rsidR="00121129" w:rsidRDefault="00E03C62">
            <w:pPr>
              <w:widowControl w:val="0"/>
              <w:spacing w:after="0" w:line="240" w:lineRule="auto"/>
              <w:rPr>
                <w:rFonts w:eastAsia="Times New Roman" w:cs="Times New Roman"/>
                <w:sz w:val="24"/>
                <w:szCs w:val="24"/>
              </w:rPr>
            </w:pPr>
            <w:proofErr w:type="spellStart"/>
            <w:r>
              <w:rPr>
                <w:rFonts w:eastAsia="Times New Roman" w:cs="Times New Roman"/>
                <w:color w:val="000000"/>
                <w:sz w:val="24"/>
                <w:szCs w:val="24"/>
              </w:rPr>
              <w:t>Кредитные</w:t>
            </w:r>
            <w:proofErr w:type="spellEnd"/>
          </w:p>
        </w:tc>
        <w:tc>
          <w:tcPr>
            <w:tcW w:w="3969" w:type="dxa"/>
            <w:tcMar>
              <w:top w:w="80" w:type="dxa"/>
              <w:left w:w="120" w:type="dxa"/>
              <w:bottom w:w="80" w:type="dxa"/>
              <w:right w:w="120" w:type="dxa"/>
            </w:tcMar>
            <w:vAlign w:val="center"/>
          </w:tcPr>
          <w:p w14:paraId="22A0CD28" w14:textId="77777777" w:rsidR="00121129" w:rsidRPr="00AB4C8A" w:rsidRDefault="00E03C62">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 xml:space="preserve">Дефолт, </w:t>
            </w:r>
            <w:r w:rsidR="00F077B9">
              <w:rPr>
                <w:rFonts w:eastAsia="Times New Roman" w:cs="Times New Roman"/>
                <w:color w:val="000000"/>
                <w:sz w:val="24"/>
                <w:szCs w:val="24"/>
                <w:lang w:val="ru-RU"/>
              </w:rPr>
              <w:t>понижение рейтинга</w:t>
            </w:r>
            <w:r w:rsidRPr="00B23776">
              <w:rPr>
                <w:rFonts w:eastAsia="Times New Roman" w:cs="Times New Roman"/>
                <w:color w:val="000000"/>
                <w:sz w:val="24"/>
                <w:szCs w:val="24"/>
                <w:lang w:val="ru-RU"/>
              </w:rPr>
              <w:t>, ухудшение качества эмитента</w:t>
            </w:r>
          </w:p>
        </w:tc>
        <w:tc>
          <w:tcPr>
            <w:tcW w:w="3576" w:type="dxa"/>
            <w:tcMar>
              <w:top w:w="80" w:type="dxa"/>
              <w:left w:w="120" w:type="dxa"/>
              <w:bottom w:w="80" w:type="dxa"/>
              <w:right w:w="120" w:type="dxa"/>
            </w:tcMar>
            <w:vAlign w:val="center"/>
          </w:tcPr>
          <w:p w14:paraId="0DEB301B" w14:textId="77777777" w:rsidR="00121129" w:rsidRPr="00AB4C8A" w:rsidRDefault="00E03C62">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Лимиты на эмитентов, фильтры качества, стресс-тесты по спредам</w:t>
            </w:r>
          </w:p>
        </w:tc>
      </w:tr>
      <w:tr w:rsidR="0032530F" w:rsidRPr="0032530F" w14:paraId="3C57BED4" w14:textId="77777777" w:rsidTr="0032530F">
        <w:trPr>
          <w:cantSplit/>
          <w:trHeight w:val="397"/>
          <w:jc w:val="center"/>
        </w:trPr>
        <w:tc>
          <w:tcPr>
            <w:tcW w:w="2263" w:type="dxa"/>
            <w:tcMar>
              <w:top w:w="80" w:type="dxa"/>
              <w:left w:w="120" w:type="dxa"/>
              <w:bottom w:w="80" w:type="dxa"/>
              <w:right w:w="120" w:type="dxa"/>
            </w:tcMar>
            <w:vAlign w:val="center"/>
          </w:tcPr>
          <w:p w14:paraId="31B4CAE0" w14:textId="5C233872" w:rsidR="0032530F" w:rsidRDefault="0032530F" w:rsidP="0032530F">
            <w:pPr>
              <w:widowControl w:val="0"/>
              <w:spacing w:after="0" w:line="240" w:lineRule="auto"/>
              <w:rPr>
                <w:rFonts w:eastAsia="Times New Roman" w:cs="Times New Roman"/>
                <w:color w:val="000000"/>
                <w:sz w:val="24"/>
                <w:szCs w:val="24"/>
              </w:rPr>
            </w:pPr>
            <w:proofErr w:type="spellStart"/>
            <w:r>
              <w:rPr>
                <w:rFonts w:eastAsia="Times New Roman" w:cs="Times New Roman"/>
                <w:color w:val="000000"/>
                <w:sz w:val="24"/>
                <w:szCs w:val="24"/>
              </w:rPr>
              <w:t>Концентрации</w:t>
            </w:r>
            <w:proofErr w:type="spellEnd"/>
          </w:p>
        </w:tc>
        <w:tc>
          <w:tcPr>
            <w:tcW w:w="3969" w:type="dxa"/>
            <w:tcMar>
              <w:top w:w="80" w:type="dxa"/>
              <w:left w:w="120" w:type="dxa"/>
              <w:bottom w:w="80" w:type="dxa"/>
              <w:right w:w="120" w:type="dxa"/>
            </w:tcMar>
            <w:vAlign w:val="center"/>
          </w:tcPr>
          <w:p w14:paraId="7FD7B562" w14:textId="4E3951F8" w:rsidR="0032530F" w:rsidRPr="00B23776" w:rsidRDefault="0032530F" w:rsidP="0032530F">
            <w:pPr>
              <w:widowControl w:val="0"/>
              <w:spacing w:after="0" w:line="240" w:lineRule="auto"/>
              <w:rPr>
                <w:rFonts w:eastAsia="Times New Roman" w:cs="Times New Roman"/>
                <w:color w:val="000000"/>
                <w:sz w:val="24"/>
                <w:szCs w:val="24"/>
                <w:lang w:val="ru-RU"/>
              </w:rPr>
            </w:pPr>
            <w:r w:rsidRPr="00B23776">
              <w:rPr>
                <w:rFonts w:eastAsia="Times New Roman" w:cs="Times New Roman"/>
                <w:color w:val="000000"/>
                <w:sz w:val="24"/>
                <w:szCs w:val="24"/>
                <w:lang w:val="ru-RU"/>
              </w:rPr>
              <w:t xml:space="preserve">Секторная, валютная, </w:t>
            </w:r>
            <w:proofErr w:type="spellStart"/>
            <w:r w:rsidRPr="00B23776">
              <w:rPr>
                <w:rFonts w:eastAsia="Times New Roman" w:cs="Times New Roman"/>
                <w:color w:val="000000"/>
                <w:sz w:val="24"/>
                <w:szCs w:val="24"/>
                <w:lang w:val="ru-RU"/>
              </w:rPr>
              <w:t>эмитентская</w:t>
            </w:r>
            <w:proofErr w:type="spellEnd"/>
            <w:r w:rsidRPr="00B23776">
              <w:rPr>
                <w:rFonts w:eastAsia="Times New Roman" w:cs="Times New Roman"/>
                <w:color w:val="000000"/>
                <w:sz w:val="24"/>
                <w:szCs w:val="24"/>
                <w:lang w:val="ru-RU"/>
              </w:rPr>
              <w:t>, факторная концентрация</w:t>
            </w:r>
          </w:p>
        </w:tc>
        <w:tc>
          <w:tcPr>
            <w:tcW w:w="3576" w:type="dxa"/>
            <w:tcMar>
              <w:top w:w="80" w:type="dxa"/>
              <w:left w:w="120" w:type="dxa"/>
              <w:bottom w:w="80" w:type="dxa"/>
              <w:right w:w="120" w:type="dxa"/>
            </w:tcMar>
            <w:vAlign w:val="center"/>
          </w:tcPr>
          <w:p w14:paraId="115671C8" w14:textId="080A67CC" w:rsidR="0032530F" w:rsidRPr="00B23776" w:rsidRDefault="0032530F" w:rsidP="0032530F">
            <w:pPr>
              <w:widowControl w:val="0"/>
              <w:spacing w:after="0" w:line="240" w:lineRule="auto"/>
              <w:rPr>
                <w:rFonts w:eastAsia="Times New Roman" w:cs="Times New Roman"/>
                <w:color w:val="000000"/>
                <w:sz w:val="24"/>
                <w:szCs w:val="24"/>
                <w:lang w:val="ru-RU"/>
              </w:rPr>
            </w:pPr>
            <w:r w:rsidRPr="00B23776">
              <w:rPr>
                <w:rFonts w:eastAsia="Times New Roman" w:cs="Times New Roman"/>
                <w:color w:val="000000"/>
                <w:sz w:val="24"/>
                <w:szCs w:val="24"/>
                <w:lang w:val="ru-RU"/>
              </w:rPr>
              <w:t>Лимиты, регулярный пересмотр корреляций, кластерный анализ</w:t>
            </w:r>
          </w:p>
        </w:tc>
      </w:tr>
    </w:tbl>
    <w:p w14:paraId="6FC0BF56" w14:textId="79C4EC23" w:rsidR="0032530F" w:rsidRPr="0032530F" w:rsidRDefault="0032530F" w:rsidP="0032530F">
      <w:pPr>
        <w:spacing w:after="0" w:line="360" w:lineRule="auto"/>
        <w:rPr>
          <w:lang w:val="ru-RU"/>
        </w:rPr>
      </w:pPr>
      <w:r>
        <w:rPr>
          <w:lang w:val="ru-RU"/>
        </w:rPr>
        <w:lastRenderedPageBreak/>
        <w:t>Продолжение таблицы 1.2</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4111"/>
        <w:gridCol w:w="3717"/>
      </w:tblGrid>
      <w:tr w:rsidR="0032530F" w:rsidRPr="0032530F" w14:paraId="34ACC965" w14:textId="77777777" w:rsidTr="0032530F">
        <w:trPr>
          <w:cantSplit/>
          <w:trHeight w:val="397"/>
          <w:jc w:val="center"/>
        </w:trPr>
        <w:tc>
          <w:tcPr>
            <w:tcW w:w="1980" w:type="dxa"/>
            <w:tcMar>
              <w:top w:w="80" w:type="dxa"/>
              <w:left w:w="120" w:type="dxa"/>
              <w:bottom w:w="80" w:type="dxa"/>
              <w:right w:w="120" w:type="dxa"/>
            </w:tcMar>
            <w:vAlign w:val="center"/>
          </w:tcPr>
          <w:p w14:paraId="390407CD" w14:textId="1B8B290F" w:rsidR="0032530F" w:rsidRDefault="0032530F" w:rsidP="0032530F">
            <w:pPr>
              <w:widowControl w:val="0"/>
              <w:spacing w:after="0" w:line="240" w:lineRule="auto"/>
              <w:jc w:val="center"/>
              <w:rPr>
                <w:rFonts w:eastAsia="Times New Roman" w:cs="Times New Roman"/>
                <w:color w:val="000000"/>
                <w:sz w:val="24"/>
                <w:szCs w:val="24"/>
              </w:rPr>
            </w:pPr>
            <w:proofErr w:type="spellStart"/>
            <w:r w:rsidRPr="009B1F73">
              <w:rPr>
                <w:rFonts w:eastAsia="Times New Roman" w:cs="Times New Roman"/>
                <w:bCs/>
                <w:color w:val="000000"/>
                <w:sz w:val="24"/>
                <w:szCs w:val="24"/>
              </w:rPr>
              <w:t>Группа</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рисков</w:t>
            </w:r>
            <w:proofErr w:type="spellEnd"/>
          </w:p>
        </w:tc>
        <w:tc>
          <w:tcPr>
            <w:tcW w:w="4111" w:type="dxa"/>
            <w:tcMar>
              <w:top w:w="80" w:type="dxa"/>
              <w:left w:w="120" w:type="dxa"/>
              <w:bottom w:w="80" w:type="dxa"/>
              <w:right w:w="120" w:type="dxa"/>
            </w:tcMar>
            <w:vAlign w:val="center"/>
          </w:tcPr>
          <w:p w14:paraId="6AAC23AE" w14:textId="44B2F6F2" w:rsidR="0032530F" w:rsidRPr="00B23776" w:rsidRDefault="0032530F" w:rsidP="0032530F">
            <w:pPr>
              <w:widowControl w:val="0"/>
              <w:spacing w:after="0" w:line="240" w:lineRule="auto"/>
              <w:jc w:val="center"/>
              <w:rPr>
                <w:rFonts w:eastAsia="Times New Roman" w:cs="Times New Roman"/>
                <w:color w:val="000000"/>
                <w:sz w:val="24"/>
                <w:szCs w:val="24"/>
                <w:lang w:val="ru-RU"/>
              </w:rPr>
            </w:pPr>
            <w:proofErr w:type="spellStart"/>
            <w:r w:rsidRPr="009B1F73">
              <w:rPr>
                <w:rFonts w:eastAsia="Times New Roman" w:cs="Times New Roman"/>
                <w:bCs/>
                <w:color w:val="000000"/>
                <w:sz w:val="24"/>
                <w:szCs w:val="24"/>
              </w:rPr>
              <w:t>Содержание</w:t>
            </w:r>
            <w:proofErr w:type="spellEnd"/>
          </w:p>
        </w:tc>
        <w:tc>
          <w:tcPr>
            <w:tcW w:w="3717" w:type="dxa"/>
            <w:tcMar>
              <w:top w:w="80" w:type="dxa"/>
              <w:left w:w="120" w:type="dxa"/>
              <w:bottom w:w="80" w:type="dxa"/>
              <w:right w:w="120" w:type="dxa"/>
            </w:tcMar>
            <w:vAlign w:val="center"/>
          </w:tcPr>
          <w:p w14:paraId="68E1ACBD" w14:textId="20B87B3B" w:rsidR="0032530F" w:rsidRPr="00B23776" w:rsidRDefault="0032530F" w:rsidP="0032530F">
            <w:pPr>
              <w:widowControl w:val="0"/>
              <w:spacing w:after="0" w:line="240" w:lineRule="auto"/>
              <w:jc w:val="center"/>
              <w:rPr>
                <w:rFonts w:eastAsia="Times New Roman" w:cs="Times New Roman"/>
                <w:color w:val="000000"/>
                <w:sz w:val="24"/>
                <w:szCs w:val="24"/>
                <w:lang w:val="ru-RU"/>
              </w:rPr>
            </w:pPr>
            <w:proofErr w:type="spellStart"/>
            <w:r w:rsidRPr="009B1F73">
              <w:rPr>
                <w:rFonts w:eastAsia="Times New Roman" w:cs="Times New Roman"/>
                <w:bCs/>
                <w:color w:val="000000"/>
                <w:sz w:val="24"/>
                <w:szCs w:val="24"/>
              </w:rPr>
              <w:t>Базовые</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способы</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управления</w:t>
            </w:r>
            <w:proofErr w:type="spellEnd"/>
          </w:p>
        </w:tc>
      </w:tr>
      <w:tr w:rsidR="0032530F" w:rsidRPr="0032530F" w14:paraId="6C2E037E" w14:textId="77777777" w:rsidTr="0032530F">
        <w:trPr>
          <w:cantSplit/>
          <w:trHeight w:val="397"/>
          <w:jc w:val="center"/>
        </w:trPr>
        <w:tc>
          <w:tcPr>
            <w:tcW w:w="1980" w:type="dxa"/>
            <w:tcMar>
              <w:top w:w="80" w:type="dxa"/>
              <w:left w:w="120" w:type="dxa"/>
              <w:bottom w:w="80" w:type="dxa"/>
              <w:right w:w="120" w:type="dxa"/>
            </w:tcMar>
            <w:vAlign w:val="center"/>
          </w:tcPr>
          <w:p w14:paraId="4D6BEC02" w14:textId="4C839DE6" w:rsidR="0032530F" w:rsidRDefault="0032530F" w:rsidP="0032530F">
            <w:pPr>
              <w:widowControl w:val="0"/>
              <w:spacing w:after="0" w:line="240" w:lineRule="auto"/>
              <w:rPr>
                <w:rFonts w:eastAsia="Times New Roman" w:cs="Times New Roman"/>
                <w:sz w:val="24"/>
                <w:szCs w:val="24"/>
              </w:rPr>
            </w:pPr>
            <w:proofErr w:type="spellStart"/>
            <w:r>
              <w:rPr>
                <w:rFonts w:eastAsia="Times New Roman" w:cs="Times New Roman"/>
                <w:color w:val="000000"/>
                <w:sz w:val="24"/>
                <w:szCs w:val="24"/>
              </w:rPr>
              <w:t>Ликвидности</w:t>
            </w:r>
            <w:proofErr w:type="spellEnd"/>
          </w:p>
        </w:tc>
        <w:tc>
          <w:tcPr>
            <w:tcW w:w="4111" w:type="dxa"/>
            <w:tcMar>
              <w:top w:w="80" w:type="dxa"/>
              <w:left w:w="120" w:type="dxa"/>
              <w:bottom w:w="80" w:type="dxa"/>
              <w:right w:w="120" w:type="dxa"/>
            </w:tcMar>
            <w:vAlign w:val="center"/>
          </w:tcPr>
          <w:p w14:paraId="4049F06D" w14:textId="65DBE078" w:rsidR="0032530F" w:rsidRPr="00AB4C8A" w:rsidRDefault="0032530F" w:rsidP="0032530F">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 xml:space="preserve">Рост </w:t>
            </w:r>
            <w:r>
              <w:rPr>
                <w:rFonts w:eastAsia="Times New Roman" w:cs="Times New Roman"/>
                <w:color w:val="000000"/>
                <w:sz w:val="24"/>
                <w:szCs w:val="24"/>
              </w:rPr>
              <w:t>bid</w:t>
            </w:r>
            <w:r w:rsidRPr="00B23776">
              <w:rPr>
                <w:rFonts w:eastAsia="Times New Roman" w:cs="Times New Roman"/>
                <w:color w:val="000000"/>
                <w:sz w:val="24"/>
                <w:szCs w:val="24"/>
                <w:lang w:val="ru-RU"/>
              </w:rPr>
              <w:t>-</w:t>
            </w:r>
            <w:r>
              <w:rPr>
                <w:rFonts w:eastAsia="Times New Roman" w:cs="Times New Roman"/>
                <w:color w:val="000000"/>
                <w:sz w:val="24"/>
                <w:szCs w:val="24"/>
              </w:rPr>
              <w:t>ask</w:t>
            </w:r>
            <w:r w:rsidRPr="00B23776">
              <w:rPr>
                <w:rFonts w:eastAsia="Times New Roman" w:cs="Times New Roman"/>
                <w:color w:val="000000"/>
                <w:sz w:val="24"/>
                <w:szCs w:val="24"/>
                <w:lang w:val="ru-RU"/>
              </w:rPr>
              <w:t xml:space="preserve"> </w:t>
            </w:r>
            <w:r>
              <w:rPr>
                <w:rFonts w:eastAsia="Times New Roman" w:cs="Times New Roman"/>
                <w:color w:val="000000"/>
                <w:sz w:val="24"/>
                <w:szCs w:val="24"/>
              </w:rPr>
              <w:t>spread</w:t>
            </w:r>
            <w:r w:rsidRPr="00B23776">
              <w:rPr>
                <w:rFonts w:eastAsia="Times New Roman" w:cs="Times New Roman"/>
                <w:color w:val="000000"/>
                <w:sz w:val="24"/>
                <w:szCs w:val="24"/>
                <w:lang w:val="ru-RU"/>
              </w:rPr>
              <w:t>, снижение глубины рынка, невозможность быстрой ребалансировки</w:t>
            </w:r>
          </w:p>
        </w:tc>
        <w:tc>
          <w:tcPr>
            <w:tcW w:w="3717" w:type="dxa"/>
            <w:tcMar>
              <w:top w:w="80" w:type="dxa"/>
              <w:left w:w="120" w:type="dxa"/>
              <w:bottom w:w="80" w:type="dxa"/>
              <w:right w:w="120" w:type="dxa"/>
            </w:tcMar>
            <w:vAlign w:val="center"/>
          </w:tcPr>
          <w:p w14:paraId="6F996E6B" w14:textId="79E892DA" w:rsidR="0032530F" w:rsidRPr="00AB4C8A" w:rsidRDefault="0032530F" w:rsidP="0032530F">
            <w:pPr>
              <w:widowControl w:val="0"/>
              <w:spacing w:after="0" w:line="240" w:lineRule="auto"/>
              <w:rPr>
                <w:rFonts w:eastAsia="Times New Roman" w:cs="Times New Roman"/>
                <w:sz w:val="24"/>
                <w:szCs w:val="24"/>
                <w:lang w:val="ru-RU"/>
              </w:rPr>
            </w:pPr>
            <w:proofErr w:type="spellStart"/>
            <w:r w:rsidRPr="00B23776">
              <w:rPr>
                <w:rFonts w:eastAsia="Times New Roman" w:cs="Times New Roman"/>
                <w:color w:val="000000"/>
                <w:sz w:val="24"/>
                <w:szCs w:val="24"/>
                <w:lang w:val="ru-RU"/>
              </w:rPr>
              <w:t>Ликвидностные</w:t>
            </w:r>
            <w:proofErr w:type="spellEnd"/>
            <w:r w:rsidRPr="00B23776">
              <w:rPr>
                <w:rFonts w:eastAsia="Times New Roman" w:cs="Times New Roman"/>
                <w:color w:val="000000"/>
                <w:sz w:val="24"/>
                <w:szCs w:val="24"/>
                <w:lang w:val="ru-RU"/>
              </w:rPr>
              <w:t xml:space="preserve"> буферы, ограничения на долю низколиквидных активов</w:t>
            </w:r>
          </w:p>
        </w:tc>
      </w:tr>
      <w:tr w:rsidR="0032530F" w:rsidRPr="0032530F" w14:paraId="6F684772" w14:textId="77777777" w:rsidTr="0032530F">
        <w:trPr>
          <w:cantSplit/>
          <w:trHeight w:val="397"/>
          <w:jc w:val="center"/>
        </w:trPr>
        <w:tc>
          <w:tcPr>
            <w:tcW w:w="1980" w:type="dxa"/>
            <w:tcMar>
              <w:top w:w="80" w:type="dxa"/>
              <w:left w:w="120" w:type="dxa"/>
              <w:bottom w:w="80" w:type="dxa"/>
              <w:right w:w="120" w:type="dxa"/>
            </w:tcMar>
            <w:vAlign w:val="center"/>
          </w:tcPr>
          <w:p w14:paraId="3D4C7804" w14:textId="77777777" w:rsidR="0032530F" w:rsidRDefault="0032530F" w:rsidP="0032530F">
            <w:pPr>
              <w:widowControl w:val="0"/>
              <w:spacing w:after="0" w:line="240" w:lineRule="auto"/>
              <w:rPr>
                <w:rFonts w:eastAsia="Times New Roman" w:cs="Times New Roman"/>
                <w:sz w:val="24"/>
                <w:szCs w:val="24"/>
              </w:rPr>
            </w:pPr>
            <w:proofErr w:type="spellStart"/>
            <w:r>
              <w:rPr>
                <w:rFonts w:eastAsia="Times New Roman" w:cs="Times New Roman"/>
                <w:color w:val="000000"/>
                <w:sz w:val="24"/>
                <w:szCs w:val="24"/>
              </w:rPr>
              <w:t>Модельные</w:t>
            </w:r>
            <w:proofErr w:type="spellEnd"/>
          </w:p>
        </w:tc>
        <w:tc>
          <w:tcPr>
            <w:tcW w:w="4111" w:type="dxa"/>
            <w:tcMar>
              <w:top w:w="80" w:type="dxa"/>
              <w:left w:w="120" w:type="dxa"/>
              <w:bottom w:w="80" w:type="dxa"/>
              <w:right w:w="120" w:type="dxa"/>
            </w:tcMar>
            <w:vAlign w:val="center"/>
          </w:tcPr>
          <w:p w14:paraId="39A50766" w14:textId="77777777" w:rsidR="0032530F" w:rsidRPr="00AB4C8A" w:rsidRDefault="0032530F" w:rsidP="0032530F">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Разные окна, разные метрики, нестабильные допущения</w:t>
            </w:r>
          </w:p>
        </w:tc>
        <w:tc>
          <w:tcPr>
            <w:tcW w:w="3717" w:type="dxa"/>
            <w:tcMar>
              <w:top w:w="80" w:type="dxa"/>
              <w:left w:w="120" w:type="dxa"/>
              <w:bottom w:w="80" w:type="dxa"/>
              <w:right w:w="120" w:type="dxa"/>
            </w:tcMar>
            <w:vAlign w:val="center"/>
          </w:tcPr>
          <w:p w14:paraId="0B1994A5" w14:textId="77777777" w:rsidR="0032530F" w:rsidRPr="00AB4C8A" w:rsidRDefault="0032530F" w:rsidP="0032530F">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 xml:space="preserve">Стандартизация расчетов, единый </w:t>
            </w:r>
            <w:r>
              <w:rPr>
                <w:rFonts w:eastAsia="Times New Roman" w:cs="Times New Roman"/>
                <w:color w:val="000000"/>
                <w:sz w:val="24"/>
                <w:szCs w:val="24"/>
              </w:rPr>
              <w:t>data</w:t>
            </w:r>
            <w:r w:rsidRPr="00B23776">
              <w:rPr>
                <w:rFonts w:eastAsia="Times New Roman" w:cs="Times New Roman"/>
                <w:color w:val="000000"/>
                <w:sz w:val="24"/>
                <w:szCs w:val="24"/>
                <w:lang w:val="ru-RU"/>
              </w:rPr>
              <w:t xml:space="preserve"> </w:t>
            </w:r>
            <w:r>
              <w:rPr>
                <w:rFonts w:eastAsia="Times New Roman" w:cs="Times New Roman"/>
                <w:color w:val="000000"/>
                <w:sz w:val="24"/>
                <w:szCs w:val="24"/>
              </w:rPr>
              <w:t>pipeline</w:t>
            </w:r>
            <w:r w:rsidRPr="00B23776">
              <w:rPr>
                <w:rFonts w:eastAsia="Times New Roman" w:cs="Times New Roman"/>
                <w:color w:val="000000"/>
                <w:sz w:val="24"/>
                <w:szCs w:val="24"/>
                <w:lang w:val="ru-RU"/>
              </w:rPr>
              <w:t>, сверка метрик</w:t>
            </w:r>
          </w:p>
        </w:tc>
      </w:tr>
      <w:tr w:rsidR="0032530F" w:rsidRPr="0032530F" w14:paraId="07DE0A8B" w14:textId="77777777" w:rsidTr="0032530F">
        <w:trPr>
          <w:cantSplit/>
          <w:trHeight w:val="397"/>
          <w:jc w:val="center"/>
        </w:trPr>
        <w:tc>
          <w:tcPr>
            <w:tcW w:w="1980" w:type="dxa"/>
            <w:tcMar>
              <w:top w:w="80" w:type="dxa"/>
              <w:left w:w="120" w:type="dxa"/>
              <w:bottom w:w="80" w:type="dxa"/>
              <w:right w:w="120" w:type="dxa"/>
            </w:tcMar>
            <w:vAlign w:val="center"/>
          </w:tcPr>
          <w:p w14:paraId="0E89C186" w14:textId="77777777" w:rsidR="0032530F" w:rsidRDefault="0032530F" w:rsidP="0032530F">
            <w:pPr>
              <w:widowControl w:val="0"/>
              <w:spacing w:after="0" w:line="240" w:lineRule="auto"/>
              <w:rPr>
                <w:rFonts w:eastAsia="Times New Roman" w:cs="Times New Roman"/>
                <w:sz w:val="24"/>
                <w:szCs w:val="24"/>
              </w:rPr>
            </w:pPr>
            <w:proofErr w:type="spellStart"/>
            <w:r>
              <w:rPr>
                <w:rFonts w:eastAsia="Times New Roman" w:cs="Times New Roman"/>
                <w:color w:val="000000"/>
                <w:sz w:val="24"/>
                <w:szCs w:val="24"/>
              </w:rPr>
              <w:t>Операционные</w:t>
            </w:r>
            <w:proofErr w:type="spellEnd"/>
            <w:r>
              <w:rPr>
                <w:rFonts w:eastAsia="Times New Roman" w:cs="Times New Roman"/>
                <w:color w:val="000000"/>
                <w:sz w:val="24"/>
                <w:szCs w:val="24"/>
              </w:rPr>
              <w:t xml:space="preserve"> и </w:t>
            </w:r>
            <w:proofErr w:type="spellStart"/>
            <w:r>
              <w:rPr>
                <w:rFonts w:eastAsia="Times New Roman" w:cs="Times New Roman"/>
                <w:color w:val="000000"/>
                <w:sz w:val="24"/>
                <w:szCs w:val="24"/>
              </w:rPr>
              <w:t>поведенческие</w:t>
            </w:r>
            <w:proofErr w:type="spellEnd"/>
          </w:p>
        </w:tc>
        <w:tc>
          <w:tcPr>
            <w:tcW w:w="4111" w:type="dxa"/>
            <w:tcMar>
              <w:top w:w="80" w:type="dxa"/>
              <w:left w:w="120" w:type="dxa"/>
              <w:bottom w:w="80" w:type="dxa"/>
              <w:right w:w="120" w:type="dxa"/>
            </w:tcMar>
            <w:vAlign w:val="center"/>
          </w:tcPr>
          <w:p w14:paraId="55D1F4BD" w14:textId="77777777" w:rsidR="0032530F" w:rsidRPr="00AB4C8A" w:rsidRDefault="0032530F" w:rsidP="0032530F">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Несогласованность аналитиков, задержки обновления, субъективные интерпретации</w:t>
            </w:r>
          </w:p>
        </w:tc>
        <w:tc>
          <w:tcPr>
            <w:tcW w:w="3717" w:type="dxa"/>
            <w:tcMar>
              <w:top w:w="80" w:type="dxa"/>
              <w:left w:w="120" w:type="dxa"/>
              <w:bottom w:w="80" w:type="dxa"/>
              <w:right w:w="120" w:type="dxa"/>
            </w:tcMar>
            <w:vAlign w:val="center"/>
          </w:tcPr>
          <w:p w14:paraId="72A6E64D" w14:textId="77777777" w:rsidR="0032530F" w:rsidRPr="00AB4C8A" w:rsidRDefault="0032530F" w:rsidP="0032530F">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Регламенты, триггеры, единые формы отчетности, контроль качества</w:t>
            </w:r>
          </w:p>
        </w:tc>
      </w:tr>
      <w:tr w:rsidR="0032530F" w:rsidRPr="0032530F" w14:paraId="0973598F" w14:textId="77777777" w:rsidTr="0032530F">
        <w:trPr>
          <w:cantSplit/>
          <w:trHeight w:val="397"/>
          <w:jc w:val="center"/>
        </w:trPr>
        <w:tc>
          <w:tcPr>
            <w:tcW w:w="1980" w:type="dxa"/>
            <w:tcMar>
              <w:top w:w="80" w:type="dxa"/>
              <w:left w:w="120" w:type="dxa"/>
              <w:bottom w:w="80" w:type="dxa"/>
              <w:right w:w="120" w:type="dxa"/>
            </w:tcMar>
            <w:vAlign w:val="center"/>
          </w:tcPr>
          <w:p w14:paraId="6C471FA1" w14:textId="77777777" w:rsidR="0032530F" w:rsidRDefault="0032530F" w:rsidP="0032530F">
            <w:pPr>
              <w:widowControl w:val="0"/>
              <w:spacing w:after="0" w:line="240" w:lineRule="auto"/>
              <w:rPr>
                <w:rFonts w:eastAsia="Times New Roman" w:cs="Times New Roman"/>
                <w:sz w:val="24"/>
                <w:szCs w:val="24"/>
              </w:rPr>
            </w:pPr>
            <w:proofErr w:type="spellStart"/>
            <w:r>
              <w:rPr>
                <w:rFonts w:eastAsia="Times New Roman" w:cs="Times New Roman"/>
                <w:color w:val="000000"/>
                <w:sz w:val="24"/>
                <w:szCs w:val="24"/>
              </w:rPr>
              <w:t>Стратегические</w:t>
            </w:r>
            <w:proofErr w:type="spellEnd"/>
            <w:r>
              <w:rPr>
                <w:rFonts w:eastAsia="Times New Roman" w:cs="Times New Roman"/>
                <w:color w:val="000000"/>
                <w:sz w:val="24"/>
                <w:szCs w:val="24"/>
              </w:rPr>
              <w:t xml:space="preserve"> и ESG</w:t>
            </w:r>
          </w:p>
        </w:tc>
        <w:tc>
          <w:tcPr>
            <w:tcW w:w="4111" w:type="dxa"/>
            <w:tcMar>
              <w:top w:w="80" w:type="dxa"/>
              <w:left w:w="120" w:type="dxa"/>
              <w:bottom w:w="80" w:type="dxa"/>
              <w:right w:w="120" w:type="dxa"/>
            </w:tcMar>
            <w:vAlign w:val="center"/>
          </w:tcPr>
          <w:p w14:paraId="7F9558F9" w14:textId="77777777" w:rsidR="0032530F" w:rsidRPr="00AB4C8A" w:rsidRDefault="0032530F" w:rsidP="0032530F">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Несоответствие целей инвестора, углеродные ограничения, регуляторные шоки</w:t>
            </w:r>
          </w:p>
        </w:tc>
        <w:tc>
          <w:tcPr>
            <w:tcW w:w="3717" w:type="dxa"/>
            <w:tcMar>
              <w:top w:w="80" w:type="dxa"/>
              <w:left w:w="120" w:type="dxa"/>
              <w:bottom w:w="80" w:type="dxa"/>
              <w:right w:w="120" w:type="dxa"/>
            </w:tcMar>
            <w:vAlign w:val="center"/>
          </w:tcPr>
          <w:p w14:paraId="1F834178" w14:textId="77777777" w:rsidR="0032530F" w:rsidRPr="00AB4C8A" w:rsidRDefault="0032530F" w:rsidP="0032530F">
            <w:pPr>
              <w:widowControl w:val="0"/>
              <w:spacing w:after="0" w:line="240" w:lineRule="auto"/>
              <w:rPr>
                <w:rFonts w:eastAsia="Times New Roman" w:cs="Times New Roman"/>
                <w:sz w:val="24"/>
                <w:szCs w:val="24"/>
                <w:lang w:val="ru-RU"/>
              </w:rPr>
            </w:pPr>
            <w:r w:rsidRPr="00B23776">
              <w:rPr>
                <w:rFonts w:eastAsia="Times New Roman" w:cs="Times New Roman"/>
                <w:color w:val="000000"/>
                <w:sz w:val="24"/>
                <w:szCs w:val="24"/>
                <w:lang w:val="ru-RU"/>
              </w:rPr>
              <w:t>Сценарная настройка, дополнительные критерии отбора, адаптация лимитов</w:t>
            </w:r>
          </w:p>
        </w:tc>
      </w:tr>
    </w:tbl>
    <w:p w14:paraId="293F88EF" w14:textId="77777777" w:rsidR="00121129" w:rsidRPr="00AB4C8A" w:rsidRDefault="00E03C62">
      <w:pPr>
        <w:widowControl w:val="0"/>
        <w:spacing w:after="0" w:line="360" w:lineRule="auto"/>
        <w:ind w:firstLine="709"/>
        <w:jc w:val="both"/>
        <w:rPr>
          <w:rFonts w:eastAsia="Times New Roman" w:cs="Times New Roman"/>
          <w:szCs w:val="28"/>
          <w:lang w:val="ru-RU"/>
        </w:rPr>
      </w:pPr>
      <w:r w:rsidRPr="00F077B9">
        <w:rPr>
          <w:rFonts w:eastAsia="Times New Roman" w:cs="Times New Roman"/>
          <w:szCs w:val="28"/>
          <w:lang w:val="ru-RU"/>
        </w:rPr>
        <w:t xml:space="preserve"> [2; 3; 5; 6; 11; 14; 15; 16; 17].</w:t>
      </w:r>
    </w:p>
    <w:p w14:paraId="05750554" w14:textId="134433AC" w:rsidR="00121129" w:rsidRPr="00AB4C8A" w:rsidRDefault="009E0609">
      <w:pPr>
        <w:widowControl w:val="0"/>
        <w:spacing w:after="0" w:line="360" w:lineRule="auto"/>
        <w:ind w:firstLine="709"/>
        <w:jc w:val="both"/>
        <w:rPr>
          <w:rFonts w:eastAsia="Times New Roman" w:cs="Times New Roman"/>
          <w:szCs w:val="28"/>
          <w:lang w:val="ru-RU"/>
        </w:rPr>
      </w:pPr>
      <w:r w:rsidRPr="009E0609">
        <w:rPr>
          <w:rFonts w:eastAsia="Times New Roman" w:cs="Times New Roman"/>
          <w:szCs w:val="28"/>
          <w:lang w:val="ru-RU"/>
        </w:rPr>
        <w:t>Исходя из этого, у</w:t>
      </w:r>
      <w:r w:rsidR="00F077B9" w:rsidRPr="009E0609">
        <w:rPr>
          <w:rFonts w:eastAsia="Times New Roman" w:cs="Times New Roman"/>
          <w:szCs w:val="28"/>
          <w:lang w:val="ru-RU"/>
        </w:rPr>
        <w:t xml:space="preserve">правление портфелем должно учитывать рыночные, кредитные, </w:t>
      </w:r>
      <w:proofErr w:type="spellStart"/>
      <w:r w:rsidR="00F077B9" w:rsidRPr="009E0609">
        <w:rPr>
          <w:rFonts w:eastAsia="Times New Roman" w:cs="Times New Roman"/>
          <w:szCs w:val="28"/>
          <w:lang w:val="ru-RU"/>
        </w:rPr>
        <w:t>ликвидностные</w:t>
      </w:r>
      <w:proofErr w:type="spellEnd"/>
      <w:r w:rsidR="00F077B9" w:rsidRPr="009E0609">
        <w:rPr>
          <w:rFonts w:eastAsia="Times New Roman" w:cs="Times New Roman"/>
          <w:szCs w:val="28"/>
          <w:lang w:val="ru-RU"/>
        </w:rPr>
        <w:t>, модельные и операционные риски одновременно; одной волатильности для принятия решения недостаточно</w:t>
      </w:r>
      <w:r w:rsidR="00F077B9" w:rsidRPr="00F077B9">
        <w:rPr>
          <w:rFonts w:eastAsia="Times New Roman" w:cs="Times New Roman"/>
          <w:szCs w:val="28"/>
          <w:lang w:val="ru-RU"/>
        </w:rPr>
        <w:t>.</w:t>
      </w:r>
    </w:p>
    <w:p w14:paraId="755A2C72" w14:textId="77777777" w:rsidR="00121129" w:rsidRPr="00AB4C8A" w:rsidRDefault="00E03C62" w:rsidP="009B1F73">
      <w:pPr>
        <w:pStyle w:val="aff8"/>
      </w:pPr>
      <w:bookmarkStart w:id="5" w:name="_sto_toc_5"/>
      <w:r w:rsidRPr="00B23776">
        <w:t>1.3 Критический анализ российских и зарубежных исследований</w:t>
      </w:r>
      <w:bookmarkEnd w:id="5"/>
    </w:p>
    <w:p w14:paraId="1F6815D1" w14:textId="34437C74"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Проведенный обзор публикаций показывает, что зарубежные исследования развиваются по нескольким направлениям: поведенческая оптимизация, альтернативные меры риска, </w:t>
      </w:r>
      <w:r>
        <w:rPr>
          <w:rFonts w:eastAsia="Times New Roman" w:cs="Times New Roman"/>
          <w:szCs w:val="28"/>
        </w:rPr>
        <w:t>ESG</w:t>
      </w:r>
      <w:r w:rsidRPr="00B23776">
        <w:rPr>
          <w:rFonts w:eastAsia="Times New Roman" w:cs="Times New Roman"/>
          <w:szCs w:val="28"/>
          <w:lang w:val="ru-RU"/>
        </w:rPr>
        <w:t>-ограничения, машинное обучение, сетевые модели и сценарный анализ. Большинство работ подробно раскрыв</w:t>
      </w:r>
      <w:r w:rsidR="00AB4C8A">
        <w:rPr>
          <w:rFonts w:eastAsia="Times New Roman" w:cs="Times New Roman"/>
          <w:szCs w:val="28"/>
          <w:lang w:val="ru-RU"/>
        </w:rPr>
        <w:t>аю</w:t>
      </w:r>
      <w:r w:rsidRPr="00B23776">
        <w:rPr>
          <w:rFonts w:eastAsia="Times New Roman" w:cs="Times New Roman"/>
          <w:szCs w:val="28"/>
          <w:lang w:val="ru-RU"/>
        </w:rPr>
        <w:t>т отдельный метод, но не рассматрив</w:t>
      </w:r>
      <w:r w:rsidR="00AB4C8A">
        <w:rPr>
          <w:rFonts w:eastAsia="Times New Roman" w:cs="Times New Roman"/>
          <w:szCs w:val="28"/>
          <w:lang w:val="ru-RU"/>
        </w:rPr>
        <w:t>аю</w:t>
      </w:r>
      <w:r w:rsidRPr="00B23776">
        <w:rPr>
          <w:rFonts w:eastAsia="Times New Roman" w:cs="Times New Roman"/>
          <w:szCs w:val="28"/>
          <w:lang w:val="ru-RU"/>
        </w:rPr>
        <w:t>т его место в общем регламенте управления портфелем [8].</w:t>
      </w:r>
    </w:p>
    <w:p w14:paraId="7719A4E6" w14:textId="77777777" w:rsidR="00121129" w:rsidRPr="00AB4C8A" w:rsidRDefault="00E03C62">
      <w:pPr>
        <w:widowControl w:val="0"/>
        <w:spacing w:after="0" w:line="360" w:lineRule="auto"/>
        <w:ind w:firstLine="709"/>
        <w:jc w:val="both"/>
        <w:rPr>
          <w:rFonts w:eastAsia="Times New Roman" w:cs="Times New Roman"/>
          <w:szCs w:val="28"/>
          <w:lang w:val="ru-RU"/>
        </w:rPr>
      </w:pPr>
      <w:r>
        <w:rPr>
          <w:rFonts w:eastAsia="Times New Roman" w:cs="Times New Roman"/>
          <w:szCs w:val="28"/>
        </w:rPr>
        <w:t>Cherif</w:t>
      </w:r>
      <w:r w:rsidRPr="00B23776">
        <w:rPr>
          <w:rFonts w:eastAsia="Times New Roman" w:cs="Times New Roman"/>
          <w:szCs w:val="28"/>
          <w:lang w:val="ru-RU"/>
        </w:rPr>
        <w:t xml:space="preserve"> и </w:t>
      </w:r>
      <w:r>
        <w:rPr>
          <w:rFonts w:eastAsia="Times New Roman" w:cs="Times New Roman"/>
          <w:szCs w:val="28"/>
        </w:rPr>
        <w:t>Mansour</w:t>
      </w:r>
      <w:r w:rsidRPr="00B23776">
        <w:rPr>
          <w:rFonts w:eastAsia="Times New Roman" w:cs="Times New Roman"/>
          <w:szCs w:val="28"/>
          <w:lang w:val="ru-RU"/>
        </w:rPr>
        <w:t xml:space="preserve"> рассматривают нелинейные модели целевого программирования, в которых учитываются риск-аппетит инвестора, доходность, риск и </w:t>
      </w:r>
      <w:r>
        <w:rPr>
          <w:rFonts w:eastAsia="Times New Roman" w:cs="Times New Roman"/>
          <w:szCs w:val="28"/>
        </w:rPr>
        <w:t>beta</w:t>
      </w:r>
      <w:r w:rsidRPr="00B23776">
        <w:rPr>
          <w:rFonts w:eastAsia="Times New Roman" w:cs="Times New Roman"/>
          <w:szCs w:val="28"/>
          <w:lang w:val="ru-RU"/>
        </w:rPr>
        <w:t>. Достоинство этого подхода состоит в связи между параметрами инвестора и выбором структуры портфеля. Ограничением является сложность настройки модели и необходимость задавать субъективные параметры [1].</w:t>
      </w:r>
    </w:p>
    <w:p w14:paraId="2DD811AE" w14:textId="77777777" w:rsidR="00121129" w:rsidRPr="00AB4C8A" w:rsidRDefault="00E03C62">
      <w:pPr>
        <w:widowControl w:val="0"/>
        <w:spacing w:after="0" w:line="360" w:lineRule="auto"/>
        <w:ind w:firstLine="709"/>
        <w:jc w:val="both"/>
        <w:rPr>
          <w:rFonts w:eastAsia="Times New Roman" w:cs="Times New Roman"/>
          <w:szCs w:val="28"/>
          <w:lang w:val="ru-RU"/>
        </w:rPr>
      </w:pPr>
      <w:r>
        <w:rPr>
          <w:rFonts w:eastAsia="Times New Roman" w:cs="Times New Roman"/>
          <w:szCs w:val="28"/>
        </w:rPr>
        <w:t>Dominguez</w:t>
      </w:r>
      <w:r w:rsidRPr="00B23776">
        <w:rPr>
          <w:rFonts w:eastAsia="Times New Roman" w:cs="Times New Roman"/>
          <w:szCs w:val="28"/>
          <w:lang w:val="ru-RU"/>
        </w:rPr>
        <w:t xml:space="preserve">, </w:t>
      </w:r>
      <w:r>
        <w:rPr>
          <w:rFonts w:eastAsia="Times New Roman" w:cs="Times New Roman"/>
          <w:szCs w:val="28"/>
        </w:rPr>
        <w:t>Shahzad</w:t>
      </w:r>
      <w:r w:rsidRPr="00B23776">
        <w:rPr>
          <w:rFonts w:eastAsia="Times New Roman" w:cs="Times New Roman"/>
          <w:szCs w:val="28"/>
          <w:lang w:val="ru-RU"/>
        </w:rPr>
        <w:t xml:space="preserve"> и </w:t>
      </w:r>
      <w:r>
        <w:rPr>
          <w:rFonts w:eastAsia="Times New Roman" w:cs="Times New Roman"/>
          <w:szCs w:val="28"/>
        </w:rPr>
        <w:t>Hong</w:t>
      </w:r>
      <w:r w:rsidRPr="00B23776">
        <w:rPr>
          <w:rFonts w:eastAsia="Times New Roman" w:cs="Times New Roman"/>
          <w:szCs w:val="28"/>
          <w:lang w:val="ru-RU"/>
        </w:rPr>
        <w:t xml:space="preserve"> связывают диверсификацию с ансамблевым прогнозированием. Несколько прогнозных моделей используются для выбора активов и распределения долей. Подход расширяет традиционный анализ, </w:t>
      </w:r>
      <w:r w:rsidRPr="00B23776">
        <w:rPr>
          <w:rFonts w:eastAsia="Times New Roman" w:cs="Times New Roman"/>
          <w:szCs w:val="28"/>
          <w:lang w:val="ru-RU"/>
        </w:rPr>
        <w:lastRenderedPageBreak/>
        <w:t>однако его результат зависит от качества исходных данных и устойчивости прогноза при изменении рыночного режима [13].</w:t>
      </w:r>
    </w:p>
    <w:p w14:paraId="552AF915" w14:textId="77777777" w:rsidR="00121129" w:rsidRPr="00AB4C8A" w:rsidRDefault="00E03C62">
      <w:pPr>
        <w:widowControl w:val="0"/>
        <w:spacing w:after="0" w:line="360" w:lineRule="auto"/>
        <w:ind w:firstLine="709"/>
        <w:jc w:val="both"/>
        <w:rPr>
          <w:rFonts w:eastAsia="Times New Roman" w:cs="Times New Roman"/>
          <w:szCs w:val="28"/>
          <w:lang w:val="ru-RU"/>
        </w:rPr>
      </w:pPr>
      <w:r>
        <w:rPr>
          <w:rFonts w:eastAsia="Times New Roman" w:cs="Times New Roman"/>
          <w:szCs w:val="28"/>
        </w:rPr>
        <w:t>Lorimer</w:t>
      </w:r>
      <w:r w:rsidRPr="00B23776">
        <w:rPr>
          <w:rFonts w:eastAsia="Times New Roman" w:cs="Times New Roman"/>
          <w:szCs w:val="28"/>
          <w:lang w:val="ru-RU"/>
        </w:rPr>
        <w:t xml:space="preserve">, </w:t>
      </w:r>
      <w:r>
        <w:rPr>
          <w:rFonts w:eastAsia="Times New Roman" w:cs="Times New Roman"/>
          <w:szCs w:val="28"/>
        </w:rPr>
        <w:t>van</w:t>
      </w:r>
      <w:r w:rsidRPr="00B23776">
        <w:rPr>
          <w:rFonts w:eastAsia="Times New Roman" w:cs="Times New Roman"/>
          <w:szCs w:val="28"/>
          <w:lang w:val="ru-RU"/>
        </w:rPr>
        <w:t xml:space="preserve"> </w:t>
      </w:r>
      <w:r>
        <w:rPr>
          <w:rFonts w:eastAsia="Times New Roman" w:cs="Times New Roman"/>
          <w:szCs w:val="28"/>
        </w:rPr>
        <w:t>Schalkwyk</w:t>
      </w:r>
      <w:r w:rsidRPr="00B23776">
        <w:rPr>
          <w:rFonts w:eastAsia="Times New Roman" w:cs="Times New Roman"/>
          <w:szCs w:val="28"/>
          <w:lang w:val="ru-RU"/>
        </w:rPr>
        <w:t xml:space="preserve"> и </w:t>
      </w:r>
      <w:proofErr w:type="spellStart"/>
      <w:r>
        <w:rPr>
          <w:rFonts w:eastAsia="Times New Roman" w:cs="Times New Roman"/>
          <w:szCs w:val="28"/>
        </w:rPr>
        <w:t>Szczygielski</w:t>
      </w:r>
      <w:proofErr w:type="spellEnd"/>
      <w:r w:rsidRPr="00B23776">
        <w:rPr>
          <w:rFonts w:eastAsia="Times New Roman" w:cs="Times New Roman"/>
          <w:szCs w:val="28"/>
          <w:lang w:val="ru-RU"/>
        </w:rPr>
        <w:t xml:space="preserve"> сравнивают альтернативные меры риска с дисперсией. </w:t>
      </w:r>
      <w:proofErr w:type="spellStart"/>
      <w:r w:rsidRPr="00B23776">
        <w:rPr>
          <w:rFonts w:eastAsia="Times New Roman" w:cs="Times New Roman"/>
          <w:szCs w:val="28"/>
          <w:lang w:val="ru-RU"/>
        </w:rPr>
        <w:t>Полуотклонение</w:t>
      </w:r>
      <w:proofErr w:type="spellEnd"/>
      <w:r w:rsidRPr="00B23776">
        <w:rPr>
          <w:rFonts w:eastAsia="Times New Roman" w:cs="Times New Roman"/>
          <w:szCs w:val="28"/>
          <w:lang w:val="ru-RU"/>
        </w:rPr>
        <w:t xml:space="preserve">, </w:t>
      </w:r>
      <w:r>
        <w:rPr>
          <w:rFonts w:eastAsia="Times New Roman" w:cs="Times New Roman"/>
          <w:szCs w:val="28"/>
        </w:rPr>
        <w:t>MAD</w:t>
      </w:r>
      <w:r w:rsidRPr="00B23776">
        <w:rPr>
          <w:rFonts w:eastAsia="Times New Roman" w:cs="Times New Roman"/>
          <w:szCs w:val="28"/>
          <w:lang w:val="ru-RU"/>
        </w:rPr>
        <w:t xml:space="preserve"> и модифицированный </w:t>
      </w:r>
      <w:proofErr w:type="spellStart"/>
      <w:r>
        <w:rPr>
          <w:rFonts w:eastAsia="Times New Roman" w:cs="Times New Roman"/>
          <w:szCs w:val="28"/>
        </w:rPr>
        <w:t>VaR</w:t>
      </w:r>
      <w:proofErr w:type="spellEnd"/>
      <w:r w:rsidRPr="00B23776">
        <w:rPr>
          <w:rFonts w:eastAsia="Times New Roman" w:cs="Times New Roman"/>
          <w:szCs w:val="28"/>
          <w:lang w:val="ru-RU"/>
        </w:rPr>
        <w:t xml:space="preserve"> позволяют точнее рассматривать потери в отдельных рыночных ситуациях. Этот вывод подтверждает необходимость использовать разные показатели для разных этапов анализа [3].</w:t>
      </w:r>
    </w:p>
    <w:p w14:paraId="6CA26F4C" w14:textId="77777777" w:rsidR="00121129" w:rsidRPr="00AB4C8A" w:rsidRDefault="00E03C62">
      <w:pPr>
        <w:widowControl w:val="0"/>
        <w:spacing w:after="0" w:line="360" w:lineRule="auto"/>
        <w:ind w:firstLine="709"/>
        <w:jc w:val="both"/>
        <w:rPr>
          <w:rFonts w:eastAsia="Times New Roman" w:cs="Times New Roman"/>
          <w:szCs w:val="28"/>
          <w:lang w:val="ru-RU"/>
        </w:rPr>
      </w:pPr>
      <w:r>
        <w:rPr>
          <w:rFonts w:eastAsia="Times New Roman" w:cs="Times New Roman"/>
          <w:szCs w:val="28"/>
        </w:rPr>
        <w:t>Schneider</w:t>
      </w:r>
      <w:r w:rsidRPr="00B23776">
        <w:rPr>
          <w:rFonts w:eastAsia="Times New Roman" w:cs="Times New Roman"/>
          <w:szCs w:val="28"/>
          <w:lang w:val="ru-RU"/>
        </w:rPr>
        <w:t xml:space="preserve"> и </w:t>
      </w:r>
      <w:r>
        <w:rPr>
          <w:rFonts w:eastAsia="Times New Roman" w:cs="Times New Roman"/>
          <w:szCs w:val="28"/>
        </w:rPr>
        <w:t>Yilmaz</w:t>
      </w:r>
      <w:r w:rsidRPr="00B23776">
        <w:rPr>
          <w:rFonts w:eastAsia="Times New Roman" w:cs="Times New Roman"/>
          <w:szCs w:val="28"/>
          <w:lang w:val="ru-RU"/>
        </w:rPr>
        <w:t xml:space="preserve"> исследуют формирование портфеля с помощью </w:t>
      </w:r>
      <w:r>
        <w:rPr>
          <w:rFonts w:eastAsia="Times New Roman" w:cs="Times New Roman"/>
          <w:szCs w:val="28"/>
        </w:rPr>
        <w:t>ChatGPT</w:t>
      </w:r>
      <w:r w:rsidRPr="00B23776">
        <w:rPr>
          <w:rFonts w:eastAsia="Times New Roman" w:cs="Times New Roman"/>
          <w:szCs w:val="28"/>
          <w:lang w:val="ru-RU"/>
        </w:rPr>
        <w:t xml:space="preserve"> при различном риск-аппетите. Работа отражает развитие цифровых </w:t>
      </w:r>
      <w:r w:rsidRPr="00F077B9">
        <w:rPr>
          <w:rFonts w:eastAsia="Times New Roman" w:cs="Times New Roman"/>
          <w:szCs w:val="28"/>
          <w:lang w:val="ru-RU"/>
        </w:rPr>
        <w:t>инструментов инвестиционного анализа. Вместе с тем рекомендации алгоритма</w:t>
      </w:r>
      <w:r w:rsidRPr="00B23776">
        <w:rPr>
          <w:rFonts w:eastAsia="Times New Roman" w:cs="Times New Roman"/>
          <w:szCs w:val="28"/>
          <w:lang w:val="ru-RU"/>
        </w:rPr>
        <w:t xml:space="preserve"> должны проверяться специалистом, поскольку результат зависит от качества запроса, данных и заданных ограничений [4].</w:t>
      </w:r>
    </w:p>
    <w:p w14:paraId="2E949A31"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В работах </w:t>
      </w:r>
      <w:proofErr w:type="spellStart"/>
      <w:r>
        <w:rPr>
          <w:rFonts w:eastAsia="Times New Roman" w:cs="Times New Roman"/>
          <w:szCs w:val="28"/>
        </w:rPr>
        <w:t>Marupanthorn</w:t>
      </w:r>
      <w:proofErr w:type="spellEnd"/>
      <w:r w:rsidRPr="00B23776">
        <w:rPr>
          <w:rFonts w:eastAsia="Times New Roman" w:cs="Times New Roman"/>
          <w:szCs w:val="28"/>
          <w:lang w:val="ru-RU"/>
        </w:rPr>
        <w:t xml:space="preserve"> и соавторов, </w:t>
      </w:r>
      <w:r>
        <w:rPr>
          <w:rFonts w:eastAsia="Times New Roman" w:cs="Times New Roman"/>
          <w:szCs w:val="28"/>
        </w:rPr>
        <w:t>Chen</w:t>
      </w:r>
      <w:r w:rsidRPr="00B23776">
        <w:rPr>
          <w:rFonts w:eastAsia="Times New Roman" w:cs="Times New Roman"/>
          <w:szCs w:val="28"/>
          <w:lang w:val="ru-RU"/>
        </w:rPr>
        <w:t xml:space="preserve"> и соавторов углеродные ограничения включаются в задачу портфельной оптимизации. </w:t>
      </w:r>
      <w:r>
        <w:rPr>
          <w:rFonts w:eastAsia="Times New Roman" w:cs="Times New Roman"/>
          <w:szCs w:val="28"/>
        </w:rPr>
        <w:t>ESG</w:t>
      </w:r>
      <w:r w:rsidRPr="00B23776">
        <w:rPr>
          <w:rFonts w:eastAsia="Times New Roman" w:cs="Times New Roman"/>
          <w:szCs w:val="28"/>
          <w:lang w:val="ru-RU"/>
        </w:rPr>
        <w:t>-фактор в этом случае становится измеряемым ограничением, а не только общей характеристикой стратегии. Одновременно возрастает число ограничений, которые нужно учитывать при оценке доходности и риска [2; 6].</w:t>
      </w:r>
    </w:p>
    <w:p w14:paraId="15EC0CB7" w14:textId="77777777" w:rsidR="00121129" w:rsidRPr="00AB4C8A" w:rsidRDefault="00E03C62">
      <w:pPr>
        <w:widowControl w:val="0"/>
        <w:spacing w:after="0" w:line="360" w:lineRule="auto"/>
        <w:ind w:firstLine="709"/>
        <w:jc w:val="both"/>
        <w:rPr>
          <w:rFonts w:eastAsia="Times New Roman" w:cs="Times New Roman"/>
          <w:szCs w:val="28"/>
          <w:lang w:val="ru-RU"/>
        </w:rPr>
      </w:pPr>
      <w:r>
        <w:rPr>
          <w:rFonts w:eastAsia="Times New Roman" w:cs="Times New Roman"/>
          <w:szCs w:val="28"/>
        </w:rPr>
        <w:t>Arrieta</w:t>
      </w:r>
      <w:r w:rsidRPr="00B23776">
        <w:rPr>
          <w:rFonts w:eastAsia="Times New Roman" w:cs="Times New Roman"/>
          <w:szCs w:val="28"/>
          <w:lang w:val="ru-RU"/>
        </w:rPr>
        <w:t>-</w:t>
      </w:r>
      <w:r>
        <w:rPr>
          <w:rFonts w:eastAsia="Times New Roman" w:cs="Times New Roman"/>
          <w:szCs w:val="28"/>
        </w:rPr>
        <w:t>Prieto</w:t>
      </w:r>
      <w:r w:rsidRPr="00B23776">
        <w:rPr>
          <w:rFonts w:eastAsia="Times New Roman" w:cs="Times New Roman"/>
          <w:szCs w:val="28"/>
          <w:lang w:val="ru-RU"/>
        </w:rPr>
        <w:t xml:space="preserve"> и </w:t>
      </w:r>
      <w:r>
        <w:rPr>
          <w:rFonts w:eastAsia="Times New Roman" w:cs="Times New Roman"/>
          <w:szCs w:val="28"/>
        </w:rPr>
        <w:t>Gargallo</w:t>
      </w:r>
      <w:r w:rsidRPr="00B23776">
        <w:rPr>
          <w:rFonts w:eastAsia="Times New Roman" w:cs="Times New Roman"/>
          <w:szCs w:val="28"/>
          <w:lang w:val="ru-RU"/>
        </w:rPr>
        <w:t xml:space="preserve"> с соавторами рассматривают энергетические и низкоуглеродные портфели. В этих исследованиях риск связан с ценами, производственными условиями, климатическими факторами и устойчивостью рынка. Данный подход может быть использован при разработке сценариев, но требует адаптации к конкретному составу активов [17; 18].</w:t>
      </w:r>
    </w:p>
    <w:p w14:paraId="1BB083D4" w14:textId="77777777" w:rsidR="00121129" w:rsidRPr="00AB4C8A" w:rsidRDefault="00E03C62">
      <w:pPr>
        <w:widowControl w:val="0"/>
        <w:spacing w:after="0" w:line="360" w:lineRule="auto"/>
        <w:ind w:firstLine="709"/>
        <w:jc w:val="both"/>
        <w:rPr>
          <w:rFonts w:eastAsia="Times New Roman" w:cs="Times New Roman"/>
          <w:szCs w:val="28"/>
          <w:lang w:val="ru-RU"/>
        </w:rPr>
      </w:pPr>
      <w:r>
        <w:rPr>
          <w:rFonts w:eastAsia="Times New Roman" w:cs="Times New Roman"/>
          <w:szCs w:val="28"/>
        </w:rPr>
        <w:t>Choi</w:t>
      </w:r>
      <w:r w:rsidRPr="00B23776">
        <w:rPr>
          <w:rFonts w:eastAsia="Times New Roman" w:cs="Times New Roman"/>
          <w:szCs w:val="28"/>
          <w:lang w:val="ru-RU"/>
        </w:rPr>
        <w:t xml:space="preserve"> и </w:t>
      </w:r>
      <w:r>
        <w:rPr>
          <w:rFonts w:eastAsia="Times New Roman" w:cs="Times New Roman"/>
          <w:szCs w:val="28"/>
        </w:rPr>
        <w:t>Kim</w:t>
      </w:r>
      <w:r w:rsidRPr="00B23776">
        <w:rPr>
          <w:rFonts w:eastAsia="Times New Roman" w:cs="Times New Roman"/>
          <w:szCs w:val="28"/>
          <w:lang w:val="ru-RU"/>
        </w:rPr>
        <w:t xml:space="preserve">, </w:t>
      </w:r>
      <w:r>
        <w:rPr>
          <w:rFonts w:eastAsia="Times New Roman" w:cs="Times New Roman"/>
          <w:szCs w:val="28"/>
        </w:rPr>
        <w:t>Wojcik</w:t>
      </w:r>
      <w:r w:rsidRPr="00B23776">
        <w:rPr>
          <w:rFonts w:eastAsia="Times New Roman" w:cs="Times New Roman"/>
          <w:szCs w:val="28"/>
          <w:lang w:val="ru-RU"/>
        </w:rPr>
        <w:t xml:space="preserve"> и другие авторы применяют глубокое обучение и </w:t>
      </w:r>
      <w:r>
        <w:rPr>
          <w:rFonts w:eastAsia="Times New Roman" w:cs="Times New Roman"/>
          <w:szCs w:val="28"/>
        </w:rPr>
        <w:t>reinforcement</w:t>
      </w:r>
      <w:r w:rsidRPr="00B23776">
        <w:rPr>
          <w:rFonts w:eastAsia="Times New Roman" w:cs="Times New Roman"/>
          <w:szCs w:val="28"/>
          <w:lang w:val="ru-RU"/>
        </w:rPr>
        <w:t xml:space="preserve"> </w:t>
      </w:r>
      <w:r>
        <w:rPr>
          <w:rFonts w:eastAsia="Times New Roman" w:cs="Times New Roman"/>
          <w:szCs w:val="28"/>
        </w:rPr>
        <w:t>learning</w:t>
      </w:r>
      <w:r w:rsidRPr="00B23776">
        <w:rPr>
          <w:rFonts w:eastAsia="Times New Roman" w:cs="Times New Roman"/>
          <w:szCs w:val="28"/>
          <w:lang w:val="ru-RU"/>
        </w:rPr>
        <w:t xml:space="preserve"> для динамического выбора активов. Их преимущество состоит в обработке большого объема информации и возможности учитывать изменение рынка. Ограничениями являются сложность интерпретации, зависимость от обучающей выборки и риск ошибочного сигнала при смене режима рынка [7; 12].</w:t>
      </w:r>
    </w:p>
    <w:p w14:paraId="5DBE0A18"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Следовательно, применение сложных алгоритмов не устраняет модельный риск. Машинное обучение должно использоваться вместе с базовыми показателями, лимитами и экспертной проверкой. Для настоящего исследования это </w:t>
      </w:r>
      <w:r w:rsidRPr="00B23776">
        <w:rPr>
          <w:rFonts w:eastAsia="Times New Roman" w:cs="Times New Roman"/>
          <w:szCs w:val="28"/>
          <w:lang w:val="ru-RU"/>
        </w:rPr>
        <w:lastRenderedPageBreak/>
        <w:t>означает, что цифровые методы рассматриваются как один из элементов инструментария, а не как самостоятельная система управления.</w:t>
      </w:r>
    </w:p>
    <w:p w14:paraId="5E962FC1" w14:textId="77777777" w:rsidR="00121129" w:rsidRPr="00AB4C8A" w:rsidRDefault="00E03C62">
      <w:pPr>
        <w:widowControl w:val="0"/>
        <w:spacing w:after="0" w:line="360" w:lineRule="auto"/>
        <w:ind w:firstLine="709"/>
        <w:jc w:val="both"/>
        <w:rPr>
          <w:rFonts w:eastAsia="Times New Roman" w:cs="Times New Roman"/>
          <w:szCs w:val="28"/>
          <w:lang w:val="ru-RU"/>
        </w:rPr>
      </w:pPr>
      <w:r>
        <w:rPr>
          <w:rFonts w:eastAsia="Times New Roman" w:cs="Times New Roman"/>
          <w:szCs w:val="28"/>
        </w:rPr>
        <w:t>Salas</w:t>
      </w:r>
      <w:r w:rsidRPr="00B23776">
        <w:rPr>
          <w:rFonts w:eastAsia="Times New Roman" w:cs="Times New Roman"/>
          <w:szCs w:val="28"/>
          <w:lang w:val="ru-RU"/>
        </w:rPr>
        <w:t>-</w:t>
      </w:r>
      <w:r>
        <w:rPr>
          <w:rFonts w:eastAsia="Times New Roman" w:cs="Times New Roman"/>
          <w:szCs w:val="28"/>
        </w:rPr>
        <w:t>Molina</w:t>
      </w:r>
      <w:r w:rsidRPr="00B23776">
        <w:rPr>
          <w:rFonts w:eastAsia="Times New Roman" w:cs="Times New Roman"/>
          <w:szCs w:val="28"/>
          <w:lang w:val="ru-RU"/>
        </w:rPr>
        <w:t xml:space="preserve"> и </w:t>
      </w:r>
      <w:r>
        <w:rPr>
          <w:rFonts w:eastAsia="Times New Roman" w:cs="Times New Roman"/>
          <w:szCs w:val="28"/>
        </w:rPr>
        <w:t>Nin</w:t>
      </w:r>
      <w:r w:rsidRPr="00B23776">
        <w:rPr>
          <w:rFonts w:eastAsia="Times New Roman" w:cs="Times New Roman"/>
          <w:szCs w:val="28"/>
          <w:lang w:val="ru-RU"/>
        </w:rPr>
        <w:t xml:space="preserve">, а также </w:t>
      </w:r>
      <w:r>
        <w:rPr>
          <w:rFonts w:eastAsia="Times New Roman" w:cs="Times New Roman"/>
          <w:szCs w:val="28"/>
        </w:rPr>
        <w:t>Goel</w:t>
      </w:r>
      <w:r w:rsidRPr="00B23776">
        <w:rPr>
          <w:rFonts w:eastAsia="Times New Roman" w:cs="Times New Roman"/>
          <w:szCs w:val="28"/>
          <w:lang w:val="ru-RU"/>
        </w:rPr>
        <w:t xml:space="preserve">, </w:t>
      </w:r>
      <w:r>
        <w:rPr>
          <w:rFonts w:eastAsia="Times New Roman" w:cs="Times New Roman"/>
          <w:szCs w:val="28"/>
        </w:rPr>
        <w:t>Pasricha</w:t>
      </w:r>
      <w:r w:rsidRPr="00B23776">
        <w:rPr>
          <w:rFonts w:eastAsia="Times New Roman" w:cs="Times New Roman"/>
          <w:szCs w:val="28"/>
          <w:lang w:val="ru-RU"/>
        </w:rPr>
        <w:t xml:space="preserve"> и </w:t>
      </w:r>
      <w:proofErr w:type="spellStart"/>
      <w:r>
        <w:rPr>
          <w:rFonts w:eastAsia="Times New Roman" w:cs="Times New Roman"/>
          <w:szCs w:val="28"/>
        </w:rPr>
        <w:t>Kanniainen</w:t>
      </w:r>
      <w:proofErr w:type="spellEnd"/>
      <w:r w:rsidRPr="00B23776">
        <w:rPr>
          <w:rFonts w:eastAsia="Times New Roman" w:cs="Times New Roman"/>
          <w:szCs w:val="28"/>
          <w:lang w:val="ru-RU"/>
        </w:rPr>
        <w:t xml:space="preserve"> изучают снижение шума, устойчивость структуры данных и иерархическое распределение активов. Эти работы имеют значение для анализа формальной диверсификации. Наличие большого числа активов не снижает риск, если их доходности зависят от одних и тех же факторов [9; 10].</w:t>
      </w:r>
    </w:p>
    <w:p w14:paraId="42B2F4AD" w14:textId="77777777" w:rsidR="00121129" w:rsidRPr="00AB4C8A" w:rsidRDefault="00E03C62">
      <w:pPr>
        <w:widowControl w:val="0"/>
        <w:spacing w:after="0" w:line="360" w:lineRule="auto"/>
        <w:ind w:firstLine="709"/>
        <w:jc w:val="both"/>
        <w:rPr>
          <w:rFonts w:eastAsia="Times New Roman" w:cs="Times New Roman"/>
          <w:szCs w:val="28"/>
          <w:lang w:val="ru-RU"/>
        </w:rPr>
      </w:pPr>
      <w:r>
        <w:rPr>
          <w:rFonts w:eastAsia="Times New Roman" w:cs="Times New Roman"/>
          <w:szCs w:val="28"/>
        </w:rPr>
        <w:t>Diaz</w:t>
      </w:r>
      <w:r w:rsidRPr="00B23776">
        <w:rPr>
          <w:rFonts w:eastAsia="Times New Roman" w:cs="Times New Roman"/>
          <w:szCs w:val="28"/>
          <w:lang w:val="ru-RU"/>
        </w:rPr>
        <w:t xml:space="preserve">, </w:t>
      </w:r>
      <w:proofErr w:type="spellStart"/>
      <w:r>
        <w:rPr>
          <w:rFonts w:eastAsia="Times New Roman" w:cs="Times New Roman"/>
          <w:szCs w:val="28"/>
        </w:rPr>
        <w:t>Esparcia</w:t>
      </w:r>
      <w:proofErr w:type="spellEnd"/>
      <w:r w:rsidRPr="00B23776">
        <w:rPr>
          <w:rFonts w:eastAsia="Times New Roman" w:cs="Times New Roman"/>
          <w:szCs w:val="28"/>
          <w:lang w:val="ru-RU"/>
        </w:rPr>
        <w:t xml:space="preserve"> и </w:t>
      </w:r>
      <w:proofErr w:type="spellStart"/>
      <w:r>
        <w:rPr>
          <w:rFonts w:eastAsia="Times New Roman" w:cs="Times New Roman"/>
          <w:szCs w:val="28"/>
        </w:rPr>
        <w:t>Huelamo</w:t>
      </w:r>
      <w:proofErr w:type="spellEnd"/>
      <w:r w:rsidRPr="00B23776">
        <w:rPr>
          <w:rFonts w:eastAsia="Times New Roman" w:cs="Times New Roman"/>
          <w:szCs w:val="28"/>
          <w:lang w:val="ru-RU"/>
        </w:rPr>
        <w:t xml:space="preserve">, </w:t>
      </w:r>
      <w:r>
        <w:rPr>
          <w:rFonts w:eastAsia="Times New Roman" w:cs="Times New Roman"/>
          <w:szCs w:val="28"/>
        </w:rPr>
        <w:t>Qu</w:t>
      </w:r>
      <w:r w:rsidRPr="00B23776">
        <w:rPr>
          <w:rFonts w:eastAsia="Times New Roman" w:cs="Times New Roman"/>
          <w:szCs w:val="28"/>
          <w:lang w:val="ru-RU"/>
        </w:rPr>
        <w:t xml:space="preserve">, </w:t>
      </w:r>
      <w:r>
        <w:rPr>
          <w:rFonts w:eastAsia="Times New Roman" w:cs="Times New Roman"/>
          <w:szCs w:val="28"/>
        </w:rPr>
        <w:t>Aslam</w:t>
      </w:r>
      <w:r w:rsidRPr="00B23776">
        <w:rPr>
          <w:rFonts w:eastAsia="Times New Roman" w:cs="Times New Roman"/>
          <w:szCs w:val="28"/>
          <w:lang w:val="ru-RU"/>
        </w:rPr>
        <w:t xml:space="preserve"> и </w:t>
      </w:r>
      <w:r>
        <w:rPr>
          <w:rFonts w:eastAsia="Times New Roman" w:cs="Times New Roman"/>
          <w:szCs w:val="28"/>
        </w:rPr>
        <w:t>Brahmana</w:t>
      </w:r>
      <w:r w:rsidRPr="00B23776">
        <w:rPr>
          <w:rFonts w:eastAsia="Times New Roman" w:cs="Times New Roman"/>
          <w:szCs w:val="28"/>
          <w:lang w:val="ru-RU"/>
        </w:rPr>
        <w:t xml:space="preserve"> рассматривают хвостовые потери, финансовое заражение и системные взаимосвязи. Их результаты важны для стресс-тестирования, поскольку средняя волатильность не показывает возможный размер потерь при редких событиях [11; 14; 15].</w:t>
      </w:r>
    </w:p>
    <w:p w14:paraId="66616A76" w14:textId="77777777" w:rsidR="00121129" w:rsidRPr="00AB4C8A" w:rsidRDefault="00E03C62">
      <w:pPr>
        <w:widowControl w:val="0"/>
        <w:spacing w:after="0" w:line="360" w:lineRule="auto"/>
        <w:ind w:firstLine="709"/>
        <w:jc w:val="both"/>
        <w:rPr>
          <w:rFonts w:eastAsia="Times New Roman" w:cs="Times New Roman"/>
          <w:szCs w:val="28"/>
          <w:lang w:val="ru-RU"/>
        </w:rPr>
      </w:pPr>
      <w:proofErr w:type="spellStart"/>
      <w:r>
        <w:rPr>
          <w:rFonts w:eastAsia="Times New Roman" w:cs="Times New Roman"/>
          <w:szCs w:val="28"/>
          <w:lang w:val="ru-RU"/>
        </w:rPr>
        <w:t>Библиометрические</w:t>
      </w:r>
      <w:proofErr w:type="spellEnd"/>
      <w:r>
        <w:rPr>
          <w:rFonts w:eastAsia="Times New Roman" w:cs="Times New Roman"/>
          <w:szCs w:val="28"/>
          <w:lang w:val="ru-RU"/>
        </w:rPr>
        <w:t xml:space="preserve"> и обзорные работы, включая исследование </w:t>
      </w:r>
      <w:proofErr w:type="spellStart"/>
      <w:r>
        <w:rPr>
          <w:rFonts w:eastAsia="Times New Roman" w:cs="Times New Roman"/>
          <w:szCs w:val="28"/>
          <w:lang w:val="ru-RU"/>
        </w:rPr>
        <w:t>Mican</w:t>
      </w:r>
      <w:proofErr w:type="spellEnd"/>
      <w:r>
        <w:rPr>
          <w:rFonts w:eastAsia="Times New Roman" w:cs="Times New Roman"/>
          <w:szCs w:val="28"/>
          <w:lang w:val="ru-RU"/>
        </w:rPr>
        <w:t xml:space="preserve"> </w:t>
      </w:r>
      <w:proofErr w:type="spellStart"/>
      <w:r>
        <w:rPr>
          <w:rFonts w:eastAsia="Times New Roman" w:cs="Times New Roman"/>
          <w:szCs w:val="28"/>
          <w:lang w:val="ru-RU"/>
        </w:rPr>
        <w:t>Rincon</w:t>
      </w:r>
      <w:proofErr w:type="spellEnd"/>
      <w:r>
        <w:rPr>
          <w:rFonts w:eastAsia="Times New Roman" w:cs="Times New Roman"/>
          <w:szCs w:val="28"/>
          <w:lang w:val="ru-RU"/>
        </w:rPr>
        <w:t xml:space="preserve"> и соавторов, позволяют определить основные направления научной дискуссии [19]. Вместе с тем они не заменяют методику практического управления портфелем и не устанавливают порядок, по которому результаты исследований должны использоваться аналитиками. В работах </w:t>
      </w:r>
      <w:proofErr w:type="spellStart"/>
      <w:r>
        <w:rPr>
          <w:rFonts w:eastAsia="Times New Roman" w:cs="Times New Roman"/>
          <w:szCs w:val="28"/>
          <w:lang w:val="ru-RU"/>
        </w:rPr>
        <w:t>Fontes</w:t>
      </w:r>
      <w:proofErr w:type="spellEnd"/>
      <w:r>
        <w:rPr>
          <w:rFonts w:eastAsia="Times New Roman" w:cs="Times New Roman"/>
          <w:szCs w:val="28"/>
          <w:lang w:val="ru-RU"/>
        </w:rPr>
        <w:t xml:space="preserve"> и соавторов и </w:t>
      </w:r>
      <w:proofErr w:type="spellStart"/>
      <w:r>
        <w:rPr>
          <w:rFonts w:eastAsia="Times New Roman" w:cs="Times New Roman"/>
          <w:szCs w:val="28"/>
          <w:lang w:val="ru-RU"/>
        </w:rPr>
        <w:t>Padovano</w:t>
      </w:r>
      <w:proofErr w:type="spellEnd"/>
      <w:r>
        <w:rPr>
          <w:rFonts w:eastAsia="Times New Roman" w:cs="Times New Roman"/>
          <w:szCs w:val="28"/>
          <w:lang w:val="ru-RU"/>
        </w:rPr>
        <w:t xml:space="preserve"> и соавторов портфельная логика переносится на управление закупочными категориями и цифровыми двойниками; эти исследования полезны для анализа процедур формирования стратегии, но имеют нефинансовую предметную область [20; 21].</w:t>
      </w:r>
    </w:p>
    <w:p w14:paraId="423E13FF"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Российские публикации представлены менее широко, однако они важны для учета условий отечественного рынка. В них чаще рассматриваются ограничения доступных инструментов, особенности регулирования, внешние ограничения и необходимость адаптации зарубежных методов к российской практике.</w:t>
      </w:r>
    </w:p>
    <w:p w14:paraId="62920363"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Работа Адамяна показывает возможность использования компьютерного зрения при оптимизации инвестиционного портфеля. Данный подход расширяет перечень источников информации, но не решает вопрос регулярного контроля риска и согласования решений между аналитиками [22].</w:t>
      </w:r>
    </w:p>
    <w:p w14:paraId="1698E06F"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Статья </w:t>
      </w:r>
      <w:proofErr w:type="spellStart"/>
      <w:r w:rsidRPr="00B23776">
        <w:rPr>
          <w:rFonts w:eastAsia="Times New Roman" w:cs="Times New Roman"/>
          <w:szCs w:val="28"/>
          <w:lang w:val="ru-RU"/>
        </w:rPr>
        <w:t>Яконовской</w:t>
      </w:r>
      <w:proofErr w:type="spellEnd"/>
      <w:r w:rsidRPr="00B23776">
        <w:rPr>
          <w:rFonts w:eastAsia="Times New Roman" w:cs="Times New Roman"/>
          <w:szCs w:val="28"/>
          <w:lang w:val="ru-RU"/>
        </w:rPr>
        <w:t xml:space="preserve"> посвящена стратегиям и рискам инвестиционного портфеля в 2024 году. Ее значение состоит в рассмотрении портфельных </w:t>
      </w:r>
      <w:r w:rsidRPr="00B23776">
        <w:rPr>
          <w:rFonts w:eastAsia="Times New Roman" w:cs="Times New Roman"/>
          <w:szCs w:val="28"/>
          <w:lang w:val="ru-RU"/>
        </w:rPr>
        <w:lastRenderedPageBreak/>
        <w:t>решений с учетом текущих условий рынка. Однако описание отдельных стратегий не заменяет единого алгоритма оценки риска и выбора управленческого действия [23].</w:t>
      </w:r>
    </w:p>
    <w:p w14:paraId="01E6B248" w14:textId="77777777" w:rsidR="00121129" w:rsidRPr="00AB4C8A" w:rsidRDefault="00E03C62">
      <w:pPr>
        <w:widowControl w:val="0"/>
        <w:spacing w:after="0" w:line="360" w:lineRule="auto"/>
        <w:ind w:firstLine="709"/>
        <w:jc w:val="both"/>
        <w:rPr>
          <w:rFonts w:eastAsia="Times New Roman" w:cs="Times New Roman"/>
          <w:szCs w:val="28"/>
          <w:lang w:val="ru-RU"/>
        </w:rPr>
      </w:pPr>
      <w:proofErr w:type="spellStart"/>
      <w:r w:rsidRPr="00B23776">
        <w:rPr>
          <w:rFonts w:eastAsia="Times New Roman" w:cs="Times New Roman"/>
          <w:szCs w:val="28"/>
          <w:lang w:val="ru-RU"/>
        </w:rPr>
        <w:t>Торкановский</w:t>
      </w:r>
      <w:proofErr w:type="spellEnd"/>
      <w:r w:rsidRPr="00B23776">
        <w:rPr>
          <w:rFonts w:eastAsia="Times New Roman" w:cs="Times New Roman"/>
          <w:szCs w:val="28"/>
          <w:lang w:val="ru-RU"/>
        </w:rPr>
        <w:t xml:space="preserve"> рассматривает финансовый риск-менеджмент в условиях геоэкономической нестабильности. Для темы диссертации важен вывод о том, что внешние шоки способны быстро менять ликвидность, корреляции и допустимый уровень риска. Поэтому внешняя среда должна учитываться в сценарной части методики [16].</w:t>
      </w:r>
    </w:p>
    <w:p w14:paraId="0A52313A" w14:textId="5DF4F8AF"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Критический анализ литературы позволяет выделить две группы результатов. К первой относятся разработанные методы оценки и оптимизации портфеля. Ко второй </w:t>
      </w:r>
      <w:r w:rsidR="009B1F73">
        <w:rPr>
          <w:rFonts w:eastAsia="Times New Roman" w:cs="Times New Roman"/>
          <w:szCs w:val="28"/>
          <w:lang w:val="ru-RU"/>
        </w:rPr>
        <w:t>–</w:t>
      </w:r>
      <w:r w:rsidRPr="00B23776">
        <w:rPr>
          <w:rFonts w:eastAsia="Times New Roman" w:cs="Times New Roman"/>
          <w:szCs w:val="28"/>
          <w:lang w:val="ru-RU"/>
        </w:rPr>
        <w:t xml:space="preserve"> вопросы их практического применения: выбор показателей, порядок обновления данных, установление лимитов и фиксация решений. Именно вторая группа раскрыта в литературе менее подробно.</w:t>
      </w:r>
    </w:p>
    <w:p w14:paraId="0E3732FA"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Научная ниша исследования связана с разработкой интегрированного методического уровня, который объединяет классификацию рисков, систему показателей, сценарный анализ, лимиты, выбор диверсификации или хеджирования и мониторинг. Данный подход соответствует проблеме фрагментарности, сформулированной в теме магистерской диссертации.</w:t>
      </w:r>
    </w:p>
    <w:p w14:paraId="76AB4E11" w14:textId="77777777" w:rsidR="00121129" w:rsidRPr="00AB4C8A" w:rsidRDefault="00E03C62" w:rsidP="009B1F73">
      <w:pPr>
        <w:pStyle w:val="affa"/>
      </w:pPr>
      <w:bookmarkStart w:id="6" w:name="_sto_toc_6"/>
      <w:r w:rsidRPr="00B23776">
        <w:lastRenderedPageBreak/>
        <w:t>2 Анализ действующей практики управления рисками инвестиционного портфеля и диагностика проблем фрагментарности</w:t>
      </w:r>
      <w:bookmarkEnd w:id="6"/>
    </w:p>
    <w:p w14:paraId="11AD1269" w14:textId="77777777" w:rsidR="00121129" w:rsidRPr="00AB4C8A" w:rsidRDefault="00E03C62" w:rsidP="009B1F73">
      <w:pPr>
        <w:pStyle w:val="aff8"/>
      </w:pPr>
      <w:bookmarkStart w:id="7" w:name="_sto_toc_7"/>
      <w:r w:rsidRPr="00B23776">
        <w:t>2.1 Характеристика объекта апробации и структура портфеля</w:t>
      </w:r>
      <w:bookmarkEnd w:id="7"/>
    </w:p>
    <w:p w14:paraId="37A7F367"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Объектом апробации является модельный инвестиционный портфель, включающий акции, облигации различного кредитного качества и инструменты денежного рынка. Такой состав позволяет рассмотреть рыночный, процентный, кредитный, </w:t>
      </w:r>
      <w:proofErr w:type="spellStart"/>
      <w:r w:rsidRPr="00B23776">
        <w:rPr>
          <w:rFonts w:eastAsia="Times New Roman" w:cs="Times New Roman"/>
          <w:szCs w:val="28"/>
          <w:lang w:val="ru-RU"/>
        </w:rPr>
        <w:t>ликвидностный</w:t>
      </w:r>
      <w:proofErr w:type="spellEnd"/>
      <w:r w:rsidRPr="00B23776">
        <w:rPr>
          <w:rFonts w:eastAsia="Times New Roman" w:cs="Times New Roman"/>
          <w:szCs w:val="28"/>
          <w:lang w:val="ru-RU"/>
        </w:rPr>
        <w:t xml:space="preserve"> и концентрационный риски в одной исследовательской постановке.</w:t>
      </w:r>
    </w:p>
    <w:p w14:paraId="4131852B"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Акции формируют потенциал роста, но обладают высокой чувствительностью к изменению рынка. Облигации определяют процентный и кредитный профиль портфеля. Денежные инструменты поддерживают ликвидность и могут использоваться как защитная часть. Доли активов в апробации являются модельными и изменяются при проверке сценариев.</w:t>
      </w:r>
    </w:p>
    <w:p w14:paraId="23CE98CA"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Выбранный объект соответствует проблемной ситуации исследования. В исходной практике применяются волатильность, </w:t>
      </w:r>
      <w:r>
        <w:rPr>
          <w:rFonts w:eastAsia="Times New Roman" w:cs="Times New Roman"/>
          <w:szCs w:val="28"/>
        </w:rPr>
        <w:t>beta</w:t>
      </w:r>
      <w:r w:rsidRPr="00B23776">
        <w:rPr>
          <w:rFonts w:eastAsia="Times New Roman" w:cs="Times New Roman"/>
          <w:szCs w:val="28"/>
          <w:lang w:val="ru-RU"/>
        </w:rPr>
        <w:t xml:space="preserve">, ковариации, рейтинги, </w:t>
      </w:r>
      <w:proofErr w:type="spellStart"/>
      <w:r>
        <w:rPr>
          <w:rFonts w:eastAsia="Times New Roman" w:cs="Times New Roman"/>
          <w:szCs w:val="28"/>
        </w:rPr>
        <w:t>VaR</w:t>
      </w:r>
      <w:proofErr w:type="spellEnd"/>
      <w:r w:rsidRPr="00B23776">
        <w:rPr>
          <w:rFonts w:eastAsia="Times New Roman" w:cs="Times New Roman"/>
          <w:szCs w:val="28"/>
          <w:lang w:val="ru-RU"/>
        </w:rPr>
        <w:t xml:space="preserve"> и стресс-тесты, однако отсутствует общий порядок связи расчетов с решениями по диверсификации и хеджированию. Поэтому портфель может быть использован для сравнения базового и унифицированного контуров. Структура модельного инвестиционного портфеля представлена в таблице 2.1.</w:t>
      </w:r>
    </w:p>
    <w:p w14:paraId="47C852E0" w14:textId="77777777" w:rsidR="00121129" w:rsidRPr="00AB4C8A" w:rsidRDefault="00E03C62" w:rsidP="009B1F73">
      <w:pPr>
        <w:pStyle w:val="affc"/>
        <w:spacing w:after="120"/>
      </w:pPr>
      <w:r w:rsidRPr="00B23776">
        <w:t>Таблица 2.1 – Структура модельного инвестиционного портфеля для апробации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3742"/>
        <w:gridCol w:w="3628"/>
      </w:tblGrid>
      <w:tr w:rsidR="00121129" w:rsidRPr="009B1F73" w14:paraId="312D87B4" w14:textId="77777777" w:rsidTr="009B1F73">
        <w:trPr>
          <w:cantSplit/>
          <w:tblHeader/>
          <w:jc w:val="center"/>
        </w:trPr>
        <w:tc>
          <w:tcPr>
            <w:tcW w:w="2438" w:type="dxa"/>
            <w:tcMar>
              <w:top w:w="80" w:type="dxa"/>
              <w:left w:w="120" w:type="dxa"/>
              <w:bottom w:w="80" w:type="dxa"/>
              <w:right w:w="120" w:type="dxa"/>
            </w:tcMar>
            <w:vAlign w:val="center"/>
          </w:tcPr>
          <w:p w14:paraId="6B203EE1"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Класс</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активов</w:t>
            </w:r>
            <w:proofErr w:type="spellEnd"/>
          </w:p>
        </w:tc>
        <w:tc>
          <w:tcPr>
            <w:tcW w:w="3742" w:type="dxa"/>
            <w:tcMar>
              <w:top w:w="80" w:type="dxa"/>
              <w:left w:w="120" w:type="dxa"/>
              <w:bottom w:w="80" w:type="dxa"/>
              <w:right w:w="120" w:type="dxa"/>
            </w:tcMar>
            <w:vAlign w:val="center"/>
          </w:tcPr>
          <w:p w14:paraId="4F191FF8"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Роль</w:t>
            </w:r>
            <w:proofErr w:type="spellEnd"/>
            <w:r w:rsidRPr="009B1F73">
              <w:rPr>
                <w:rFonts w:eastAsia="Times New Roman" w:cs="Times New Roman"/>
                <w:bCs/>
                <w:color w:val="000000"/>
                <w:sz w:val="24"/>
                <w:szCs w:val="24"/>
              </w:rPr>
              <w:t xml:space="preserve"> в </w:t>
            </w:r>
            <w:proofErr w:type="spellStart"/>
            <w:r w:rsidRPr="009B1F73">
              <w:rPr>
                <w:rFonts w:eastAsia="Times New Roman" w:cs="Times New Roman"/>
                <w:bCs/>
                <w:color w:val="000000"/>
                <w:sz w:val="24"/>
                <w:szCs w:val="24"/>
              </w:rPr>
              <w:t>портфеле</w:t>
            </w:r>
            <w:proofErr w:type="spellEnd"/>
          </w:p>
        </w:tc>
        <w:tc>
          <w:tcPr>
            <w:tcW w:w="3628" w:type="dxa"/>
            <w:tcMar>
              <w:top w:w="80" w:type="dxa"/>
              <w:left w:w="120" w:type="dxa"/>
              <w:bottom w:w="80" w:type="dxa"/>
              <w:right w:w="120" w:type="dxa"/>
            </w:tcMar>
            <w:vAlign w:val="center"/>
          </w:tcPr>
          <w:p w14:paraId="11EC4C08"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Ключевые</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риски</w:t>
            </w:r>
            <w:proofErr w:type="spellEnd"/>
          </w:p>
        </w:tc>
      </w:tr>
      <w:tr w:rsidR="00121129" w:rsidRPr="0032530F" w14:paraId="19CCE9E8" w14:textId="77777777" w:rsidTr="009B1F73">
        <w:trPr>
          <w:cantSplit/>
          <w:jc w:val="center"/>
        </w:trPr>
        <w:tc>
          <w:tcPr>
            <w:tcW w:w="2438" w:type="dxa"/>
            <w:tcMar>
              <w:top w:w="80" w:type="dxa"/>
              <w:left w:w="120" w:type="dxa"/>
              <w:bottom w:w="80" w:type="dxa"/>
              <w:right w:w="120" w:type="dxa"/>
            </w:tcMar>
            <w:vAlign w:val="center"/>
          </w:tcPr>
          <w:p w14:paraId="3ABBD218"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Акции</w:t>
            </w:r>
            <w:proofErr w:type="spellEnd"/>
          </w:p>
        </w:tc>
        <w:tc>
          <w:tcPr>
            <w:tcW w:w="3742" w:type="dxa"/>
            <w:tcMar>
              <w:top w:w="80" w:type="dxa"/>
              <w:left w:w="120" w:type="dxa"/>
              <w:bottom w:w="80" w:type="dxa"/>
              <w:right w:w="120" w:type="dxa"/>
            </w:tcMar>
            <w:vAlign w:val="center"/>
          </w:tcPr>
          <w:p w14:paraId="5277A40E"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Источник рыночной доходности и ценовой волатильности</w:t>
            </w:r>
          </w:p>
        </w:tc>
        <w:tc>
          <w:tcPr>
            <w:tcW w:w="3628" w:type="dxa"/>
            <w:tcMar>
              <w:top w:w="80" w:type="dxa"/>
              <w:left w:w="120" w:type="dxa"/>
              <w:bottom w:w="80" w:type="dxa"/>
              <w:right w:w="120" w:type="dxa"/>
            </w:tcMar>
            <w:vAlign w:val="center"/>
          </w:tcPr>
          <w:p w14:paraId="52DD95E9"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Рыночный, систематический, секторный и корреляционный риск</w:t>
            </w:r>
          </w:p>
        </w:tc>
      </w:tr>
      <w:tr w:rsidR="00121129" w:rsidRPr="0032530F" w14:paraId="35822FC7" w14:textId="77777777" w:rsidTr="009B1F73">
        <w:trPr>
          <w:cantSplit/>
          <w:jc w:val="center"/>
        </w:trPr>
        <w:tc>
          <w:tcPr>
            <w:tcW w:w="2438" w:type="dxa"/>
            <w:tcMar>
              <w:top w:w="80" w:type="dxa"/>
              <w:left w:w="120" w:type="dxa"/>
              <w:bottom w:w="80" w:type="dxa"/>
              <w:right w:w="120" w:type="dxa"/>
            </w:tcMar>
            <w:vAlign w:val="center"/>
          </w:tcPr>
          <w:p w14:paraId="65363016"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Облигации</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высокого</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кредитного</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качества</w:t>
            </w:r>
            <w:proofErr w:type="spellEnd"/>
          </w:p>
        </w:tc>
        <w:tc>
          <w:tcPr>
            <w:tcW w:w="3742" w:type="dxa"/>
            <w:tcMar>
              <w:top w:w="80" w:type="dxa"/>
              <w:left w:w="120" w:type="dxa"/>
              <w:bottom w:w="80" w:type="dxa"/>
              <w:right w:w="120" w:type="dxa"/>
            </w:tcMar>
            <w:vAlign w:val="center"/>
          </w:tcPr>
          <w:p w14:paraId="6ADFAEC8"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Стабилизация доходности и снижение общей волатильности</w:t>
            </w:r>
          </w:p>
        </w:tc>
        <w:tc>
          <w:tcPr>
            <w:tcW w:w="3628" w:type="dxa"/>
            <w:tcMar>
              <w:top w:w="80" w:type="dxa"/>
              <w:left w:w="120" w:type="dxa"/>
              <w:bottom w:w="80" w:type="dxa"/>
              <w:right w:w="120" w:type="dxa"/>
            </w:tcMar>
            <w:vAlign w:val="center"/>
          </w:tcPr>
          <w:p w14:paraId="224112FD"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Процентный риск, риск кредитного спреда, риск переоценки</w:t>
            </w:r>
          </w:p>
        </w:tc>
      </w:tr>
      <w:tr w:rsidR="00121129" w:rsidRPr="0032530F" w14:paraId="79AD84D9" w14:textId="77777777" w:rsidTr="009B1F73">
        <w:trPr>
          <w:cantSplit/>
          <w:jc w:val="center"/>
        </w:trPr>
        <w:tc>
          <w:tcPr>
            <w:tcW w:w="2438" w:type="dxa"/>
            <w:tcMar>
              <w:top w:w="80" w:type="dxa"/>
              <w:left w:w="120" w:type="dxa"/>
              <w:bottom w:w="80" w:type="dxa"/>
              <w:right w:w="120" w:type="dxa"/>
            </w:tcMar>
            <w:vAlign w:val="center"/>
          </w:tcPr>
          <w:p w14:paraId="5E6FC427"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Облигации более низкого кредитного качества</w:t>
            </w:r>
          </w:p>
        </w:tc>
        <w:tc>
          <w:tcPr>
            <w:tcW w:w="3742" w:type="dxa"/>
            <w:tcMar>
              <w:top w:w="80" w:type="dxa"/>
              <w:left w:w="120" w:type="dxa"/>
              <w:bottom w:w="80" w:type="dxa"/>
              <w:right w:w="120" w:type="dxa"/>
            </w:tcMar>
            <w:vAlign w:val="center"/>
          </w:tcPr>
          <w:p w14:paraId="00C4E45D"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Повышение</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доходности</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портфеля</w:t>
            </w:r>
            <w:proofErr w:type="spellEnd"/>
          </w:p>
        </w:tc>
        <w:tc>
          <w:tcPr>
            <w:tcW w:w="3628" w:type="dxa"/>
            <w:tcMar>
              <w:top w:w="80" w:type="dxa"/>
              <w:left w:w="120" w:type="dxa"/>
              <w:bottom w:w="80" w:type="dxa"/>
              <w:right w:w="120" w:type="dxa"/>
            </w:tcMar>
            <w:vAlign w:val="center"/>
          </w:tcPr>
          <w:p w14:paraId="1C796F3F"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Кредитный риск, риск ликвидности, риск дефолта или снижения рейтинга</w:t>
            </w:r>
          </w:p>
        </w:tc>
      </w:tr>
      <w:tr w:rsidR="00121129" w:rsidRPr="0032530F" w14:paraId="2E95E71D" w14:textId="77777777" w:rsidTr="009B1F73">
        <w:trPr>
          <w:cantSplit/>
          <w:jc w:val="center"/>
        </w:trPr>
        <w:tc>
          <w:tcPr>
            <w:tcW w:w="2438" w:type="dxa"/>
            <w:tcMar>
              <w:top w:w="80" w:type="dxa"/>
              <w:left w:w="120" w:type="dxa"/>
              <w:bottom w:w="80" w:type="dxa"/>
              <w:right w:w="120" w:type="dxa"/>
            </w:tcMar>
            <w:vAlign w:val="center"/>
          </w:tcPr>
          <w:p w14:paraId="10CE70AF"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Инструменты</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денежного</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рынка</w:t>
            </w:r>
            <w:proofErr w:type="spellEnd"/>
          </w:p>
        </w:tc>
        <w:tc>
          <w:tcPr>
            <w:tcW w:w="3742" w:type="dxa"/>
            <w:tcMar>
              <w:top w:w="80" w:type="dxa"/>
              <w:left w:w="120" w:type="dxa"/>
              <w:bottom w:w="80" w:type="dxa"/>
              <w:right w:w="120" w:type="dxa"/>
            </w:tcMar>
            <w:vAlign w:val="center"/>
          </w:tcPr>
          <w:p w14:paraId="5AC59E66"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Ликвидный буфер для ребалансировки и снижения просадки</w:t>
            </w:r>
          </w:p>
        </w:tc>
        <w:tc>
          <w:tcPr>
            <w:tcW w:w="3628" w:type="dxa"/>
            <w:tcMar>
              <w:top w:w="80" w:type="dxa"/>
              <w:left w:w="120" w:type="dxa"/>
              <w:bottom w:w="80" w:type="dxa"/>
              <w:right w:w="120" w:type="dxa"/>
            </w:tcMar>
            <w:vAlign w:val="center"/>
          </w:tcPr>
          <w:p w14:paraId="6A5A8B10"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Инфляционный риск, риск упущенной доходности, риск изменения краткосрочных ставок</w:t>
            </w:r>
          </w:p>
        </w:tc>
      </w:tr>
    </w:tbl>
    <w:p w14:paraId="47D01881" w14:textId="77777777" w:rsidR="00121129" w:rsidRPr="00AB4C8A" w:rsidRDefault="00F077B9">
      <w:pPr>
        <w:widowControl w:val="0"/>
        <w:spacing w:after="0" w:line="360" w:lineRule="auto"/>
        <w:ind w:firstLine="709"/>
        <w:jc w:val="both"/>
        <w:rPr>
          <w:rFonts w:eastAsia="Times New Roman" w:cs="Times New Roman"/>
          <w:szCs w:val="28"/>
          <w:lang w:val="ru-RU"/>
        </w:rPr>
      </w:pPr>
      <w:r w:rsidRPr="009054DA">
        <w:rPr>
          <w:rFonts w:eastAsia="Times New Roman" w:cs="Times New Roman"/>
          <w:szCs w:val="28"/>
          <w:lang w:val="ru-RU"/>
        </w:rPr>
        <w:lastRenderedPageBreak/>
        <w:t>Состав портфеля позволяет проверить работу методики по нескольким группам риска и сопоставить результаты для разных классов активов.</w:t>
      </w:r>
    </w:p>
    <w:p w14:paraId="1548E5F5" w14:textId="77777777" w:rsidR="00121129" w:rsidRPr="00AB4C8A" w:rsidRDefault="00E03C62" w:rsidP="009B1F73">
      <w:pPr>
        <w:pStyle w:val="aff8"/>
      </w:pPr>
      <w:bookmarkStart w:id="8" w:name="_sto_toc_8"/>
      <w:r w:rsidRPr="00B23776">
        <w:t>2.2 Система показателей и анализ текущих методов оценки</w:t>
      </w:r>
      <w:bookmarkEnd w:id="8"/>
    </w:p>
    <w:p w14:paraId="28AA9A5C" w14:textId="5AE8611A" w:rsidR="00121129" w:rsidRPr="00AB4C8A" w:rsidRDefault="00E03C62">
      <w:pPr>
        <w:widowControl w:val="0"/>
        <w:spacing w:after="0" w:line="360" w:lineRule="auto"/>
        <w:ind w:firstLine="709"/>
        <w:jc w:val="both"/>
        <w:rPr>
          <w:rFonts w:eastAsia="Times New Roman" w:cs="Times New Roman"/>
          <w:szCs w:val="28"/>
          <w:lang w:val="ru-RU"/>
        </w:rPr>
      </w:pPr>
      <w:r w:rsidRPr="009E0609">
        <w:rPr>
          <w:rFonts w:eastAsia="Times New Roman" w:cs="Times New Roman"/>
          <w:szCs w:val="28"/>
          <w:lang w:val="ru-RU"/>
        </w:rPr>
        <w:t>Для анализа действующей практики сформирована система показателей, которая охватывает риск, доходность, диверсификацию, кредитное качество и организационную согласованность. Показатели распределены по задачам управления.</w:t>
      </w:r>
    </w:p>
    <w:p w14:paraId="33F0714C"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В базовом контуре используются волатильность, </w:t>
      </w:r>
      <w:r>
        <w:rPr>
          <w:rFonts w:eastAsia="Times New Roman" w:cs="Times New Roman"/>
          <w:szCs w:val="28"/>
        </w:rPr>
        <w:t>beta</w:t>
      </w:r>
      <w:r w:rsidRPr="00B23776">
        <w:rPr>
          <w:rFonts w:eastAsia="Times New Roman" w:cs="Times New Roman"/>
          <w:szCs w:val="28"/>
          <w:lang w:val="ru-RU"/>
        </w:rPr>
        <w:t xml:space="preserve">-коэффициенты, ковариации, кредитные рейтинги, </w:t>
      </w:r>
      <w:proofErr w:type="spellStart"/>
      <w:r>
        <w:rPr>
          <w:rFonts w:eastAsia="Times New Roman" w:cs="Times New Roman"/>
          <w:szCs w:val="28"/>
        </w:rPr>
        <w:t>VaR</w:t>
      </w:r>
      <w:proofErr w:type="spellEnd"/>
      <w:r w:rsidRPr="00B23776">
        <w:rPr>
          <w:rFonts w:eastAsia="Times New Roman" w:cs="Times New Roman"/>
          <w:szCs w:val="28"/>
          <w:lang w:val="ru-RU"/>
        </w:rPr>
        <w:t xml:space="preserve"> и стресс-тесты. Они позволяют оценивать отдельные стороны риска. Однако отдельный показатель не отвечает на вопрос о выборе действия. Например, превышение </w:t>
      </w:r>
      <w:proofErr w:type="spellStart"/>
      <w:r>
        <w:rPr>
          <w:rFonts w:eastAsia="Times New Roman" w:cs="Times New Roman"/>
          <w:szCs w:val="28"/>
        </w:rPr>
        <w:t>VaR</w:t>
      </w:r>
      <w:proofErr w:type="spellEnd"/>
      <w:r w:rsidRPr="00B23776">
        <w:rPr>
          <w:rFonts w:eastAsia="Times New Roman" w:cs="Times New Roman"/>
          <w:szCs w:val="28"/>
          <w:lang w:val="ru-RU"/>
        </w:rPr>
        <w:t xml:space="preserve"> требует установления причины и определения мер по изменению портфеля [3; 5].</w:t>
      </w:r>
    </w:p>
    <w:p w14:paraId="2A373B17" w14:textId="19B63B1C"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Связь показателя с решением имеет практическое значение. Рост волатильности требует проверки лимитов и сценария, изменение </w:t>
      </w:r>
      <w:r>
        <w:rPr>
          <w:rFonts w:eastAsia="Times New Roman" w:cs="Times New Roman"/>
          <w:szCs w:val="28"/>
        </w:rPr>
        <w:t>beta</w:t>
      </w:r>
      <w:r w:rsidRPr="00B23776">
        <w:rPr>
          <w:rFonts w:eastAsia="Times New Roman" w:cs="Times New Roman"/>
          <w:szCs w:val="28"/>
          <w:lang w:val="ru-RU"/>
        </w:rPr>
        <w:t xml:space="preserve"> </w:t>
      </w:r>
      <w:r w:rsidR="009B1F73">
        <w:rPr>
          <w:rFonts w:eastAsia="Times New Roman" w:cs="Times New Roman"/>
          <w:szCs w:val="28"/>
          <w:lang w:val="ru-RU"/>
        </w:rPr>
        <w:t>–</w:t>
      </w:r>
      <w:r w:rsidRPr="00B23776">
        <w:rPr>
          <w:rFonts w:eastAsia="Times New Roman" w:cs="Times New Roman"/>
          <w:szCs w:val="28"/>
          <w:lang w:val="ru-RU"/>
        </w:rPr>
        <w:t xml:space="preserve"> оценки рыночной чувствительности, ухудшение рейтинга </w:t>
      </w:r>
      <w:r w:rsidR="009B1F73">
        <w:rPr>
          <w:rFonts w:eastAsia="Times New Roman" w:cs="Times New Roman"/>
          <w:szCs w:val="28"/>
          <w:lang w:val="ru-RU"/>
        </w:rPr>
        <w:t>–</w:t>
      </w:r>
      <w:r w:rsidRPr="00B23776">
        <w:rPr>
          <w:rFonts w:eastAsia="Times New Roman" w:cs="Times New Roman"/>
          <w:szCs w:val="28"/>
          <w:lang w:val="ru-RU"/>
        </w:rPr>
        <w:t xml:space="preserve"> ограничения кредитной позиции, снижение ликвидности </w:t>
      </w:r>
      <w:r w:rsidR="009B1F73">
        <w:rPr>
          <w:rFonts w:eastAsia="Times New Roman" w:cs="Times New Roman"/>
          <w:szCs w:val="28"/>
          <w:lang w:val="ru-RU"/>
        </w:rPr>
        <w:t>–</w:t>
      </w:r>
      <w:r w:rsidRPr="00B23776">
        <w:rPr>
          <w:rFonts w:eastAsia="Times New Roman" w:cs="Times New Roman"/>
          <w:szCs w:val="28"/>
          <w:lang w:val="ru-RU"/>
        </w:rPr>
        <w:t xml:space="preserve"> проверки возможности ребалансировки. В этом случае система показателей становится частью регламента. Система показателей для анализа риска приведена в таблице 2.2.</w:t>
      </w:r>
    </w:p>
    <w:p w14:paraId="23E2A9F7" w14:textId="77777777" w:rsidR="00121129" w:rsidRPr="00AB4C8A" w:rsidRDefault="00E03C62" w:rsidP="009B1F73">
      <w:pPr>
        <w:pStyle w:val="affc"/>
        <w:spacing w:after="120"/>
      </w:pPr>
      <w:r w:rsidRPr="00B23776">
        <w:t>Таблица 2.2 – Система показателей для анализа риска инвестиционного портфеля</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4082"/>
        <w:gridCol w:w="3458"/>
      </w:tblGrid>
      <w:tr w:rsidR="00121129" w:rsidRPr="009B1F73" w14:paraId="607EC1CC" w14:textId="77777777" w:rsidTr="0032530F">
        <w:trPr>
          <w:cantSplit/>
          <w:tblHeader/>
          <w:jc w:val="center"/>
        </w:trPr>
        <w:tc>
          <w:tcPr>
            <w:tcW w:w="2131" w:type="dxa"/>
            <w:tcMar>
              <w:top w:w="80" w:type="dxa"/>
              <w:left w:w="120" w:type="dxa"/>
              <w:bottom w:w="80" w:type="dxa"/>
              <w:right w:w="120" w:type="dxa"/>
            </w:tcMar>
            <w:vAlign w:val="center"/>
          </w:tcPr>
          <w:p w14:paraId="499F1C95"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Блок</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оценки</w:t>
            </w:r>
            <w:proofErr w:type="spellEnd"/>
          </w:p>
        </w:tc>
        <w:tc>
          <w:tcPr>
            <w:tcW w:w="4082" w:type="dxa"/>
            <w:tcMar>
              <w:top w:w="80" w:type="dxa"/>
              <w:left w:w="120" w:type="dxa"/>
              <w:bottom w:w="80" w:type="dxa"/>
              <w:right w:w="120" w:type="dxa"/>
            </w:tcMar>
            <w:vAlign w:val="center"/>
          </w:tcPr>
          <w:p w14:paraId="78184E47"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Показатели</w:t>
            </w:r>
            <w:proofErr w:type="spellEnd"/>
          </w:p>
        </w:tc>
        <w:tc>
          <w:tcPr>
            <w:tcW w:w="3458" w:type="dxa"/>
            <w:tcMar>
              <w:top w:w="80" w:type="dxa"/>
              <w:left w:w="120" w:type="dxa"/>
              <w:bottom w:w="80" w:type="dxa"/>
              <w:right w:w="120" w:type="dxa"/>
            </w:tcMar>
            <w:vAlign w:val="center"/>
          </w:tcPr>
          <w:p w14:paraId="577FE4F0"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Назначение</w:t>
            </w:r>
            <w:proofErr w:type="spellEnd"/>
          </w:p>
        </w:tc>
      </w:tr>
      <w:tr w:rsidR="00121129" w:rsidRPr="009B1F73" w14:paraId="19C4C7FB" w14:textId="77777777" w:rsidTr="0032530F">
        <w:trPr>
          <w:cantSplit/>
          <w:jc w:val="center"/>
        </w:trPr>
        <w:tc>
          <w:tcPr>
            <w:tcW w:w="2131" w:type="dxa"/>
            <w:tcMar>
              <w:top w:w="80" w:type="dxa"/>
              <w:left w:w="120" w:type="dxa"/>
              <w:bottom w:w="80" w:type="dxa"/>
              <w:right w:w="120" w:type="dxa"/>
            </w:tcMar>
            <w:vAlign w:val="center"/>
          </w:tcPr>
          <w:p w14:paraId="79DD9D8D"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Доходность</w:t>
            </w:r>
            <w:proofErr w:type="spellEnd"/>
          </w:p>
        </w:tc>
        <w:tc>
          <w:tcPr>
            <w:tcW w:w="4082" w:type="dxa"/>
            <w:tcMar>
              <w:top w:w="80" w:type="dxa"/>
              <w:left w:w="120" w:type="dxa"/>
              <w:bottom w:w="80" w:type="dxa"/>
              <w:right w:w="120" w:type="dxa"/>
            </w:tcMar>
            <w:vAlign w:val="center"/>
          </w:tcPr>
          <w:p w14:paraId="45F22062"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Средняя доходность, накопленная доходность, отклонение от бенчмарка</w:t>
            </w:r>
          </w:p>
        </w:tc>
        <w:tc>
          <w:tcPr>
            <w:tcW w:w="3458" w:type="dxa"/>
            <w:tcMar>
              <w:top w:w="80" w:type="dxa"/>
              <w:left w:w="120" w:type="dxa"/>
              <w:bottom w:w="80" w:type="dxa"/>
              <w:right w:w="120" w:type="dxa"/>
            </w:tcMar>
            <w:vAlign w:val="center"/>
          </w:tcPr>
          <w:p w14:paraId="74D13AAC"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Оценить</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финансовый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результат</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портфеля</w:t>
            </w:r>
            <w:proofErr w:type="spellEnd"/>
          </w:p>
        </w:tc>
      </w:tr>
      <w:tr w:rsidR="00121129" w:rsidRPr="0032530F" w14:paraId="051C6B2E" w14:textId="77777777" w:rsidTr="0032530F">
        <w:trPr>
          <w:cantSplit/>
          <w:jc w:val="center"/>
        </w:trPr>
        <w:tc>
          <w:tcPr>
            <w:tcW w:w="2131" w:type="dxa"/>
            <w:tcMar>
              <w:top w:w="80" w:type="dxa"/>
              <w:left w:w="120" w:type="dxa"/>
              <w:bottom w:w="80" w:type="dxa"/>
              <w:right w:w="120" w:type="dxa"/>
            </w:tcMar>
            <w:vAlign w:val="center"/>
          </w:tcPr>
          <w:p w14:paraId="2D38A673"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Рыночный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риск</w:t>
            </w:r>
            <w:proofErr w:type="spellEnd"/>
          </w:p>
        </w:tc>
        <w:tc>
          <w:tcPr>
            <w:tcW w:w="4082" w:type="dxa"/>
            <w:tcMar>
              <w:top w:w="80" w:type="dxa"/>
              <w:left w:w="120" w:type="dxa"/>
              <w:bottom w:w="80" w:type="dxa"/>
              <w:right w:w="120" w:type="dxa"/>
            </w:tcMar>
            <w:vAlign w:val="center"/>
          </w:tcPr>
          <w:p w14:paraId="71566171"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Волатильность, ковариации, корреляции, максимальная просадка</w:t>
            </w:r>
          </w:p>
        </w:tc>
        <w:tc>
          <w:tcPr>
            <w:tcW w:w="3458" w:type="dxa"/>
            <w:tcMar>
              <w:top w:w="80" w:type="dxa"/>
              <w:left w:w="120" w:type="dxa"/>
              <w:bottom w:w="80" w:type="dxa"/>
              <w:right w:w="120" w:type="dxa"/>
            </w:tcMar>
            <w:vAlign w:val="center"/>
          </w:tcPr>
          <w:p w14:paraId="19E519D3"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Понять изменчивость стоимости и качество диверсификации</w:t>
            </w:r>
          </w:p>
        </w:tc>
      </w:tr>
      <w:tr w:rsidR="00121129" w:rsidRPr="0032530F" w14:paraId="2C903591" w14:textId="77777777" w:rsidTr="0032530F">
        <w:trPr>
          <w:cantSplit/>
          <w:jc w:val="center"/>
        </w:trPr>
        <w:tc>
          <w:tcPr>
            <w:tcW w:w="2131" w:type="dxa"/>
            <w:tcMar>
              <w:top w:w="80" w:type="dxa"/>
              <w:left w:w="120" w:type="dxa"/>
              <w:bottom w:w="80" w:type="dxa"/>
              <w:right w:w="120" w:type="dxa"/>
            </w:tcMar>
            <w:vAlign w:val="center"/>
          </w:tcPr>
          <w:p w14:paraId="2E4867AE"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Систематический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риск</w:t>
            </w:r>
            <w:proofErr w:type="spellEnd"/>
          </w:p>
        </w:tc>
        <w:tc>
          <w:tcPr>
            <w:tcW w:w="4082" w:type="dxa"/>
            <w:tcMar>
              <w:top w:w="80" w:type="dxa"/>
              <w:left w:w="120" w:type="dxa"/>
              <w:bottom w:w="80" w:type="dxa"/>
              <w:right w:w="120" w:type="dxa"/>
            </w:tcMar>
            <w:vAlign w:val="center"/>
          </w:tcPr>
          <w:p w14:paraId="2ABE38E2"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rPr>
              <w:t>Beta</w:t>
            </w:r>
            <w:r w:rsidRPr="009B1F73">
              <w:rPr>
                <w:rFonts w:eastAsia="Times New Roman" w:cs="Times New Roman"/>
                <w:color w:val="000000"/>
                <w:sz w:val="24"/>
                <w:szCs w:val="24"/>
                <w:lang w:val="ru-RU"/>
              </w:rPr>
              <w:t xml:space="preserve">-коэффициент, факторные чувствительности, </w:t>
            </w:r>
            <w:r w:rsidRPr="009B1F73">
              <w:rPr>
                <w:rFonts w:eastAsia="Times New Roman" w:cs="Times New Roman"/>
                <w:color w:val="000000"/>
                <w:sz w:val="24"/>
                <w:szCs w:val="24"/>
              </w:rPr>
              <w:t>CAPM</w:t>
            </w:r>
            <w:r w:rsidRPr="009B1F73">
              <w:rPr>
                <w:rFonts w:eastAsia="Times New Roman" w:cs="Times New Roman"/>
                <w:color w:val="000000"/>
                <w:sz w:val="24"/>
                <w:szCs w:val="24"/>
                <w:lang w:val="ru-RU"/>
              </w:rPr>
              <w:t>/</w:t>
            </w:r>
            <w:r w:rsidRPr="009B1F73">
              <w:rPr>
                <w:rFonts w:eastAsia="Times New Roman" w:cs="Times New Roman"/>
                <w:color w:val="000000"/>
                <w:sz w:val="24"/>
                <w:szCs w:val="24"/>
              </w:rPr>
              <w:t>APT</w:t>
            </w:r>
            <w:r w:rsidRPr="009B1F73">
              <w:rPr>
                <w:rFonts w:eastAsia="Times New Roman" w:cs="Times New Roman"/>
                <w:color w:val="000000"/>
                <w:sz w:val="24"/>
                <w:szCs w:val="24"/>
                <w:lang w:val="ru-RU"/>
              </w:rPr>
              <w:t>-показатели</w:t>
            </w:r>
          </w:p>
        </w:tc>
        <w:tc>
          <w:tcPr>
            <w:tcW w:w="3458" w:type="dxa"/>
            <w:tcMar>
              <w:top w:w="80" w:type="dxa"/>
              <w:left w:w="120" w:type="dxa"/>
              <w:bottom w:w="80" w:type="dxa"/>
              <w:right w:w="120" w:type="dxa"/>
            </w:tcMar>
            <w:vAlign w:val="center"/>
          </w:tcPr>
          <w:p w14:paraId="5E98F231"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Оценить зависимость портфеля от рыночных факторов</w:t>
            </w:r>
          </w:p>
        </w:tc>
      </w:tr>
      <w:tr w:rsidR="00121129" w:rsidRPr="0032530F" w14:paraId="18FCF143" w14:textId="77777777" w:rsidTr="0032530F">
        <w:trPr>
          <w:cantSplit/>
          <w:jc w:val="center"/>
        </w:trPr>
        <w:tc>
          <w:tcPr>
            <w:tcW w:w="2131" w:type="dxa"/>
            <w:tcMar>
              <w:top w:w="80" w:type="dxa"/>
              <w:left w:w="120" w:type="dxa"/>
              <w:bottom w:w="80" w:type="dxa"/>
              <w:right w:w="120" w:type="dxa"/>
            </w:tcMar>
            <w:vAlign w:val="center"/>
          </w:tcPr>
          <w:p w14:paraId="3363C781"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Хвостовой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риск</w:t>
            </w:r>
            <w:proofErr w:type="spellEnd"/>
          </w:p>
        </w:tc>
        <w:tc>
          <w:tcPr>
            <w:tcW w:w="4082" w:type="dxa"/>
            <w:tcMar>
              <w:top w:w="80" w:type="dxa"/>
              <w:left w:w="120" w:type="dxa"/>
              <w:bottom w:w="80" w:type="dxa"/>
              <w:right w:w="120" w:type="dxa"/>
            </w:tcMar>
            <w:vAlign w:val="center"/>
          </w:tcPr>
          <w:p w14:paraId="15E972D0" w14:textId="77777777" w:rsidR="00121129" w:rsidRPr="009B1F73" w:rsidRDefault="00E03C62">
            <w:pPr>
              <w:widowControl w:val="0"/>
              <w:spacing w:after="0" w:line="240" w:lineRule="auto"/>
              <w:rPr>
                <w:rFonts w:eastAsia="Times New Roman" w:cs="Times New Roman"/>
                <w:sz w:val="24"/>
                <w:szCs w:val="24"/>
                <w:lang w:val="ru-RU"/>
              </w:rPr>
            </w:pPr>
            <w:proofErr w:type="spellStart"/>
            <w:r w:rsidRPr="009B1F73">
              <w:rPr>
                <w:rFonts w:eastAsia="Times New Roman" w:cs="Times New Roman"/>
                <w:color w:val="000000"/>
                <w:sz w:val="24"/>
                <w:szCs w:val="24"/>
              </w:rPr>
              <w:t>VaR</w:t>
            </w:r>
            <w:proofErr w:type="spellEnd"/>
            <w:r w:rsidRPr="009B1F73">
              <w:rPr>
                <w:rFonts w:eastAsia="Times New Roman" w:cs="Times New Roman"/>
                <w:color w:val="000000"/>
                <w:sz w:val="24"/>
                <w:szCs w:val="24"/>
                <w:lang w:val="ru-RU"/>
              </w:rPr>
              <w:t xml:space="preserve">, </w:t>
            </w:r>
            <w:r w:rsidRPr="009B1F73">
              <w:rPr>
                <w:rFonts w:eastAsia="Times New Roman" w:cs="Times New Roman"/>
                <w:color w:val="000000"/>
                <w:sz w:val="24"/>
                <w:szCs w:val="24"/>
              </w:rPr>
              <w:t>CVaR</w:t>
            </w:r>
            <w:r w:rsidRPr="009B1F73">
              <w:rPr>
                <w:rFonts w:eastAsia="Times New Roman" w:cs="Times New Roman"/>
                <w:color w:val="000000"/>
                <w:sz w:val="24"/>
                <w:szCs w:val="24"/>
                <w:lang w:val="ru-RU"/>
              </w:rPr>
              <w:t>, стресс-потери, сценарные отклонения</w:t>
            </w:r>
          </w:p>
        </w:tc>
        <w:tc>
          <w:tcPr>
            <w:tcW w:w="3458" w:type="dxa"/>
            <w:tcMar>
              <w:top w:w="80" w:type="dxa"/>
              <w:left w:w="120" w:type="dxa"/>
              <w:bottom w:w="80" w:type="dxa"/>
              <w:right w:w="120" w:type="dxa"/>
            </w:tcMar>
            <w:vAlign w:val="center"/>
          </w:tcPr>
          <w:p w14:paraId="37E64BF6"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Оценить возможные потери в неблагоприятных рыночных режимах</w:t>
            </w:r>
          </w:p>
        </w:tc>
      </w:tr>
    </w:tbl>
    <w:p w14:paraId="466A6E56" w14:textId="68B61235" w:rsidR="0032530F" w:rsidRPr="0032530F" w:rsidRDefault="0032530F" w:rsidP="0032530F">
      <w:pPr>
        <w:spacing w:after="0" w:line="360" w:lineRule="auto"/>
        <w:rPr>
          <w:lang w:val="ru-RU"/>
        </w:rPr>
      </w:pPr>
      <w:r>
        <w:rPr>
          <w:lang w:val="ru-RU"/>
        </w:rPr>
        <w:lastRenderedPageBreak/>
        <w:t>Продолжение таблицы 2.2</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4082"/>
        <w:gridCol w:w="3458"/>
      </w:tblGrid>
      <w:tr w:rsidR="00F66FD7" w:rsidRPr="0032530F" w14:paraId="66252922" w14:textId="77777777" w:rsidTr="00F66FD7">
        <w:trPr>
          <w:cantSplit/>
          <w:jc w:val="center"/>
        </w:trPr>
        <w:tc>
          <w:tcPr>
            <w:tcW w:w="2131" w:type="dxa"/>
            <w:tcMar>
              <w:top w:w="80" w:type="dxa"/>
              <w:left w:w="120" w:type="dxa"/>
              <w:bottom w:w="80" w:type="dxa"/>
              <w:right w:w="120" w:type="dxa"/>
            </w:tcMar>
            <w:vAlign w:val="center"/>
          </w:tcPr>
          <w:p w14:paraId="75D63919" w14:textId="0C95AE27" w:rsidR="00F66FD7" w:rsidRPr="009B1F73" w:rsidRDefault="00F66FD7" w:rsidP="00F66FD7">
            <w:pPr>
              <w:widowControl w:val="0"/>
              <w:spacing w:after="0" w:line="240" w:lineRule="auto"/>
              <w:jc w:val="center"/>
              <w:rPr>
                <w:rFonts w:eastAsia="Times New Roman" w:cs="Times New Roman"/>
                <w:color w:val="000000"/>
                <w:sz w:val="24"/>
                <w:szCs w:val="24"/>
              </w:rPr>
            </w:pPr>
            <w:proofErr w:type="spellStart"/>
            <w:r w:rsidRPr="009B1F73">
              <w:rPr>
                <w:rFonts w:eastAsia="Times New Roman" w:cs="Times New Roman"/>
                <w:bCs/>
                <w:color w:val="000000"/>
                <w:sz w:val="24"/>
                <w:szCs w:val="24"/>
              </w:rPr>
              <w:t>Блок</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оценки</w:t>
            </w:r>
            <w:proofErr w:type="spellEnd"/>
          </w:p>
        </w:tc>
        <w:tc>
          <w:tcPr>
            <w:tcW w:w="4082" w:type="dxa"/>
            <w:tcMar>
              <w:top w:w="80" w:type="dxa"/>
              <w:left w:w="120" w:type="dxa"/>
              <w:bottom w:w="80" w:type="dxa"/>
              <w:right w:w="120" w:type="dxa"/>
            </w:tcMar>
            <w:vAlign w:val="center"/>
          </w:tcPr>
          <w:p w14:paraId="365963E0" w14:textId="6546C4DD" w:rsidR="00F66FD7" w:rsidRPr="009B1F73" w:rsidRDefault="00F66FD7" w:rsidP="00F66FD7">
            <w:pPr>
              <w:widowControl w:val="0"/>
              <w:spacing w:after="0" w:line="240" w:lineRule="auto"/>
              <w:jc w:val="center"/>
              <w:rPr>
                <w:rFonts w:eastAsia="Times New Roman" w:cs="Times New Roman"/>
                <w:color w:val="000000"/>
                <w:sz w:val="24"/>
                <w:szCs w:val="24"/>
                <w:lang w:val="ru-RU"/>
              </w:rPr>
            </w:pPr>
            <w:proofErr w:type="spellStart"/>
            <w:r w:rsidRPr="009B1F73">
              <w:rPr>
                <w:rFonts w:eastAsia="Times New Roman" w:cs="Times New Roman"/>
                <w:bCs/>
                <w:color w:val="000000"/>
                <w:sz w:val="24"/>
                <w:szCs w:val="24"/>
              </w:rPr>
              <w:t>Показатели</w:t>
            </w:r>
            <w:proofErr w:type="spellEnd"/>
          </w:p>
        </w:tc>
        <w:tc>
          <w:tcPr>
            <w:tcW w:w="3458" w:type="dxa"/>
            <w:tcMar>
              <w:top w:w="80" w:type="dxa"/>
              <w:left w:w="120" w:type="dxa"/>
              <w:bottom w:w="80" w:type="dxa"/>
              <w:right w:w="120" w:type="dxa"/>
            </w:tcMar>
            <w:vAlign w:val="center"/>
          </w:tcPr>
          <w:p w14:paraId="1E596284" w14:textId="66FB430D" w:rsidR="00F66FD7" w:rsidRPr="009B1F73" w:rsidRDefault="00F66FD7" w:rsidP="00F66FD7">
            <w:pPr>
              <w:widowControl w:val="0"/>
              <w:spacing w:after="0" w:line="240" w:lineRule="auto"/>
              <w:jc w:val="center"/>
              <w:rPr>
                <w:rFonts w:eastAsia="Times New Roman" w:cs="Times New Roman"/>
                <w:color w:val="000000"/>
                <w:sz w:val="24"/>
                <w:szCs w:val="24"/>
                <w:lang w:val="ru-RU"/>
              </w:rPr>
            </w:pPr>
            <w:proofErr w:type="spellStart"/>
            <w:r w:rsidRPr="009B1F73">
              <w:rPr>
                <w:rFonts w:eastAsia="Times New Roman" w:cs="Times New Roman"/>
                <w:bCs/>
                <w:color w:val="000000"/>
                <w:sz w:val="24"/>
                <w:szCs w:val="24"/>
              </w:rPr>
              <w:t>Назначение</w:t>
            </w:r>
            <w:proofErr w:type="spellEnd"/>
          </w:p>
        </w:tc>
      </w:tr>
      <w:tr w:rsidR="00F66FD7" w:rsidRPr="0032530F" w14:paraId="71911C9D" w14:textId="77777777" w:rsidTr="0032530F">
        <w:trPr>
          <w:cantSplit/>
          <w:jc w:val="center"/>
        </w:trPr>
        <w:tc>
          <w:tcPr>
            <w:tcW w:w="2131" w:type="dxa"/>
            <w:tcMar>
              <w:top w:w="80" w:type="dxa"/>
              <w:left w:w="120" w:type="dxa"/>
              <w:bottom w:w="80" w:type="dxa"/>
              <w:right w:w="120" w:type="dxa"/>
            </w:tcMar>
            <w:vAlign w:val="center"/>
          </w:tcPr>
          <w:p w14:paraId="3AC06976"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Кредитный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риск</w:t>
            </w:r>
            <w:proofErr w:type="spellEnd"/>
          </w:p>
        </w:tc>
        <w:tc>
          <w:tcPr>
            <w:tcW w:w="4082" w:type="dxa"/>
            <w:tcMar>
              <w:top w:w="80" w:type="dxa"/>
              <w:left w:w="120" w:type="dxa"/>
              <w:bottom w:w="80" w:type="dxa"/>
              <w:right w:w="120" w:type="dxa"/>
            </w:tcMar>
            <w:vAlign w:val="center"/>
          </w:tcPr>
          <w:p w14:paraId="029AB0B5"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Кредитные рейтинги, спреды, доля эмитентов разного качества</w:t>
            </w:r>
          </w:p>
        </w:tc>
        <w:tc>
          <w:tcPr>
            <w:tcW w:w="3458" w:type="dxa"/>
            <w:tcMar>
              <w:top w:w="80" w:type="dxa"/>
              <w:left w:w="120" w:type="dxa"/>
              <w:bottom w:w="80" w:type="dxa"/>
              <w:right w:w="120" w:type="dxa"/>
            </w:tcMar>
            <w:vAlign w:val="center"/>
          </w:tcPr>
          <w:p w14:paraId="0379C542"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Контролировать качество облигационной части портфеля</w:t>
            </w:r>
          </w:p>
        </w:tc>
      </w:tr>
      <w:tr w:rsidR="00F66FD7" w:rsidRPr="009B1F73" w14:paraId="395EBB82" w14:textId="77777777" w:rsidTr="0032530F">
        <w:trPr>
          <w:cantSplit/>
          <w:jc w:val="center"/>
        </w:trPr>
        <w:tc>
          <w:tcPr>
            <w:tcW w:w="2131" w:type="dxa"/>
            <w:tcMar>
              <w:top w:w="80" w:type="dxa"/>
              <w:left w:w="120" w:type="dxa"/>
              <w:bottom w:w="80" w:type="dxa"/>
              <w:right w:w="120" w:type="dxa"/>
            </w:tcMar>
            <w:vAlign w:val="center"/>
          </w:tcPr>
          <w:p w14:paraId="6703A73D"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Операционная</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согласованность</w:t>
            </w:r>
            <w:proofErr w:type="spellEnd"/>
          </w:p>
        </w:tc>
        <w:tc>
          <w:tcPr>
            <w:tcW w:w="4082" w:type="dxa"/>
            <w:tcMar>
              <w:top w:w="80" w:type="dxa"/>
              <w:left w:w="120" w:type="dxa"/>
              <w:bottom w:w="80" w:type="dxa"/>
              <w:right w:w="120" w:type="dxa"/>
            </w:tcMar>
            <w:vAlign w:val="center"/>
          </w:tcPr>
          <w:p w14:paraId="1233B597"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Единые окна расчета, частота обновления, количество превышений лимитов</w:t>
            </w:r>
          </w:p>
        </w:tc>
        <w:tc>
          <w:tcPr>
            <w:tcW w:w="3458" w:type="dxa"/>
            <w:tcMar>
              <w:top w:w="80" w:type="dxa"/>
              <w:left w:w="120" w:type="dxa"/>
              <w:bottom w:w="80" w:type="dxa"/>
              <w:right w:w="120" w:type="dxa"/>
            </w:tcMar>
            <w:vAlign w:val="center"/>
          </w:tcPr>
          <w:p w14:paraId="64CA20F1"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Проверить</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снижение</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фрагментарности</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решений</w:t>
            </w:r>
            <w:proofErr w:type="spellEnd"/>
          </w:p>
        </w:tc>
      </w:tr>
    </w:tbl>
    <w:p w14:paraId="024C2AAB" w14:textId="77777777" w:rsidR="00121129" w:rsidRPr="00F077B9" w:rsidRDefault="00E03C62">
      <w:pPr>
        <w:widowControl w:val="0"/>
        <w:spacing w:after="0" w:line="360" w:lineRule="auto"/>
        <w:ind w:firstLine="709"/>
        <w:jc w:val="both"/>
        <w:rPr>
          <w:rFonts w:eastAsia="Times New Roman" w:cs="Times New Roman"/>
          <w:szCs w:val="28"/>
        </w:rPr>
      </w:pPr>
      <w:r w:rsidRPr="00F077B9">
        <w:rPr>
          <w:rFonts w:eastAsia="Times New Roman" w:cs="Times New Roman"/>
          <w:szCs w:val="28"/>
          <w:lang w:val="ru-RU"/>
        </w:rPr>
        <w:t xml:space="preserve"> [1; 3; 5; 11; 13; 14; 15; 16].</w:t>
      </w:r>
    </w:p>
    <w:p w14:paraId="3F0D9DB1" w14:textId="77777777" w:rsidR="00121129" w:rsidRPr="00AB4C8A" w:rsidRDefault="00F077B9">
      <w:pPr>
        <w:widowControl w:val="0"/>
        <w:spacing w:after="0" w:line="360" w:lineRule="auto"/>
        <w:ind w:firstLine="709"/>
        <w:jc w:val="both"/>
        <w:rPr>
          <w:rFonts w:eastAsia="Times New Roman" w:cs="Times New Roman"/>
          <w:szCs w:val="28"/>
          <w:lang w:val="ru-RU"/>
        </w:rPr>
      </w:pPr>
      <w:r w:rsidRPr="009054DA">
        <w:rPr>
          <w:rFonts w:eastAsia="Times New Roman" w:cs="Times New Roman"/>
          <w:szCs w:val="28"/>
          <w:lang w:val="ru-RU"/>
        </w:rPr>
        <w:t>Показатели должны использоваться вместе с лимитами и правилами реагирования; только в этом случае расчет превращается в элемент управления портфелем.</w:t>
      </w:r>
    </w:p>
    <w:p w14:paraId="0867524B" w14:textId="77777777" w:rsidR="00121129" w:rsidRPr="00AB4C8A" w:rsidRDefault="00E03C62" w:rsidP="009B1F73">
      <w:pPr>
        <w:pStyle w:val="aff8"/>
      </w:pPr>
      <w:bookmarkStart w:id="9" w:name="_sto_toc_9"/>
      <w:r w:rsidRPr="00B23776">
        <w:t>2.3 Выявление несогласованности решений</w:t>
      </w:r>
      <w:bookmarkEnd w:id="9"/>
    </w:p>
    <w:p w14:paraId="7ECCBA32" w14:textId="387AFE3D" w:rsidR="00121129" w:rsidRPr="00AB4C8A" w:rsidRDefault="00E03C62">
      <w:pPr>
        <w:widowControl w:val="0"/>
        <w:spacing w:after="0" w:line="360" w:lineRule="auto"/>
        <w:ind w:firstLine="709"/>
        <w:jc w:val="both"/>
        <w:rPr>
          <w:rFonts w:eastAsia="Times New Roman" w:cs="Times New Roman"/>
          <w:szCs w:val="28"/>
          <w:lang w:val="ru-RU"/>
        </w:rPr>
      </w:pPr>
      <w:r w:rsidRPr="009E0609">
        <w:rPr>
          <w:rFonts w:eastAsia="Times New Roman" w:cs="Times New Roman"/>
          <w:szCs w:val="28"/>
          <w:lang w:val="ru-RU"/>
        </w:rPr>
        <w:t>Диагностика действующей практики направлена на выявление фрагментарности. Под фрагментарностью понимается использование отдельных методов без единого порядка расчетов, интерпретации и принятия</w:t>
      </w:r>
      <w:r w:rsidR="009E0609" w:rsidRPr="009E0609">
        <w:rPr>
          <w:rFonts w:eastAsia="Times New Roman" w:cs="Times New Roman"/>
          <w:szCs w:val="28"/>
          <w:lang w:val="ru-RU"/>
        </w:rPr>
        <w:t xml:space="preserve"> инвестиционных</w:t>
      </w:r>
      <w:r w:rsidRPr="009E0609">
        <w:rPr>
          <w:rFonts w:eastAsia="Times New Roman" w:cs="Times New Roman"/>
          <w:szCs w:val="28"/>
          <w:lang w:val="ru-RU"/>
        </w:rPr>
        <w:t xml:space="preserve"> решений по портфелю.</w:t>
      </w:r>
    </w:p>
    <w:p w14:paraId="0F0FFDCA"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К основным признакам относятся различия в метриках и временных окнах, нерегулярный пересмотр корреляций, отсутствие общего набора триггеров, разрыв между расчетом и решением по хеджированию, а также недостаточная фиксация причин изменения долей активов.</w:t>
      </w:r>
    </w:p>
    <w:p w14:paraId="7387D7F7"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Для диагностики предлагается карта проблем действующей практики. В ней фиксируются метод, источник данных, период обновления, ответственный аналитик, порог срабатывания и действие при его превышении. Сопоставление таких карт позволяет определить, где именно возникают расхождения и какие процедуры требуют унификации. Результаты диагностики фрагментарности обобщены в таблице 2.3.</w:t>
      </w:r>
    </w:p>
    <w:p w14:paraId="3D7517AA" w14:textId="77777777" w:rsidR="00121129" w:rsidRPr="00AB4C8A" w:rsidRDefault="00E03C62" w:rsidP="009B1F73">
      <w:pPr>
        <w:pStyle w:val="affc"/>
        <w:spacing w:after="120"/>
      </w:pPr>
      <w:r w:rsidRPr="00B23776">
        <w:t>Таблица 2.3 – Диагностика фрагментарности управления рисками портфеля</w:t>
      </w: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3515"/>
        <w:gridCol w:w="3798"/>
      </w:tblGrid>
      <w:tr w:rsidR="00121129" w:rsidRPr="009B1F73" w14:paraId="2D6BBE6F" w14:textId="77777777" w:rsidTr="00F66FD7">
        <w:trPr>
          <w:cantSplit/>
          <w:tblHeader/>
          <w:jc w:val="center"/>
        </w:trPr>
        <w:tc>
          <w:tcPr>
            <w:tcW w:w="2357" w:type="dxa"/>
            <w:tcMar>
              <w:top w:w="80" w:type="dxa"/>
              <w:left w:w="120" w:type="dxa"/>
              <w:bottom w:w="80" w:type="dxa"/>
              <w:right w:w="120" w:type="dxa"/>
            </w:tcMar>
            <w:vAlign w:val="center"/>
          </w:tcPr>
          <w:p w14:paraId="5019B531"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Признак</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фрагментарности</w:t>
            </w:r>
            <w:proofErr w:type="spellEnd"/>
          </w:p>
        </w:tc>
        <w:tc>
          <w:tcPr>
            <w:tcW w:w="3515" w:type="dxa"/>
            <w:tcMar>
              <w:top w:w="80" w:type="dxa"/>
              <w:left w:w="120" w:type="dxa"/>
              <w:bottom w:w="80" w:type="dxa"/>
              <w:right w:w="120" w:type="dxa"/>
            </w:tcMar>
            <w:vAlign w:val="center"/>
          </w:tcPr>
          <w:p w14:paraId="0548E9E1"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Управленческое</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последствие</w:t>
            </w:r>
            <w:proofErr w:type="spellEnd"/>
          </w:p>
        </w:tc>
        <w:tc>
          <w:tcPr>
            <w:tcW w:w="3798" w:type="dxa"/>
            <w:tcMar>
              <w:top w:w="80" w:type="dxa"/>
              <w:left w:w="120" w:type="dxa"/>
              <w:bottom w:w="80" w:type="dxa"/>
              <w:right w:w="120" w:type="dxa"/>
            </w:tcMar>
            <w:vAlign w:val="center"/>
          </w:tcPr>
          <w:p w14:paraId="5940FE61"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Унифицированное</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решение</w:t>
            </w:r>
            <w:proofErr w:type="spellEnd"/>
          </w:p>
        </w:tc>
      </w:tr>
      <w:tr w:rsidR="00121129" w:rsidRPr="0032530F" w14:paraId="73D02830" w14:textId="77777777" w:rsidTr="00F66FD7">
        <w:trPr>
          <w:cantSplit/>
          <w:jc w:val="center"/>
        </w:trPr>
        <w:tc>
          <w:tcPr>
            <w:tcW w:w="2357" w:type="dxa"/>
            <w:tcMar>
              <w:top w:w="80" w:type="dxa"/>
              <w:left w:w="120" w:type="dxa"/>
              <w:bottom w:w="80" w:type="dxa"/>
              <w:right w:w="120" w:type="dxa"/>
            </w:tcMar>
            <w:vAlign w:val="center"/>
          </w:tcPr>
          <w:p w14:paraId="19757115"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Разные</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метрики</w:t>
            </w:r>
            <w:proofErr w:type="spellEnd"/>
            <w:r w:rsidRPr="009B1F73">
              <w:rPr>
                <w:rFonts w:eastAsia="Times New Roman" w:cs="Times New Roman"/>
                <w:color w:val="000000"/>
                <w:sz w:val="24"/>
                <w:szCs w:val="24"/>
              </w:rPr>
              <w:t xml:space="preserve"> у </w:t>
            </w:r>
            <w:proofErr w:type="spellStart"/>
            <w:r w:rsidRPr="009B1F73">
              <w:rPr>
                <w:rFonts w:eastAsia="Times New Roman" w:cs="Times New Roman"/>
                <w:color w:val="000000"/>
                <w:sz w:val="24"/>
                <w:szCs w:val="24"/>
              </w:rPr>
              <w:t>аналитиков</w:t>
            </w:r>
            <w:proofErr w:type="spellEnd"/>
          </w:p>
        </w:tc>
        <w:tc>
          <w:tcPr>
            <w:tcW w:w="3515" w:type="dxa"/>
            <w:tcMar>
              <w:top w:w="80" w:type="dxa"/>
              <w:left w:w="120" w:type="dxa"/>
              <w:bottom w:w="80" w:type="dxa"/>
              <w:right w:w="120" w:type="dxa"/>
            </w:tcMar>
            <w:vAlign w:val="center"/>
          </w:tcPr>
          <w:p w14:paraId="497FF46A"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Один и тот же портфель получает разные оценки риска</w:t>
            </w:r>
          </w:p>
        </w:tc>
        <w:tc>
          <w:tcPr>
            <w:tcW w:w="3798" w:type="dxa"/>
            <w:tcMar>
              <w:top w:w="80" w:type="dxa"/>
              <w:left w:w="120" w:type="dxa"/>
              <w:bottom w:w="80" w:type="dxa"/>
              <w:right w:w="120" w:type="dxa"/>
            </w:tcMar>
            <w:vAlign w:val="center"/>
          </w:tcPr>
          <w:p w14:paraId="4CD072C7"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Единый перечень обязательных показателей и расчетных окон</w:t>
            </w:r>
          </w:p>
        </w:tc>
      </w:tr>
    </w:tbl>
    <w:p w14:paraId="504831B9" w14:textId="6F0D1B4C" w:rsidR="00F66FD7" w:rsidRPr="00F66FD7" w:rsidRDefault="00F66FD7" w:rsidP="00F66FD7">
      <w:pPr>
        <w:spacing w:after="0" w:line="360" w:lineRule="auto"/>
        <w:rPr>
          <w:lang w:val="ru-RU"/>
        </w:rPr>
      </w:pPr>
      <w:r>
        <w:rPr>
          <w:lang w:val="ru-RU"/>
        </w:rPr>
        <w:lastRenderedPageBreak/>
        <w:t>Продолжение таблицы 2.3</w:t>
      </w: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3515"/>
        <w:gridCol w:w="3798"/>
      </w:tblGrid>
      <w:tr w:rsidR="00F66FD7" w:rsidRPr="0032530F" w14:paraId="260331A3" w14:textId="77777777" w:rsidTr="00F66FD7">
        <w:trPr>
          <w:cantSplit/>
          <w:jc w:val="center"/>
        </w:trPr>
        <w:tc>
          <w:tcPr>
            <w:tcW w:w="2357" w:type="dxa"/>
            <w:tcMar>
              <w:top w:w="80" w:type="dxa"/>
              <w:left w:w="120" w:type="dxa"/>
              <w:bottom w:w="80" w:type="dxa"/>
              <w:right w:w="120" w:type="dxa"/>
            </w:tcMar>
            <w:vAlign w:val="center"/>
          </w:tcPr>
          <w:p w14:paraId="778170AB" w14:textId="38CD271E" w:rsidR="00F66FD7" w:rsidRPr="009B1F73" w:rsidRDefault="00F66FD7" w:rsidP="00F66FD7">
            <w:pPr>
              <w:widowControl w:val="0"/>
              <w:spacing w:after="0" w:line="240" w:lineRule="auto"/>
              <w:jc w:val="center"/>
              <w:rPr>
                <w:rFonts w:eastAsia="Times New Roman" w:cs="Times New Roman"/>
                <w:color w:val="000000"/>
                <w:sz w:val="24"/>
                <w:szCs w:val="24"/>
              </w:rPr>
            </w:pPr>
            <w:proofErr w:type="spellStart"/>
            <w:r w:rsidRPr="009B1F73">
              <w:rPr>
                <w:rFonts w:eastAsia="Times New Roman" w:cs="Times New Roman"/>
                <w:bCs/>
                <w:color w:val="000000"/>
                <w:sz w:val="24"/>
                <w:szCs w:val="24"/>
              </w:rPr>
              <w:t>Признак</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фрагментарности</w:t>
            </w:r>
            <w:proofErr w:type="spellEnd"/>
          </w:p>
        </w:tc>
        <w:tc>
          <w:tcPr>
            <w:tcW w:w="3515" w:type="dxa"/>
            <w:tcMar>
              <w:top w:w="80" w:type="dxa"/>
              <w:left w:w="120" w:type="dxa"/>
              <w:bottom w:w="80" w:type="dxa"/>
              <w:right w:w="120" w:type="dxa"/>
            </w:tcMar>
            <w:vAlign w:val="center"/>
          </w:tcPr>
          <w:p w14:paraId="3BCC40AA" w14:textId="31627919" w:rsidR="00F66FD7" w:rsidRPr="009B1F73" w:rsidRDefault="00F66FD7" w:rsidP="00F66FD7">
            <w:pPr>
              <w:widowControl w:val="0"/>
              <w:spacing w:after="0" w:line="240" w:lineRule="auto"/>
              <w:jc w:val="center"/>
              <w:rPr>
                <w:rFonts w:eastAsia="Times New Roman" w:cs="Times New Roman"/>
                <w:color w:val="000000"/>
                <w:sz w:val="24"/>
                <w:szCs w:val="24"/>
              </w:rPr>
            </w:pPr>
            <w:proofErr w:type="spellStart"/>
            <w:r w:rsidRPr="009B1F73">
              <w:rPr>
                <w:rFonts w:eastAsia="Times New Roman" w:cs="Times New Roman"/>
                <w:bCs/>
                <w:color w:val="000000"/>
                <w:sz w:val="24"/>
                <w:szCs w:val="24"/>
              </w:rPr>
              <w:t>Управленческое</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последствие</w:t>
            </w:r>
            <w:proofErr w:type="spellEnd"/>
          </w:p>
        </w:tc>
        <w:tc>
          <w:tcPr>
            <w:tcW w:w="3798" w:type="dxa"/>
            <w:tcMar>
              <w:top w:w="80" w:type="dxa"/>
              <w:left w:w="120" w:type="dxa"/>
              <w:bottom w:w="80" w:type="dxa"/>
              <w:right w:w="120" w:type="dxa"/>
            </w:tcMar>
            <w:vAlign w:val="center"/>
          </w:tcPr>
          <w:p w14:paraId="25D98D01" w14:textId="29CC8DB3" w:rsidR="00F66FD7" w:rsidRPr="009B1F73" w:rsidRDefault="00F66FD7" w:rsidP="00F66FD7">
            <w:pPr>
              <w:widowControl w:val="0"/>
              <w:spacing w:after="0" w:line="240" w:lineRule="auto"/>
              <w:jc w:val="center"/>
              <w:rPr>
                <w:rFonts w:eastAsia="Times New Roman" w:cs="Times New Roman"/>
                <w:color w:val="000000"/>
                <w:sz w:val="24"/>
                <w:szCs w:val="24"/>
                <w:lang w:val="ru-RU"/>
              </w:rPr>
            </w:pPr>
            <w:proofErr w:type="spellStart"/>
            <w:r w:rsidRPr="009B1F73">
              <w:rPr>
                <w:rFonts w:eastAsia="Times New Roman" w:cs="Times New Roman"/>
                <w:bCs/>
                <w:color w:val="000000"/>
                <w:sz w:val="24"/>
                <w:szCs w:val="24"/>
              </w:rPr>
              <w:t>Унифицированное</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решение</w:t>
            </w:r>
            <w:proofErr w:type="spellEnd"/>
          </w:p>
        </w:tc>
      </w:tr>
      <w:tr w:rsidR="00F66FD7" w:rsidRPr="0032530F" w14:paraId="170F3847" w14:textId="77777777" w:rsidTr="00F66FD7">
        <w:trPr>
          <w:cantSplit/>
          <w:jc w:val="center"/>
        </w:trPr>
        <w:tc>
          <w:tcPr>
            <w:tcW w:w="2357" w:type="dxa"/>
            <w:tcMar>
              <w:top w:w="80" w:type="dxa"/>
              <w:left w:w="120" w:type="dxa"/>
              <w:bottom w:w="80" w:type="dxa"/>
              <w:right w:w="120" w:type="dxa"/>
            </w:tcMar>
            <w:vAlign w:val="center"/>
          </w:tcPr>
          <w:p w14:paraId="13A2A8DC"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Нерегулярный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пересмотр</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корреляций</w:t>
            </w:r>
            <w:proofErr w:type="spellEnd"/>
          </w:p>
        </w:tc>
        <w:tc>
          <w:tcPr>
            <w:tcW w:w="3515" w:type="dxa"/>
            <w:tcMar>
              <w:top w:w="80" w:type="dxa"/>
              <w:left w:w="120" w:type="dxa"/>
              <w:bottom w:w="80" w:type="dxa"/>
              <w:right w:w="120" w:type="dxa"/>
            </w:tcMar>
            <w:vAlign w:val="center"/>
          </w:tcPr>
          <w:p w14:paraId="6234B74B"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Диверсификация</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становится</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формальной</w:t>
            </w:r>
            <w:proofErr w:type="spellEnd"/>
          </w:p>
        </w:tc>
        <w:tc>
          <w:tcPr>
            <w:tcW w:w="3798" w:type="dxa"/>
            <w:tcMar>
              <w:top w:w="80" w:type="dxa"/>
              <w:left w:w="120" w:type="dxa"/>
              <w:bottom w:w="80" w:type="dxa"/>
              <w:right w:w="120" w:type="dxa"/>
            </w:tcMar>
            <w:vAlign w:val="center"/>
          </w:tcPr>
          <w:p w14:paraId="1B689B01"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Фиксированная периодичность обновления корреляционной матрицы</w:t>
            </w:r>
          </w:p>
        </w:tc>
      </w:tr>
      <w:tr w:rsidR="00F66FD7" w:rsidRPr="0032530F" w14:paraId="10F0753E" w14:textId="77777777" w:rsidTr="00F66FD7">
        <w:trPr>
          <w:cantSplit/>
          <w:jc w:val="center"/>
        </w:trPr>
        <w:tc>
          <w:tcPr>
            <w:tcW w:w="2357" w:type="dxa"/>
            <w:tcMar>
              <w:top w:w="80" w:type="dxa"/>
              <w:left w:w="120" w:type="dxa"/>
              <w:bottom w:w="80" w:type="dxa"/>
              <w:right w:w="120" w:type="dxa"/>
            </w:tcMar>
            <w:vAlign w:val="center"/>
          </w:tcPr>
          <w:p w14:paraId="3DEEB723"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Отсутствие</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триггеров</w:t>
            </w:r>
            <w:proofErr w:type="spellEnd"/>
          </w:p>
        </w:tc>
        <w:tc>
          <w:tcPr>
            <w:tcW w:w="3515" w:type="dxa"/>
            <w:tcMar>
              <w:top w:w="80" w:type="dxa"/>
              <w:left w:w="120" w:type="dxa"/>
              <w:bottom w:w="80" w:type="dxa"/>
              <w:right w:w="120" w:type="dxa"/>
            </w:tcMar>
            <w:vAlign w:val="center"/>
          </w:tcPr>
          <w:p w14:paraId="09F48E2A"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Решения принимаются реактивно после ухудшения рынка</w:t>
            </w:r>
          </w:p>
        </w:tc>
        <w:tc>
          <w:tcPr>
            <w:tcW w:w="3798" w:type="dxa"/>
            <w:tcMar>
              <w:top w:w="80" w:type="dxa"/>
              <w:left w:w="120" w:type="dxa"/>
              <w:bottom w:w="80" w:type="dxa"/>
              <w:right w:w="120" w:type="dxa"/>
            </w:tcMar>
            <w:vAlign w:val="center"/>
          </w:tcPr>
          <w:p w14:paraId="05FE8993"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 xml:space="preserve">Пороговые значения </w:t>
            </w:r>
            <w:proofErr w:type="spellStart"/>
            <w:r w:rsidRPr="009B1F73">
              <w:rPr>
                <w:rFonts w:eastAsia="Times New Roman" w:cs="Times New Roman"/>
                <w:color w:val="000000"/>
                <w:sz w:val="24"/>
                <w:szCs w:val="24"/>
              </w:rPr>
              <w:t>VaR</w:t>
            </w:r>
            <w:proofErr w:type="spellEnd"/>
            <w:r w:rsidRPr="009B1F73">
              <w:rPr>
                <w:rFonts w:eastAsia="Times New Roman" w:cs="Times New Roman"/>
                <w:color w:val="000000"/>
                <w:sz w:val="24"/>
                <w:szCs w:val="24"/>
                <w:lang w:val="ru-RU"/>
              </w:rPr>
              <w:t>/</w:t>
            </w:r>
            <w:r w:rsidRPr="009B1F73">
              <w:rPr>
                <w:rFonts w:eastAsia="Times New Roman" w:cs="Times New Roman"/>
                <w:color w:val="000000"/>
                <w:sz w:val="24"/>
                <w:szCs w:val="24"/>
              </w:rPr>
              <w:t>CVaR</w:t>
            </w:r>
            <w:r w:rsidRPr="009B1F73">
              <w:rPr>
                <w:rFonts w:eastAsia="Times New Roman" w:cs="Times New Roman"/>
                <w:color w:val="000000"/>
                <w:sz w:val="24"/>
                <w:szCs w:val="24"/>
                <w:lang w:val="ru-RU"/>
              </w:rPr>
              <w:t>, просадки, волатильности и лимитов</w:t>
            </w:r>
          </w:p>
        </w:tc>
      </w:tr>
      <w:tr w:rsidR="00F66FD7" w:rsidRPr="0032530F" w14:paraId="0F8BA5DE" w14:textId="77777777" w:rsidTr="00F66FD7">
        <w:trPr>
          <w:cantSplit/>
          <w:jc w:val="center"/>
        </w:trPr>
        <w:tc>
          <w:tcPr>
            <w:tcW w:w="2357" w:type="dxa"/>
            <w:tcMar>
              <w:top w:w="80" w:type="dxa"/>
              <w:left w:w="120" w:type="dxa"/>
              <w:bottom w:w="80" w:type="dxa"/>
              <w:right w:w="120" w:type="dxa"/>
            </w:tcMar>
            <w:vAlign w:val="center"/>
          </w:tcPr>
          <w:p w14:paraId="73CE7EC6"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Разрыв между расчетом и действием</w:t>
            </w:r>
          </w:p>
        </w:tc>
        <w:tc>
          <w:tcPr>
            <w:tcW w:w="3515" w:type="dxa"/>
            <w:tcMar>
              <w:top w:w="80" w:type="dxa"/>
              <w:left w:w="120" w:type="dxa"/>
              <w:bottom w:w="80" w:type="dxa"/>
              <w:right w:w="120" w:type="dxa"/>
            </w:tcMar>
            <w:vAlign w:val="center"/>
          </w:tcPr>
          <w:p w14:paraId="53E2550F"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Оценка риска не приводит к ребалансировке или хеджированию</w:t>
            </w:r>
          </w:p>
        </w:tc>
        <w:tc>
          <w:tcPr>
            <w:tcW w:w="3798" w:type="dxa"/>
            <w:tcMar>
              <w:top w:w="80" w:type="dxa"/>
              <w:left w:w="120" w:type="dxa"/>
              <w:bottom w:w="80" w:type="dxa"/>
              <w:right w:w="120" w:type="dxa"/>
            </w:tcMar>
            <w:vAlign w:val="center"/>
          </w:tcPr>
          <w:p w14:paraId="2CE60647"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Матрица действий при срабатывании риск-сигналов</w:t>
            </w:r>
          </w:p>
        </w:tc>
      </w:tr>
      <w:tr w:rsidR="00F66FD7" w:rsidRPr="0032530F" w14:paraId="7A48D48A" w14:textId="77777777" w:rsidTr="00F66FD7">
        <w:trPr>
          <w:cantSplit/>
          <w:jc w:val="center"/>
        </w:trPr>
        <w:tc>
          <w:tcPr>
            <w:tcW w:w="2357" w:type="dxa"/>
            <w:tcMar>
              <w:top w:w="80" w:type="dxa"/>
              <w:left w:w="120" w:type="dxa"/>
              <w:bottom w:w="80" w:type="dxa"/>
              <w:right w:w="120" w:type="dxa"/>
            </w:tcMar>
            <w:vAlign w:val="center"/>
          </w:tcPr>
          <w:p w14:paraId="7B66E17A"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Слабая</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фиксация</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причин</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решений</w:t>
            </w:r>
            <w:proofErr w:type="spellEnd"/>
          </w:p>
        </w:tc>
        <w:tc>
          <w:tcPr>
            <w:tcW w:w="3515" w:type="dxa"/>
            <w:tcMar>
              <w:top w:w="80" w:type="dxa"/>
              <w:left w:w="120" w:type="dxa"/>
              <w:bottom w:w="80" w:type="dxa"/>
              <w:right w:w="120" w:type="dxa"/>
            </w:tcMar>
            <w:vAlign w:val="center"/>
          </w:tcPr>
          <w:p w14:paraId="34E50F7D"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Невозможно оценить качество управленческих действий</w:t>
            </w:r>
          </w:p>
        </w:tc>
        <w:tc>
          <w:tcPr>
            <w:tcW w:w="3798" w:type="dxa"/>
            <w:tcMar>
              <w:top w:w="80" w:type="dxa"/>
              <w:left w:w="120" w:type="dxa"/>
              <w:bottom w:w="80" w:type="dxa"/>
              <w:right w:w="120" w:type="dxa"/>
            </w:tcMar>
            <w:vAlign w:val="center"/>
          </w:tcPr>
          <w:p w14:paraId="52900626"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Протокол решений и последующий контроль результата</w:t>
            </w:r>
          </w:p>
        </w:tc>
      </w:tr>
    </w:tbl>
    <w:p w14:paraId="570EB22F" w14:textId="5757D967" w:rsidR="00121129" w:rsidRPr="009E0609" w:rsidRDefault="009E0609" w:rsidP="009B1F73">
      <w:pPr>
        <w:widowControl w:val="0"/>
        <w:spacing w:before="120" w:after="0" w:line="360" w:lineRule="auto"/>
        <w:ind w:firstLine="709"/>
        <w:jc w:val="both"/>
        <w:rPr>
          <w:rFonts w:eastAsia="Times New Roman" w:cs="Times New Roman"/>
          <w:color w:val="000000"/>
          <w:szCs w:val="28"/>
          <w:lang w:val="ru-RU"/>
        </w:rPr>
      </w:pPr>
      <w:r w:rsidRPr="009E0609">
        <w:rPr>
          <w:rFonts w:eastAsia="Times New Roman" w:cs="Times New Roman"/>
          <w:color w:val="000000"/>
          <w:szCs w:val="28"/>
          <w:lang w:val="ru-RU"/>
        </w:rPr>
        <w:t xml:space="preserve">Исходя из </w:t>
      </w:r>
      <w:r>
        <w:rPr>
          <w:rFonts w:eastAsia="Times New Roman" w:cs="Times New Roman"/>
          <w:color w:val="000000"/>
          <w:szCs w:val="28"/>
          <w:lang w:val="ru-RU"/>
        </w:rPr>
        <w:t>д</w:t>
      </w:r>
      <w:r w:rsidRPr="00B23776">
        <w:rPr>
          <w:rFonts w:eastAsia="Times New Roman" w:cs="Times New Roman"/>
          <w:color w:val="000000"/>
          <w:szCs w:val="28"/>
          <w:lang w:val="ru-RU"/>
        </w:rPr>
        <w:t>иагностик</w:t>
      </w:r>
      <w:r>
        <w:rPr>
          <w:rFonts w:eastAsia="Times New Roman" w:cs="Times New Roman"/>
          <w:color w:val="000000"/>
          <w:szCs w:val="28"/>
          <w:lang w:val="ru-RU"/>
        </w:rPr>
        <w:t>и</w:t>
      </w:r>
      <w:r w:rsidRPr="00B23776">
        <w:rPr>
          <w:rFonts w:eastAsia="Times New Roman" w:cs="Times New Roman"/>
          <w:color w:val="000000"/>
          <w:szCs w:val="28"/>
          <w:lang w:val="ru-RU"/>
        </w:rPr>
        <w:t xml:space="preserve"> фрагментарности управления рисками портфеля</w:t>
      </w:r>
      <w:r w:rsidRPr="009E0609">
        <w:rPr>
          <w:rFonts w:eastAsia="Times New Roman" w:cs="Times New Roman"/>
          <w:color w:val="000000"/>
          <w:szCs w:val="28"/>
          <w:lang w:val="ru-RU"/>
        </w:rPr>
        <w:t xml:space="preserve"> </w:t>
      </w:r>
      <w:r w:rsidR="00F077B9" w:rsidRPr="009E0609">
        <w:rPr>
          <w:rFonts w:eastAsia="Times New Roman" w:cs="Times New Roman"/>
          <w:color w:val="000000"/>
          <w:szCs w:val="28"/>
          <w:lang w:val="ru-RU"/>
        </w:rPr>
        <w:t>проблема состоит не в отсутствии показателей, а в отсутствии связи между расчетом, интерпретацией и действием по портфелю.</w:t>
      </w:r>
    </w:p>
    <w:p w14:paraId="69D69F3F" w14:textId="77777777" w:rsidR="00121129" w:rsidRPr="00AB4C8A" w:rsidRDefault="00E03C62" w:rsidP="009B1F73">
      <w:pPr>
        <w:pStyle w:val="aff8"/>
      </w:pPr>
      <w:bookmarkStart w:id="10" w:name="_sto_toc_10"/>
      <w:r w:rsidRPr="00B23776">
        <w:t>2.4 Разработка унифицированных методов управления рисками</w:t>
      </w:r>
      <w:bookmarkEnd w:id="10"/>
    </w:p>
    <w:p w14:paraId="69A81C7C"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Разработка унифицированных методов является основным результатом второй главы. Унификация означает установление общего порядка работы с риском. При этом значения лимитов и состав отдельных показателей могут изменяться в зависимости от целей инвестора, структуры портфеля и рыночной ситуации.</w:t>
      </w:r>
    </w:p>
    <w:p w14:paraId="7159B0C3"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Унифицированный контур включает реестр рисков, стандартные формулы и расчетные окна, матрицу лимитов, сценарии, правила диверсификации и хеджирования, а также регламент мониторинга. Для каждого показателя закрепляются источник данных, периодичность обновления и действие при превышении порога [1; 3; 5; 9; 10; 11; 14; 15; 16; 20].</w:t>
      </w:r>
    </w:p>
    <w:p w14:paraId="18DF2260" w14:textId="33121D26"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Предложенный контур создает основу для проверки рабочих гипотез. Изменение финансовых показателей оценивается по данным портфеля, а организационный эффект </w:t>
      </w:r>
      <w:r w:rsidR="009B1F73">
        <w:rPr>
          <w:rFonts w:eastAsia="Times New Roman" w:cs="Times New Roman"/>
          <w:szCs w:val="28"/>
          <w:lang w:val="ru-RU"/>
        </w:rPr>
        <w:t>–</w:t>
      </w:r>
      <w:r w:rsidRPr="00B23776">
        <w:rPr>
          <w:rFonts w:eastAsia="Times New Roman" w:cs="Times New Roman"/>
          <w:szCs w:val="28"/>
          <w:lang w:val="ru-RU"/>
        </w:rPr>
        <w:t xml:space="preserve"> по разбросу оценок, скорости реакции и числу несогласованных действий. Такое разделение позволяет не смешивать финансовый и операционный результаты.</w:t>
      </w:r>
    </w:p>
    <w:p w14:paraId="43368854"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lastRenderedPageBreak/>
        <w:t>В настоящей работе методический инструментарий понимается как система методов и процедур их применения. В него входят информационная база, показатели, лимиты, роли участников, порядок принятия решений и последующий контроль. Результатом применения инструментария должна быть оформленная стратегия управления рисками.</w:t>
      </w:r>
    </w:p>
    <w:p w14:paraId="1E18D4FC"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На первом этапе определяются цели и ограничения инвестора: горизонт, ожидаемая доходность, допустимая просадка, требования к ликвидности, возможность хеджирования и ограничения по концентрации. Эта информация задает критерии, по которым оцениваются результаты портфеля.</w:t>
      </w:r>
    </w:p>
    <w:p w14:paraId="39AF928D"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На втором этапе формируются реестр рисков и карта факторов по каждому классу активов. В реестр включаются рыночный, кредитный, </w:t>
      </w:r>
      <w:proofErr w:type="spellStart"/>
      <w:r w:rsidRPr="00B23776">
        <w:rPr>
          <w:rFonts w:eastAsia="Times New Roman" w:cs="Times New Roman"/>
          <w:szCs w:val="28"/>
          <w:lang w:val="ru-RU"/>
        </w:rPr>
        <w:t>ликвидностный</w:t>
      </w:r>
      <w:proofErr w:type="spellEnd"/>
      <w:r w:rsidRPr="00B23776">
        <w:rPr>
          <w:rFonts w:eastAsia="Times New Roman" w:cs="Times New Roman"/>
          <w:szCs w:val="28"/>
          <w:lang w:val="ru-RU"/>
        </w:rPr>
        <w:t>, модельный, операционный и стратегический риски. Для каждого риска указываются источник, показатель и ответственное лицо.</w:t>
      </w:r>
    </w:p>
    <w:p w14:paraId="1F95FE3F" w14:textId="49827984"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На третьем этапе выполняется количественная оценка по единому набору правил. Используются доходность, волатильность, корреляции, ковариации, </w:t>
      </w:r>
      <w:r>
        <w:rPr>
          <w:rFonts w:eastAsia="Times New Roman" w:cs="Times New Roman"/>
          <w:szCs w:val="28"/>
        </w:rPr>
        <w:t>beta</w:t>
      </w:r>
      <w:r w:rsidRPr="00B23776">
        <w:rPr>
          <w:rFonts w:eastAsia="Times New Roman" w:cs="Times New Roman"/>
          <w:szCs w:val="28"/>
          <w:lang w:val="ru-RU"/>
        </w:rPr>
        <w:t xml:space="preserve">, </w:t>
      </w:r>
      <w:proofErr w:type="spellStart"/>
      <w:r>
        <w:rPr>
          <w:rFonts w:eastAsia="Times New Roman" w:cs="Times New Roman"/>
          <w:szCs w:val="28"/>
        </w:rPr>
        <w:t>VaR</w:t>
      </w:r>
      <w:proofErr w:type="spellEnd"/>
      <w:r w:rsidRPr="00B23776">
        <w:rPr>
          <w:rFonts w:eastAsia="Times New Roman" w:cs="Times New Roman"/>
          <w:szCs w:val="28"/>
          <w:lang w:val="ru-RU"/>
        </w:rPr>
        <w:t xml:space="preserve">, </w:t>
      </w:r>
      <w:r>
        <w:rPr>
          <w:rFonts w:eastAsia="Times New Roman" w:cs="Times New Roman"/>
          <w:szCs w:val="28"/>
        </w:rPr>
        <w:t>CVaR</w:t>
      </w:r>
      <w:r w:rsidRPr="00B23776">
        <w:rPr>
          <w:rFonts w:eastAsia="Times New Roman" w:cs="Times New Roman"/>
          <w:szCs w:val="28"/>
          <w:lang w:val="ru-RU"/>
        </w:rPr>
        <w:t xml:space="preserve">, </w:t>
      </w:r>
      <w:r>
        <w:rPr>
          <w:rFonts w:eastAsia="Times New Roman" w:cs="Times New Roman"/>
          <w:szCs w:val="28"/>
        </w:rPr>
        <w:t>MAD</w:t>
      </w:r>
      <w:r w:rsidRPr="00B23776">
        <w:rPr>
          <w:rFonts w:eastAsia="Times New Roman" w:cs="Times New Roman"/>
          <w:szCs w:val="28"/>
          <w:lang w:val="ru-RU"/>
        </w:rPr>
        <w:t xml:space="preserve"> и стресс-тесты. Базовые показатели обеспечивают сопоставимость расчетов, дополнительные </w:t>
      </w:r>
      <w:r w:rsidR="009B1F73">
        <w:rPr>
          <w:rFonts w:eastAsia="Times New Roman" w:cs="Times New Roman"/>
          <w:szCs w:val="28"/>
          <w:lang w:val="ru-RU"/>
        </w:rPr>
        <w:t>–</w:t>
      </w:r>
      <w:r w:rsidRPr="00B23776">
        <w:rPr>
          <w:rFonts w:eastAsia="Times New Roman" w:cs="Times New Roman"/>
          <w:szCs w:val="28"/>
          <w:lang w:val="ru-RU"/>
        </w:rPr>
        <w:t xml:space="preserve"> помогают оценить потери в нестандартных условиях [3; 5].</w:t>
      </w:r>
    </w:p>
    <w:p w14:paraId="58477440"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На четвертом этапе проводится сценарный анализ. В него включаются рост рынка, снижение, боковая динамика, рост ставок, расширение кредитных спредов и снижение ликвидности. Для каждого сценария оцениваются доходность, просадка, превышение лимитов и изменение структуры портфеля [11; 13; 14; 15; 16].</w:t>
      </w:r>
    </w:p>
    <w:p w14:paraId="4843B263" w14:textId="0712EEEF"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На пятом этапе выбираются меры реагирования. При концентрации используется перераспределение долей, при рыночном риске </w:t>
      </w:r>
      <w:r w:rsidR="009B1F73">
        <w:rPr>
          <w:rFonts w:eastAsia="Times New Roman" w:cs="Times New Roman"/>
          <w:szCs w:val="28"/>
          <w:lang w:val="ru-RU"/>
        </w:rPr>
        <w:t>–</w:t>
      </w:r>
      <w:r w:rsidRPr="00B23776">
        <w:rPr>
          <w:rFonts w:eastAsia="Times New Roman" w:cs="Times New Roman"/>
          <w:szCs w:val="28"/>
          <w:lang w:val="ru-RU"/>
        </w:rPr>
        <w:t xml:space="preserve"> диверсификация или хеджирование, при ухудшении кредитного качества </w:t>
      </w:r>
      <w:r w:rsidR="009B1F73">
        <w:rPr>
          <w:rFonts w:eastAsia="Times New Roman" w:cs="Times New Roman"/>
          <w:szCs w:val="28"/>
          <w:lang w:val="ru-RU"/>
        </w:rPr>
        <w:t>–</w:t>
      </w:r>
      <w:r w:rsidRPr="00B23776">
        <w:rPr>
          <w:rFonts w:eastAsia="Times New Roman" w:cs="Times New Roman"/>
          <w:szCs w:val="28"/>
          <w:lang w:val="ru-RU"/>
        </w:rPr>
        <w:t xml:space="preserve"> ограничение позиции, при снижении ликвидности </w:t>
      </w:r>
      <w:r w:rsidR="009B1F73">
        <w:rPr>
          <w:rFonts w:eastAsia="Times New Roman" w:cs="Times New Roman"/>
          <w:szCs w:val="28"/>
          <w:lang w:val="ru-RU"/>
        </w:rPr>
        <w:t>–</w:t>
      </w:r>
      <w:r w:rsidRPr="00B23776">
        <w:rPr>
          <w:rFonts w:eastAsia="Times New Roman" w:cs="Times New Roman"/>
          <w:szCs w:val="28"/>
          <w:lang w:val="ru-RU"/>
        </w:rPr>
        <w:t xml:space="preserve"> увеличение доли денежных инструментов. Выбор меры должен быть связан с результатом оценки [2; 6; 17; 18].</w:t>
      </w:r>
    </w:p>
    <w:p w14:paraId="681F5275"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На шестом этапе расчеты закрепляются в регламенте. В нем указываются периодичность обновления данных, роли аналитиков, лимиты, триггеры и форма </w:t>
      </w:r>
      <w:r w:rsidRPr="00B23776">
        <w:rPr>
          <w:rFonts w:eastAsia="Times New Roman" w:cs="Times New Roman"/>
          <w:szCs w:val="28"/>
          <w:lang w:val="ru-RU"/>
        </w:rPr>
        <w:lastRenderedPageBreak/>
        <w:t>фиксации решения. Это снижает зависимость результата от индивидуальных таблиц и субъективных действий.</w:t>
      </w:r>
    </w:p>
    <w:p w14:paraId="14AB522F" w14:textId="49FCE0F8"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Завершающий этап </w:t>
      </w:r>
      <w:r w:rsidR="009B1F73">
        <w:rPr>
          <w:rFonts w:eastAsia="Times New Roman" w:cs="Times New Roman"/>
          <w:szCs w:val="28"/>
          <w:lang w:val="ru-RU"/>
        </w:rPr>
        <w:t>–</w:t>
      </w:r>
      <w:r w:rsidRPr="00B23776">
        <w:rPr>
          <w:rFonts w:eastAsia="Times New Roman" w:cs="Times New Roman"/>
          <w:szCs w:val="28"/>
          <w:lang w:val="ru-RU"/>
        </w:rPr>
        <w:t xml:space="preserve"> мониторинг и обратная связь. Сопоставляются целевой и фактический риск, доходность, частота пересмотра весов, соблюдение лимитов и эффективность хеджирования. Отдельно оценивается изменение расхождений между аналитическими выводами.</w:t>
      </w:r>
    </w:p>
    <w:p w14:paraId="0B7C9C56"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Таким образом, методический инструментарий включает семь последовательных элементов: цели и ограничения, реестр рисков, количественную оценку, сценарии, выбор мер, регламент и мониторинг. Такая структура обеспечивает переход от отдельных расчетов к формированию стратегии управления рисками. Унифицированный контур управления рисками представлен в таблице 2.4.</w:t>
      </w:r>
    </w:p>
    <w:p w14:paraId="468638C1" w14:textId="77777777" w:rsidR="00121129" w:rsidRPr="00AB4C8A" w:rsidRDefault="00E03C62" w:rsidP="009B1F73">
      <w:pPr>
        <w:pStyle w:val="affc"/>
        <w:spacing w:after="120"/>
      </w:pPr>
      <w:r w:rsidRPr="00B23776">
        <w:t>Таблица 2.4 – Унифицированный контур методов управления рисками</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637"/>
        <w:gridCol w:w="3912"/>
      </w:tblGrid>
      <w:tr w:rsidR="00121129" w:rsidRPr="009B1F73" w14:paraId="3A38EAD7" w14:textId="77777777" w:rsidTr="00F66FD7">
        <w:trPr>
          <w:cantSplit/>
          <w:tblHeader/>
          <w:jc w:val="center"/>
        </w:trPr>
        <w:tc>
          <w:tcPr>
            <w:tcW w:w="2122" w:type="dxa"/>
            <w:tcMar>
              <w:top w:w="80" w:type="dxa"/>
              <w:left w:w="120" w:type="dxa"/>
              <w:bottom w:w="80" w:type="dxa"/>
              <w:right w:w="120" w:type="dxa"/>
            </w:tcMar>
            <w:vAlign w:val="center"/>
          </w:tcPr>
          <w:p w14:paraId="263C0FB8"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Этап</w:t>
            </w:r>
            <w:proofErr w:type="spellEnd"/>
          </w:p>
        </w:tc>
        <w:tc>
          <w:tcPr>
            <w:tcW w:w="3637" w:type="dxa"/>
            <w:tcMar>
              <w:top w:w="80" w:type="dxa"/>
              <w:left w:w="120" w:type="dxa"/>
              <w:bottom w:w="80" w:type="dxa"/>
              <w:right w:w="120" w:type="dxa"/>
            </w:tcMar>
            <w:vAlign w:val="center"/>
          </w:tcPr>
          <w:p w14:paraId="6933C3E2"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Инструменты</w:t>
            </w:r>
            <w:proofErr w:type="spellEnd"/>
          </w:p>
        </w:tc>
        <w:tc>
          <w:tcPr>
            <w:tcW w:w="3912" w:type="dxa"/>
            <w:tcMar>
              <w:top w:w="80" w:type="dxa"/>
              <w:left w:w="120" w:type="dxa"/>
              <w:bottom w:w="80" w:type="dxa"/>
              <w:right w:w="120" w:type="dxa"/>
            </w:tcMar>
            <w:vAlign w:val="center"/>
          </w:tcPr>
          <w:p w14:paraId="01EE9E3B"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Управленческий</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результат</w:t>
            </w:r>
            <w:proofErr w:type="spellEnd"/>
          </w:p>
        </w:tc>
      </w:tr>
      <w:tr w:rsidR="00121129" w:rsidRPr="0032530F" w14:paraId="20EB939E" w14:textId="77777777" w:rsidTr="00F66FD7">
        <w:trPr>
          <w:cantSplit/>
          <w:jc w:val="center"/>
        </w:trPr>
        <w:tc>
          <w:tcPr>
            <w:tcW w:w="2122" w:type="dxa"/>
            <w:tcMar>
              <w:top w:w="80" w:type="dxa"/>
              <w:left w:w="120" w:type="dxa"/>
              <w:bottom w:w="80" w:type="dxa"/>
              <w:right w:w="120" w:type="dxa"/>
            </w:tcMar>
            <w:vAlign w:val="center"/>
          </w:tcPr>
          <w:p w14:paraId="349616CC" w14:textId="77777777" w:rsidR="00121129" w:rsidRPr="009B1F73" w:rsidRDefault="00E03C62"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Идентификация</w:t>
            </w:r>
            <w:proofErr w:type="spellEnd"/>
          </w:p>
        </w:tc>
        <w:tc>
          <w:tcPr>
            <w:tcW w:w="3637" w:type="dxa"/>
            <w:tcMar>
              <w:top w:w="80" w:type="dxa"/>
              <w:left w:w="120" w:type="dxa"/>
              <w:bottom w:w="80" w:type="dxa"/>
              <w:right w:w="120" w:type="dxa"/>
            </w:tcMar>
            <w:vAlign w:val="center"/>
          </w:tcPr>
          <w:p w14:paraId="7CF54EAC"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Экспертные интервью, реестр рисков, структурный анализ состава портфеля</w:t>
            </w:r>
          </w:p>
        </w:tc>
        <w:tc>
          <w:tcPr>
            <w:tcW w:w="3912" w:type="dxa"/>
            <w:tcMar>
              <w:top w:w="80" w:type="dxa"/>
              <w:left w:w="120" w:type="dxa"/>
              <w:bottom w:w="80" w:type="dxa"/>
              <w:right w:w="120" w:type="dxa"/>
            </w:tcMar>
            <w:vAlign w:val="center"/>
          </w:tcPr>
          <w:p w14:paraId="69D81006"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Выявить полный набор угроз и источников неопределенности</w:t>
            </w:r>
          </w:p>
        </w:tc>
      </w:tr>
      <w:tr w:rsidR="00121129" w:rsidRPr="0032530F" w14:paraId="00DF477F" w14:textId="77777777" w:rsidTr="00F66FD7">
        <w:trPr>
          <w:cantSplit/>
          <w:jc w:val="center"/>
        </w:trPr>
        <w:tc>
          <w:tcPr>
            <w:tcW w:w="2122" w:type="dxa"/>
            <w:tcMar>
              <w:top w:w="80" w:type="dxa"/>
              <w:left w:w="120" w:type="dxa"/>
              <w:bottom w:w="80" w:type="dxa"/>
              <w:right w:w="120" w:type="dxa"/>
            </w:tcMar>
            <w:vAlign w:val="center"/>
          </w:tcPr>
          <w:p w14:paraId="088ADB49" w14:textId="77777777" w:rsidR="00121129" w:rsidRPr="009B1F73" w:rsidRDefault="00E03C62"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Количественная</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оценка</w:t>
            </w:r>
            <w:proofErr w:type="spellEnd"/>
          </w:p>
        </w:tc>
        <w:tc>
          <w:tcPr>
            <w:tcW w:w="3637" w:type="dxa"/>
            <w:tcMar>
              <w:top w:w="80" w:type="dxa"/>
              <w:left w:w="120" w:type="dxa"/>
              <w:bottom w:w="80" w:type="dxa"/>
              <w:right w:w="120" w:type="dxa"/>
            </w:tcMar>
            <w:vAlign w:val="center"/>
          </w:tcPr>
          <w:p w14:paraId="520B2C8D"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 xml:space="preserve">Волатильность, </w:t>
            </w:r>
            <w:r w:rsidRPr="009B1F73">
              <w:rPr>
                <w:rFonts w:eastAsia="Times New Roman" w:cs="Times New Roman"/>
                <w:color w:val="000000"/>
                <w:sz w:val="24"/>
                <w:szCs w:val="24"/>
              </w:rPr>
              <w:t>beta</w:t>
            </w:r>
            <w:r w:rsidRPr="009B1F73">
              <w:rPr>
                <w:rFonts w:eastAsia="Times New Roman" w:cs="Times New Roman"/>
                <w:color w:val="000000"/>
                <w:sz w:val="24"/>
                <w:szCs w:val="24"/>
                <w:lang w:val="ru-RU"/>
              </w:rPr>
              <w:t xml:space="preserve">, ковариации, </w:t>
            </w:r>
            <w:proofErr w:type="spellStart"/>
            <w:r w:rsidRPr="009B1F73">
              <w:rPr>
                <w:rFonts w:eastAsia="Times New Roman" w:cs="Times New Roman"/>
                <w:color w:val="000000"/>
                <w:sz w:val="24"/>
                <w:szCs w:val="24"/>
              </w:rPr>
              <w:t>VaR</w:t>
            </w:r>
            <w:proofErr w:type="spellEnd"/>
            <w:r w:rsidRPr="009B1F73">
              <w:rPr>
                <w:rFonts w:eastAsia="Times New Roman" w:cs="Times New Roman"/>
                <w:color w:val="000000"/>
                <w:sz w:val="24"/>
                <w:szCs w:val="24"/>
                <w:lang w:val="ru-RU"/>
              </w:rPr>
              <w:t xml:space="preserve">, </w:t>
            </w:r>
            <w:r w:rsidRPr="009B1F73">
              <w:rPr>
                <w:rFonts w:eastAsia="Times New Roman" w:cs="Times New Roman"/>
                <w:color w:val="000000"/>
                <w:sz w:val="24"/>
                <w:szCs w:val="24"/>
              </w:rPr>
              <w:t>CVaR</w:t>
            </w:r>
            <w:r w:rsidRPr="009B1F73">
              <w:rPr>
                <w:rFonts w:eastAsia="Times New Roman" w:cs="Times New Roman"/>
                <w:color w:val="000000"/>
                <w:sz w:val="24"/>
                <w:szCs w:val="24"/>
                <w:lang w:val="ru-RU"/>
              </w:rPr>
              <w:t xml:space="preserve">, </w:t>
            </w:r>
            <w:r w:rsidRPr="009B1F73">
              <w:rPr>
                <w:rFonts w:eastAsia="Times New Roman" w:cs="Times New Roman"/>
                <w:color w:val="000000"/>
                <w:sz w:val="24"/>
                <w:szCs w:val="24"/>
              </w:rPr>
              <w:t>MAD</w:t>
            </w:r>
            <w:r w:rsidRPr="009B1F73">
              <w:rPr>
                <w:rFonts w:eastAsia="Times New Roman" w:cs="Times New Roman"/>
                <w:color w:val="000000"/>
                <w:sz w:val="24"/>
                <w:szCs w:val="24"/>
                <w:lang w:val="ru-RU"/>
              </w:rPr>
              <w:t>, стресс-тесты</w:t>
            </w:r>
          </w:p>
        </w:tc>
        <w:tc>
          <w:tcPr>
            <w:tcW w:w="3912" w:type="dxa"/>
            <w:tcMar>
              <w:top w:w="80" w:type="dxa"/>
              <w:left w:w="120" w:type="dxa"/>
              <w:bottom w:w="80" w:type="dxa"/>
              <w:right w:w="120" w:type="dxa"/>
            </w:tcMar>
            <w:vAlign w:val="center"/>
          </w:tcPr>
          <w:p w14:paraId="11B8FD6F"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Оценить масштаб риска в базовом и стрессовом режимах</w:t>
            </w:r>
          </w:p>
        </w:tc>
      </w:tr>
      <w:tr w:rsidR="00121129" w:rsidRPr="0032530F" w14:paraId="2395E204" w14:textId="77777777" w:rsidTr="00F66FD7">
        <w:trPr>
          <w:cantSplit/>
          <w:jc w:val="center"/>
        </w:trPr>
        <w:tc>
          <w:tcPr>
            <w:tcW w:w="2122" w:type="dxa"/>
            <w:tcMar>
              <w:top w:w="80" w:type="dxa"/>
              <w:left w:w="120" w:type="dxa"/>
              <w:bottom w:w="80" w:type="dxa"/>
              <w:right w:w="120" w:type="dxa"/>
            </w:tcMar>
            <w:vAlign w:val="center"/>
          </w:tcPr>
          <w:p w14:paraId="10C68125" w14:textId="77777777" w:rsidR="00121129" w:rsidRPr="009B1F73" w:rsidRDefault="00E03C62"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Факторный</w:t>
            </w:r>
            <w:proofErr w:type="spellEnd"/>
            <w:r w:rsidRPr="009B1F73">
              <w:rPr>
                <w:rFonts w:eastAsia="Times New Roman" w:cs="Times New Roman"/>
                <w:color w:val="000000"/>
                <w:sz w:val="24"/>
                <w:szCs w:val="24"/>
              </w:rPr>
              <w:t xml:space="preserve"> и </w:t>
            </w:r>
            <w:proofErr w:type="spellStart"/>
            <w:r w:rsidRPr="009B1F73">
              <w:rPr>
                <w:rFonts w:eastAsia="Times New Roman" w:cs="Times New Roman"/>
                <w:color w:val="000000"/>
                <w:sz w:val="24"/>
                <w:szCs w:val="24"/>
              </w:rPr>
              <w:t>сценарный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анализ</w:t>
            </w:r>
            <w:proofErr w:type="spellEnd"/>
          </w:p>
        </w:tc>
        <w:tc>
          <w:tcPr>
            <w:tcW w:w="3637" w:type="dxa"/>
            <w:tcMar>
              <w:top w:w="80" w:type="dxa"/>
              <w:left w:w="120" w:type="dxa"/>
              <w:bottom w:w="80" w:type="dxa"/>
              <w:right w:w="120" w:type="dxa"/>
            </w:tcMar>
            <w:vAlign w:val="center"/>
          </w:tcPr>
          <w:p w14:paraId="2A553027" w14:textId="77777777" w:rsidR="00121129" w:rsidRPr="009B1F73" w:rsidRDefault="00E03C62">
            <w:pPr>
              <w:widowControl w:val="0"/>
              <w:spacing w:after="0" w:line="240" w:lineRule="auto"/>
              <w:rPr>
                <w:rFonts w:eastAsia="Times New Roman" w:cs="Times New Roman"/>
                <w:sz w:val="24"/>
                <w:szCs w:val="24"/>
              </w:rPr>
            </w:pPr>
            <w:r w:rsidRPr="009B1F73">
              <w:rPr>
                <w:rFonts w:eastAsia="Times New Roman" w:cs="Times New Roman"/>
                <w:color w:val="000000"/>
                <w:sz w:val="24"/>
                <w:szCs w:val="24"/>
              </w:rPr>
              <w:t xml:space="preserve">CAPM, APT, sensitivity analysis, </w:t>
            </w:r>
            <w:proofErr w:type="spellStart"/>
            <w:r w:rsidRPr="009B1F73">
              <w:rPr>
                <w:rFonts w:eastAsia="Times New Roman" w:cs="Times New Roman"/>
                <w:color w:val="000000"/>
                <w:sz w:val="24"/>
                <w:szCs w:val="24"/>
              </w:rPr>
              <w:t>сценарии</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рынка</w:t>
            </w:r>
            <w:proofErr w:type="spellEnd"/>
          </w:p>
        </w:tc>
        <w:tc>
          <w:tcPr>
            <w:tcW w:w="3912" w:type="dxa"/>
            <w:tcMar>
              <w:top w:w="80" w:type="dxa"/>
              <w:left w:w="120" w:type="dxa"/>
              <w:bottom w:w="80" w:type="dxa"/>
              <w:right w:w="120" w:type="dxa"/>
            </w:tcMar>
            <w:vAlign w:val="center"/>
          </w:tcPr>
          <w:p w14:paraId="212500A1"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Понять факторы риска и их изменение по режимам</w:t>
            </w:r>
          </w:p>
        </w:tc>
      </w:tr>
      <w:tr w:rsidR="00121129" w:rsidRPr="0032530F" w14:paraId="731DE9F8" w14:textId="77777777" w:rsidTr="00F66FD7">
        <w:trPr>
          <w:cantSplit/>
          <w:jc w:val="center"/>
        </w:trPr>
        <w:tc>
          <w:tcPr>
            <w:tcW w:w="2122" w:type="dxa"/>
            <w:tcMar>
              <w:top w:w="80" w:type="dxa"/>
              <w:left w:w="120" w:type="dxa"/>
              <w:bottom w:w="80" w:type="dxa"/>
              <w:right w:w="120" w:type="dxa"/>
            </w:tcMar>
            <w:vAlign w:val="center"/>
          </w:tcPr>
          <w:p w14:paraId="480C7427" w14:textId="77777777" w:rsidR="00121129" w:rsidRPr="009B1F73" w:rsidRDefault="00E03C62"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Выбор</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реагирования</w:t>
            </w:r>
            <w:proofErr w:type="spellEnd"/>
          </w:p>
        </w:tc>
        <w:tc>
          <w:tcPr>
            <w:tcW w:w="3637" w:type="dxa"/>
            <w:tcMar>
              <w:top w:w="80" w:type="dxa"/>
              <w:left w:w="120" w:type="dxa"/>
              <w:bottom w:w="80" w:type="dxa"/>
              <w:right w:w="120" w:type="dxa"/>
            </w:tcMar>
            <w:vAlign w:val="center"/>
          </w:tcPr>
          <w:p w14:paraId="20D0E34F"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Диверсификация, хеджирование, лимиты, защитные активы</w:t>
            </w:r>
          </w:p>
        </w:tc>
        <w:tc>
          <w:tcPr>
            <w:tcW w:w="3912" w:type="dxa"/>
            <w:tcMar>
              <w:top w:w="80" w:type="dxa"/>
              <w:left w:w="120" w:type="dxa"/>
              <w:bottom w:w="80" w:type="dxa"/>
              <w:right w:w="120" w:type="dxa"/>
            </w:tcMar>
            <w:vAlign w:val="center"/>
          </w:tcPr>
          <w:p w14:paraId="08AD157C"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Подобрать меры в зависимости от типа риска</w:t>
            </w:r>
          </w:p>
        </w:tc>
      </w:tr>
      <w:tr w:rsidR="00121129" w:rsidRPr="0032530F" w14:paraId="5039EB4F" w14:textId="77777777" w:rsidTr="00F66FD7">
        <w:trPr>
          <w:cantSplit/>
          <w:jc w:val="center"/>
        </w:trPr>
        <w:tc>
          <w:tcPr>
            <w:tcW w:w="2122" w:type="dxa"/>
            <w:tcMar>
              <w:top w:w="80" w:type="dxa"/>
              <w:left w:w="120" w:type="dxa"/>
              <w:bottom w:w="80" w:type="dxa"/>
              <w:right w:w="120" w:type="dxa"/>
            </w:tcMar>
            <w:vAlign w:val="center"/>
          </w:tcPr>
          <w:p w14:paraId="5DA5CA93" w14:textId="77777777" w:rsidR="00121129" w:rsidRPr="009B1F73" w:rsidRDefault="00E03C62"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Мониторинг</w:t>
            </w:r>
            <w:proofErr w:type="spellEnd"/>
          </w:p>
        </w:tc>
        <w:tc>
          <w:tcPr>
            <w:tcW w:w="3637" w:type="dxa"/>
            <w:tcMar>
              <w:top w:w="80" w:type="dxa"/>
              <w:left w:w="120" w:type="dxa"/>
              <w:bottom w:w="80" w:type="dxa"/>
              <w:right w:w="120" w:type="dxa"/>
            </w:tcMar>
            <w:vAlign w:val="center"/>
          </w:tcPr>
          <w:p w14:paraId="3C59506E" w14:textId="31B1232C"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 xml:space="preserve">Триггеры, </w:t>
            </w:r>
            <w:r w:rsidR="009E0609" w:rsidRPr="009B1F73">
              <w:rPr>
                <w:rFonts w:eastAsia="Times New Roman" w:cs="Times New Roman"/>
                <w:color w:val="000000"/>
                <w:sz w:val="24"/>
                <w:szCs w:val="24"/>
                <w:lang w:val="ru-RU"/>
              </w:rPr>
              <w:t>дашборды</w:t>
            </w:r>
            <w:r w:rsidRPr="009B1F73">
              <w:rPr>
                <w:rFonts w:eastAsia="Times New Roman" w:cs="Times New Roman"/>
                <w:color w:val="000000"/>
                <w:sz w:val="24"/>
                <w:szCs w:val="24"/>
                <w:lang w:val="ru-RU"/>
              </w:rPr>
              <w:t>, контроль лимитов, пересмотр корреляций</w:t>
            </w:r>
          </w:p>
        </w:tc>
        <w:tc>
          <w:tcPr>
            <w:tcW w:w="3912" w:type="dxa"/>
            <w:tcMar>
              <w:top w:w="80" w:type="dxa"/>
              <w:left w:w="120" w:type="dxa"/>
              <w:bottom w:w="80" w:type="dxa"/>
              <w:right w:w="120" w:type="dxa"/>
            </w:tcMar>
            <w:vAlign w:val="center"/>
          </w:tcPr>
          <w:p w14:paraId="496F5C6F"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Поддерживать стратегию в актуальном состоянии</w:t>
            </w:r>
          </w:p>
        </w:tc>
      </w:tr>
    </w:tbl>
    <w:p w14:paraId="59051F7F" w14:textId="5C7D93B3" w:rsidR="00121129" w:rsidRPr="009E0609" w:rsidRDefault="009E0609" w:rsidP="009B1F73">
      <w:pPr>
        <w:widowControl w:val="0"/>
        <w:spacing w:before="120" w:after="0" w:line="360" w:lineRule="auto"/>
        <w:ind w:firstLine="709"/>
        <w:jc w:val="both"/>
        <w:rPr>
          <w:rFonts w:eastAsia="Times New Roman" w:cs="Times New Roman"/>
          <w:color w:val="000000"/>
          <w:szCs w:val="28"/>
          <w:lang w:val="ru-RU"/>
        </w:rPr>
      </w:pPr>
      <w:r w:rsidRPr="009E0609">
        <w:rPr>
          <w:rFonts w:eastAsia="Times New Roman" w:cs="Times New Roman"/>
          <w:color w:val="000000"/>
          <w:szCs w:val="28"/>
          <w:lang w:val="ru-RU"/>
        </w:rPr>
        <w:t>Для к</w:t>
      </w:r>
      <w:r w:rsidR="00F077B9" w:rsidRPr="009E0609">
        <w:rPr>
          <w:rFonts w:eastAsia="Times New Roman" w:cs="Times New Roman"/>
          <w:color w:val="000000"/>
          <w:szCs w:val="28"/>
          <w:lang w:val="ru-RU"/>
        </w:rPr>
        <w:t>ажд</w:t>
      </w:r>
      <w:r w:rsidRPr="009E0609">
        <w:rPr>
          <w:rFonts w:eastAsia="Times New Roman" w:cs="Times New Roman"/>
          <w:color w:val="000000"/>
          <w:szCs w:val="28"/>
          <w:lang w:val="ru-RU"/>
        </w:rPr>
        <w:t>ого</w:t>
      </w:r>
      <w:r w:rsidR="00F077B9" w:rsidRPr="009E0609">
        <w:rPr>
          <w:rFonts w:eastAsia="Times New Roman" w:cs="Times New Roman"/>
          <w:color w:val="000000"/>
          <w:szCs w:val="28"/>
          <w:lang w:val="ru-RU"/>
        </w:rPr>
        <w:t xml:space="preserve"> этап</w:t>
      </w:r>
      <w:r w:rsidRPr="009E0609">
        <w:rPr>
          <w:rFonts w:eastAsia="Times New Roman" w:cs="Times New Roman"/>
          <w:color w:val="000000"/>
          <w:szCs w:val="28"/>
          <w:lang w:val="ru-RU"/>
        </w:rPr>
        <w:t>а</w:t>
      </w:r>
      <w:r w:rsidR="00F077B9" w:rsidRPr="009E0609">
        <w:rPr>
          <w:rFonts w:eastAsia="Times New Roman" w:cs="Times New Roman"/>
          <w:color w:val="000000"/>
          <w:szCs w:val="28"/>
          <w:lang w:val="ru-RU"/>
        </w:rPr>
        <w:t xml:space="preserve"> </w:t>
      </w:r>
      <w:r w:rsidRPr="009E0609">
        <w:rPr>
          <w:rFonts w:eastAsia="Times New Roman" w:cs="Times New Roman"/>
          <w:color w:val="000000"/>
          <w:szCs w:val="28"/>
          <w:lang w:val="ru-RU"/>
        </w:rPr>
        <w:t>требуется получить</w:t>
      </w:r>
      <w:r w:rsidR="00F077B9" w:rsidRPr="009E0609">
        <w:rPr>
          <w:rFonts w:eastAsia="Times New Roman" w:cs="Times New Roman"/>
          <w:color w:val="000000"/>
          <w:szCs w:val="28"/>
          <w:lang w:val="ru-RU"/>
        </w:rPr>
        <w:t xml:space="preserve"> конкретный результат и ответное действие</w:t>
      </w:r>
      <w:r w:rsidRPr="009E0609">
        <w:rPr>
          <w:rFonts w:eastAsia="Times New Roman" w:cs="Times New Roman"/>
          <w:color w:val="000000"/>
          <w:szCs w:val="28"/>
          <w:lang w:val="ru-RU"/>
        </w:rPr>
        <w:t xml:space="preserve">, что будет отражать, что </w:t>
      </w:r>
      <w:r>
        <w:rPr>
          <w:rFonts w:eastAsia="Times New Roman" w:cs="Times New Roman"/>
          <w:color w:val="000000"/>
          <w:szCs w:val="28"/>
          <w:lang w:val="ru-RU"/>
        </w:rPr>
        <w:t>у</w:t>
      </w:r>
      <w:r w:rsidRPr="00B23776">
        <w:rPr>
          <w:rFonts w:eastAsia="Times New Roman" w:cs="Times New Roman"/>
          <w:color w:val="000000"/>
          <w:szCs w:val="28"/>
          <w:lang w:val="ru-RU"/>
        </w:rPr>
        <w:t>нифицированный контур методов управления рисками</w:t>
      </w:r>
      <w:r>
        <w:rPr>
          <w:rFonts w:eastAsia="Times New Roman" w:cs="Times New Roman"/>
          <w:color w:val="000000"/>
          <w:szCs w:val="28"/>
          <w:lang w:val="ru-RU"/>
        </w:rPr>
        <w:t xml:space="preserve"> не является обычной стратегией</w:t>
      </w:r>
      <w:r w:rsidR="00F077B9" w:rsidRPr="009E0609">
        <w:rPr>
          <w:rFonts w:eastAsia="Times New Roman" w:cs="Times New Roman"/>
          <w:color w:val="000000"/>
          <w:szCs w:val="28"/>
          <w:lang w:val="ru-RU"/>
        </w:rPr>
        <w:t>.</w:t>
      </w:r>
    </w:p>
    <w:p w14:paraId="34963742" w14:textId="77777777" w:rsidR="00121129" w:rsidRPr="00AB4C8A" w:rsidRDefault="00E03C62" w:rsidP="009B1F73">
      <w:pPr>
        <w:pStyle w:val="affa"/>
      </w:pPr>
      <w:bookmarkStart w:id="11" w:name="_sto_toc_11"/>
      <w:r w:rsidRPr="00B23776">
        <w:lastRenderedPageBreak/>
        <w:t>3 Разработка и апробация методического инструментария формирования стратегии управления рисками инвестиционного портфеля</w:t>
      </w:r>
      <w:bookmarkEnd w:id="11"/>
    </w:p>
    <w:p w14:paraId="01D2BCF1" w14:textId="545FFAF9"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Цель третьей главы </w:t>
      </w:r>
      <w:r w:rsidR="009B1F73">
        <w:rPr>
          <w:rFonts w:eastAsia="Times New Roman" w:cs="Times New Roman"/>
          <w:szCs w:val="28"/>
          <w:lang w:val="ru-RU"/>
        </w:rPr>
        <w:t>–</w:t>
      </w:r>
      <w:r w:rsidRPr="00B23776">
        <w:rPr>
          <w:rFonts w:eastAsia="Times New Roman" w:cs="Times New Roman"/>
          <w:szCs w:val="28"/>
          <w:lang w:val="ru-RU"/>
        </w:rPr>
        <w:t xml:space="preserve"> описать применение предложенного алгоритма, порядок сценарного тестирования и критерии оценки его влияния на риск, доходность и операционную согласованность решений.</w:t>
      </w:r>
    </w:p>
    <w:p w14:paraId="0CA7147D" w14:textId="77777777" w:rsidR="00121129" w:rsidRPr="00AB4C8A" w:rsidRDefault="00E03C62" w:rsidP="009B1F73">
      <w:pPr>
        <w:pStyle w:val="aff8"/>
      </w:pPr>
      <w:bookmarkStart w:id="12" w:name="_sto_toc_12"/>
      <w:r w:rsidRPr="00B23776">
        <w:t>3.1 Применение предложенного алгоритма на исторических данных и демо-счетах</w:t>
      </w:r>
      <w:bookmarkEnd w:id="12"/>
    </w:p>
    <w:p w14:paraId="00C9B5F7"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Апробация методического инструментария проводится на исторических данных и демо-счетах. Такой формат позволяет проверить расчеты и организационную реализуемость подхода без привлечения реального капитала.</w:t>
      </w:r>
    </w:p>
    <w:p w14:paraId="555671D4"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Алгоритм апробации включает семь этапов: постановку целей, формирование реестра рисков, расчет показателей, сценарный анализ, выбор мер реагирования, регламентацию и мониторинг. Каждый этап имеет самостоятельный результат и связан со следующим этапом.</w:t>
      </w:r>
    </w:p>
    <w:p w14:paraId="7059A9EF" w14:textId="083BCEB6" w:rsidR="00121129" w:rsidRPr="00E253E6"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Исторические данные используются для сравнения портфеля в различных рыночных режимах. Демо-счета позволяют проверить порядок обновления показателей, фиксацию сигналов, проведение ребалансировки и соблюдение установленных правил</w:t>
      </w:r>
      <w:r w:rsidR="00E253E6" w:rsidRPr="00E253E6">
        <w:rPr>
          <w:rFonts w:eastAsia="Times New Roman" w:cs="Times New Roman"/>
          <w:szCs w:val="28"/>
          <w:lang w:val="ru-RU"/>
        </w:rPr>
        <w:t>:</w:t>
      </w:r>
    </w:p>
    <w:p w14:paraId="3AD92505" w14:textId="77777777" w:rsidR="00121129" w:rsidRPr="00AB4C8A" w:rsidRDefault="00E03C62">
      <w:pPr>
        <w:pStyle w:val="a"/>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Определить цели инвестора, горизонт и допустимый уровень риска.</w:t>
      </w:r>
    </w:p>
    <w:p w14:paraId="376DF993" w14:textId="77777777" w:rsidR="00121129" w:rsidRPr="00AB4C8A" w:rsidRDefault="00E03C62">
      <w:pPr>
        <w:pStyle w:val="a"/>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Сформировать реестр рисков и карту факторов для портфеля.</w:t>
      </w:r>
    </w:p>
    <w:p w14:paraId="110C3E31" w14:textId="77777777" w:rsidR="00121129" w:rsidRPr="00AB4C8A" w:rsidRDefault="00E03C62">
      <w:pPr>
        <w:pStyle w:val="a"/>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Рассчитать базовые и дополнительные показатели риска.</w:t>
      </w:r>
    </w:p>
    <w:p w14:paraId="1DBAA3B6" w14:textId="77777777" w:rsidR="00121129" w:rsidRPr="00AB4C8A" w:rsidRDefault="00E03C62">
      <w:pPr>
        <w:pStyle w:val="a"/>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Проверить портфель в основных и стрессовых сценариях.</w:t>
      </w:r>
    </w:p>
    <w:p w14:paraId="1C2742A7" w14:textId="77777777" w:rsidR="00121129" w:rsidRPr="00AB4C8A" w:rsidRDefault="00E03C62">
      <w:pPr>
        <w:pStyle w:val="a"/>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Выбрать диверсификацию, хеджирование, лимитирование или изменение долей активов.</w:t>
      </w:r>
    </w:p>
    <w:p w14:paraId="2934C9BA" w14:textId="77777777" w:rsidR="00121129" w:rsidRPr="00AB4C8A" w:rsidRDefault="00E03C62">
      <w:pPr>
        <w:pStyle w:val="a"/>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Закрепить роли, сроки обновления, лимиты и триггеры.</w:t>
      </w:r>
    </w:p>
    <w:p w14:paraId="382B2612" w14:textId="77777777" w:rsidR="00E253E6" w:rsidRPr="009E0609" w:rsidRDefault="00E03C62">
      <w:pPr>
        <w:pStyle w:val="a"/>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Провести мониторинг и скорректировать стратегию по результатам проверки. </w:t>
      </w:r>
    </w:p>
    <w:p w14:paraId="692B9BDD" w14:textId="7975D2F6" w:rsidR="00121129" w:rsidRPr="00E253E6" w:rsidRDefault="00E03C62" w:rsidP="00E253E6">
      <w:pPr>
        <w:pStyle w:val="a"/>
        <w:widowControl w:val="0"/>
        <w:numPr>
          <w:ilvl w:val="0"/>
          <w:numId w:val="0"/>
        </w:numPr>
        <w:spacing w:after="0" w:line="360" w:lineRule="auto"/>
        <w:ind w:left="1069"/>
        <w:jc w:val="both"/>
        <w:rPr>
          <w:rFonts w:eastAsia="Times New Roman" w:cs="Times New Roman"/>
          <w:szCs w:val="28"/>
          <w:lang w:val="ru-RU"/>
        </w:rPr>
      </w:pPr>
      <w:r w:rsidRPr="00B23776">
        <w:rPr>
          <w:rFonts w:eastAsia="Times New Roman" w:cs="Times New Roman"/>
          <w:szCs w:val="28"/>
          <w:lang w:val="ru-RU"/>
        </w:rPr>
        <w:t>Параметры апробации методического подхода приведены в таблице 3.1.</w:t>
      </w:r>
    </w:p>
    <w:p w14:paraId="49076F6F" w14:textId="77777777" w:rsidR="00121129" w:rsidRPr="00C50F20" w:rsidRDefault="00E03C62" w:rsidP="009B1F73">
      <w:pPr>
        <w:pStyle w:val="affc"/>
        <w:spacing w:after="120"/>
      </w:pPr>
      <w:r w:rsidRPr="00C50F20">
        <w:lastRenderedPageBreak/>
        <w:t>Таблица 3.1 – Параметры апробации методического подхода</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4252"/>
        <w:gridCol w:w="3515"/>
      </w:tblGrid>
      <w:tr w:rsidR="00121129" w:rsidRPr="009B1F73" w14:paraId="0EE7DC7F" w14:textId="77777777" w:rsidTr="00F66FD7">
        <w:trPr>
          <w:cantSplit/>
          <w:tblHeader/>
          <w:jc w:val="center"/>
        </w:trPr>
        <w:tc>
          <w:tcPr>
            <w:tcW w:w="1904" w:type="dxa"/>
            <w:tcMar>
              <w:top w:w="80" w:type="dxa"/>
              <w:left w:w="120" w:type="dxa"/>
              <w:bottom w:w="80" w:type="dxa"/>
              <w:right w:w="120" w:type="dxa"/>
            </w:tcMar>
            <w:vAlign w:val="center"/>
          </w:tcPr>
          <w:p w14:paraId="3D4AE2B8"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Элемент</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апробации</w:t>
            </w:r>
            <w:proofErr w:type="spellEnd"/>
          </w:p>
        </w:tc>
        <w:tc>
          <w:tcPr>
            <w:tcW w:w="4252" w:type="dxa"/>
            <w:tcMar>
              <w:top w:w="80" w:type="dxa"/>
              <w:left w:w="120" w:type="dxa"/>
              <w:bottom w:w="80" w:type="dxa"/>
              <w:right w:w="120" w:type="dxa"/>
            </w:tcMar>
            <w:vAlign w:val="center"/>
          </w:tcPr>
          <w:p w14:paraId="7CE88E2C"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Содержание</w:t>
            </w:r>
            <w:proofErr w:type="spellEnd"/>
          </w:p>
        </w:tc>
        <w:tc>
          <w:tcPr>
            <w:tcW w:w="3515" w:type="dxa"/>
            <w:tcMar>
              <w:top w:w="80" w:type="dxa"/>
              <w:left w:w="120" w:type="dxa"/>
              <w:bottom w:w="80" w:type="dxa"/>
              <w:right w:w="120" w:type="dxa"/>
            </w:tcMar>
            <w:vAlign w:val="center"/>
          </w:tcPr>
          <w:p w14:paraId="00A32C51"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Исследовательская</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цель</w:t>
            </w:r>
            <w:proofErr w:type="spellEnd"/>
          </w:p>
        </w:tc>
      </w:tr>
      <w:tr w:rsidR="00121129" w:rsidRPr="0032530F" w14:paraId="797AEB8A" w14:textId="77777777" w:rsidTr="00F66FD7">
        <w:trPr>
          <w:cantSplit/>
          <w:jc w:val="center"/>
        </w:trPr>
        <w:tc>
          <w:tcPr>
            <w:tcW w:w="1904" w:type="dxa"/>
            <w:tcMar>
              <w:top w:w="80" w:type="dxa"/>
              <w:left w:w="120" w:type="dxa"/>
              <w:bottom w:w="80" w:type="dxa"/>
              <w:right w:w="120" w:type="dxa"/>
            </w:tcMar>
            <w:vAlign w:val="center"/>
          </w:tcPr>
          <w:p w14:paraId="7002A909"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Объект</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тестирования</w:t>
            </w:r>
            <w:proofErr w:type="spellEnd"/>
          </w:p>
        </w:tc>
        <w:tc>
          <w:tcPr>
            <w:tcW w:w="4252" w:type="dxa"/>
            <w:tcMar>
              <w:top w:w="80" w:type="dxa"/>
              <w:left w:w="120" w:type="dxa"/>
              <w:bottom w:w="80" w:type="dxa"/>
              <w:right w:w="120" w:type="dxa"/>
            </w:tcMar>
            <w:vAlign w:val="center"/>
          </w:tcPr>
          <w:p w14:paraId="311BACC1"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Диверсифицированный портфель акций, облигаций и инструментов денежного рынка</w:t>
            </w:r>
          </w:p>
        </w:tc>
        <w:tc>
          <w:tcPr>
            <w:tcW w:w="3515" w:type="dxa"/>
            <w:tcMar>
              <w:top w:w="80" w:type="dxa"/>
              <w:left w:w="120" w:type="dxa"/>
              <w:bottom w:w="80" w:type="dxa"/>
              <w:right w:w="120" w:type="dxa"/>
            </w:tcMar>
            <w:vAlign w:val="center"/>
          </w:tcPr>
          <w:p w14:paraId="0DBF2855"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Сохранить соответствие исходной исследовательской ситуации</w:t>
            </w:r>
          </w:p>
        </w:tc>
      </w:tr>
      <w:tr w:rsidR="00121129" w:rsidRPr="0032530F" w14:paraId="095F1BA8" w14:textId="77777777" w:rsidTr="00F66FD7">
        <w:trPr>
          <w:cantSplit/>
          <w:jc w:val="center"/>
        </w:trPr>
        <w:tc>
          <w:tcPr>
            <w:tcW w:w="1904" w:type="dxa"/>
            <w:tcMar>
              <w:top w:w="80" w:type="dxa"/>
              <w:left w:w="120" w:type="dxa"/>
              <w:bottom w:w="80" w:type="dxa"/>
              <w:right w:w="120" w:type="dxa"/>
            </w:tcMar>
            <w:vAlign w:val="center"/>
          </w:tcPr>
          <w:p w14:paraId="7BAB02D8"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Информационная</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база</w:t>
            </w:r>
            <w:proofErr w:type="spellEnd"/>
          </w:p>
        </w:tc>
        <w:tc>
          <w:tcPr>
            <w:tcW w:w="4252" w:type="dxa"/>
            <w:tcMar>
              <w:top w:w="80" w:type="dxa"/>
              <w:left w:w="120" w:type="dxa"/>
              <w:bottom w:w="80" w:type="dxa"/>
              <w:right w:w="120" w:type="dxa"/>
            </w:tcMar>
            <w:vAlign w:val="center"/>
          </w:tcPr>
          <w:p w14:paraId="6A990018"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Исторические данные по доходности, ставкам, спредам, волатильности и корреляциям</w:t>
            </w:r>
          </w:p>
        </w:tc>
        <w:tc>
          <w:tcPr>
            <w:tcW w:w="3515" w:type="dxa"/>
            <w:tcMar>
              <w:top w:w="80" w:type="dxa"/>
              <w:left w:w="120" w:type="dxa"/>
              <w:bottom w:w="80" w:type="dxa"/>
              <w:right w:w="120" w:type="dxa"/>
            </w:tcMar>
            <w:vAlign w:val="center"/>
          </w:tcPr>
          <w:p w14:paraId="0AA57AA7"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Оценить работу алгоритма в разных рыночных режимах</w:t>
            </w:r>
          </w:p>
        </w:tc>
      </w:tr>
      <w:tr w:rsidR="00121129" w:rsidRPr="0032530F" w14:paraId="6FFE4149" w14:textId="77777777" w:rsidTr="00F66FD7">
        <w:trPr>
          <w:cantSplit/>
          <w:trHeight w:val="851"/>
          <w:jc w:val="center"/>
        </w:trPr>
        <w:tc>
          <w:tcPr>
            <w:tcW w:w="1904" w:type="dxa"/>
            <w:tcMar>
              <w:top w:w="80" w:type="dxa"/>
              <w:left w:w="120" w:type="dxa"/>
              <w:bottom w:w="80" w:type="dxa"/>
              <w:right w:w="120" w:type="dxa"/>
            </w:tcMar>
            <w:vAlign w:val="center"/>
          </w:tcPr>
          <w:p w14:paraId="20B4BE58"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Базовый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контур</w:t>
            </w:r>
            <w:proofErr w:type="spellEnd"/>
          </w:p>
        </w:tc>
        <w:tc>
          <w:tcPr>
            <w:tcW w:w="4252" w:type="dxa"/>
            <w:tcMar>
              <w:top w:w="80" w:type="dxa"/>
              <w:left w:w="120" w:type="dxa"/>
              <w:bottom w:w="80" w:type="dxa"/>
              <w:right w:w="120" w:type="dxa"/>
            </w:tcMar>
            <w:vAlign w:val="center"/>
          </w:tcPr>
          <w:p w14:paraId="50F7064B"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 xml:space="preserve">Фрагментарное использование волатильности, </w:t>
            </w:r>
            <w:r w:rsidRPr="009B1F73">
              <w:rPr>
                <w:rFonts w:eastAsia="Times New Roman" w:cs="Times New Roman"/>
                <w:color w:val="000000"/>
                <w:sz w:val="24"/>
                <w:szCs w:val="24"/>
              </w:rPr>
              <w:t>beta</w:t>
            </w:r>
            <w:r w:rsidRPr="009B1F73">
              <w:rPr>
                <w:rFonts w:eastAsia="Times New Roman" w:cs="Times New Roman"/>
                <w:color w:val="000000"/>
                <w:sz w:val="24"/>
                <w:szCs w:val="24"/>
                <w:lang w:val="ru-RU"/>
              </w:rPr>
              <w:t xml:space="preserve">, </w:t>
            </w:r>
            <w:proofErr w:type="spellStart"/>
            <w:r w:rsidRPr="009B1F73">
              <w:rPr>
                <w:rFonts w:eastAsia="Times New Roman" w:cs="Times New Roman"/>
                <w:color w:val="000000"/>
                <w:sz w:val="24"/>
                <w:szCs w:val="24"/>
              </w:rPr>
              <w:t>VaR</w:t>
            </w:r>
            <w:proofErr w:type="spellEnd"/>
            <w:r w:rsidRPr="009B1F73">
              <w:rPr>
                <w:rFonts w:eastAsia="Times New Roman" w:cs="Times New Roman"/>
                <w:color w:val="000000"/>
                <w:sz w:val="24"/>
                <w:szCs w:val="24"/>
                <w:lang w:val="ru-RU"/>
              </w:rPr>
              <w:t xml:space="preserve"> и локальных решений</w:t>
            </w:r>
          </w:p>
        </w:tc>
        <w:tc>
          <w:tcPr>
            <w:tcW w:w="3515" w:type="dxa"/>
            <w:tcMar>
              <w:top w:w="80" w:type="dxa"/>
              <w:left w:w="120" w:type="dxa"/>
              <w:bottom w:w="80" w:type="dxa"/>
              <w:right w:w="120" w:type="dxa"/>
            </w:tcMar>
            <w:vAlign w:val="center"/>
          </w:tcPr>
          <w:p w14:paraId="2FB93A4C"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Зафиксировать исходное состояние риск-менеджмента</w:t>
            </w:r>
          </w:p>
        </w:tc>
      </w:tr>
      <w:tr w:rsidR="00121129" w:rsidRPr="009B1F73" w14:paraId="5A51D9BC" w14:textId="77777777" w:rsidTr="00F66FD7">
        <w:trPr>
          <w:cantSplit/>
          <w:jc w:val="center"/>
        </w:trPr>
        <w:tc>
          <w:tcPr>
            <w:tcW w:w="1904" w:type="dxa"/>
            <w:tcMar>
              <w:top w:w="80" w:type="dxa"/>
              <w:left w:w="120" w:type="dxa"/>
              <w:bottom w:w="80" w:type="dxa"/>
              <w:right w:w="120" w:type="dxa"/>
            </w:tcMar>
            <w:vAlign w:val="center"/>
          </w:tcPr>
          <w:p w14:paraId="081B78E5"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Авторский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контур</w:t>
            </w:r>
            <w:proofErr w:type="spellEnd"/>
          </w:p>
        </w:tc>
        <w:tc>
          <w:tcPr>
            <w:tcW w:w="4252" w:type="dxa"/>
            <w:tcMar>
              <w:top w:w="80" w:type="dxa"/>
              <w:left w:w="120" w:type="dxa"/>
              <w:bottom w:w="80" w:type="dxa"/>
              <w:right w:w="120" w:type="dxa"/>
            </w:tcMar>
            <w:vAlign w:val="center"/>
          </w:tcPr>
          <w:p w14:paraId="20F9A7E9"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Единый реестр рисков, единые метрики, сценарии, лимиты и триггеры</w:t>
            </w:r>
          </w:p>
        </w:tc>
        <w:tc>
          <w:tcPr>
            <w:tcW w:w="3515" w:type="dxa"/>
            <w:tcMar>
              <w:top w:w="80" w:type="dxa"/>
              <w:left w:w="120" w:type="dxa"/>
              <w:bottom w:w="80" w:type="dxa"/>
              <w:right w:w="120" w:type="dxa"/>
            </w:tcMar>
            <w:vAlign w:val="center"/>
          </w:tcPr>
          <w:p w14:paraId="24AB4A65"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Проверить</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эффект</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интеграции</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методов</w:t>
            </w:r>
            <w:proofErr w:type="spellEnd"/>
          </w:p>
        </w:tc>
      </w:tr>
      <w:tr w:rsidR="00121129" w:rsidRPr="0032530F" w14:paraId="7A7DDC1C" w14:textId="77777777" w:rsidTr="00F66FD7">
        <w:trPr>
          <w:cantSplit/>
          <w:trHeight w:val="819"/>
          <w:jc w:val="center"/>
        </w:trPr>
        <w:tc>
          <w:tcPr>
            <w:tcW w:w="1904" w:type="dxa"/>
            <w:tcMar>
              <w:top w:w="80" w:type="dxa"/>
              <w:left w:w="120" w:type="dxa"/>
              <w:bottom w:w="80" w:type="dxa"/>
              <w:right w:w="120" w:type="dxa"/>
            </w:tcMar>
            <w:vAlign w:val="center"/>
          </w:tcPr>
          <w:p w14:paraId="111AE15C"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Критерии</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сравнения</w:t>
            </w:r>
            <w:proofErr w:type="spellEnd"/>
          </w:p>
        </w:tc>
        <w:tc>
          <w:tcPr>
            <w:tcW w:w="4252" w:type="dxa"/>
            <w:tcMar>
              <w:top w:w="80" w:type="dxa"/>
              <w:left w:w="120" w:type="dxa"/>
              <w:bottom w:w="80" w:type="dxa"/>
              <w:right w:w="120" w:type="dxa"/>
            </w:tcMar>
            <w:vAlign w:val="center"/>
          </w:tcPr>
          <w:p w14:paraId="4F4434A7"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 xml:space="preserve">Волатильность, просадка, </w:t>
            </w:r>
            <w:proofErr w:type="spellStart"/>
            <w:r w:rsidRPr="009B1F73">
              <w:rPr>
                <w:rFonts w:eastAsia="Times New Roman" w:cs="Times New Roman"/>
                <w:color w:val="000000"/>
                <w:sz w:val="24"/>
                <w:szCs w:val="24"/>
              </w:rPr>
              <w:t>VaR</w:t>
            </w:r>
            <w:proofErr w:type="spellEnd"/>
            <w:r w:rsidRPr="009B1F73">
              <w:rPr>
                <w:rFonts w:eastAsia="Times New Roman" w:cs="Times New Roman"/>
                <w:color w:val="000000"/>
                <w:sz w:val="24"/>
                <w:szCs w:val="24"/>
                <w:lang w:val="ru-RU"/>
              </w:rPr>
              <w:t>/</w:t>
            </w:r>
            <w:r w:rsidRPr="009B1F73">
              <w:rPr>
                <w:rFonts w:eastAsia="Times New Roman" w:cs="Times New Roman"/>
                <w:color w:val="000000"/>
                <w:sz w:val="24"/>
                <w:szCs w:val="24"/>
              </w:rPr>
              <w:t>CVaR</w:t>
            </w:r>
            <w:r w:rsidRPr="009B1F73">
              <w:rPr>
                <w:rFonts w:eastAsia="Times New Roman" w:cs="Times New Roman"/>
                <w:color w:val="000000"/>
                <w:sz w:val="24"/>
                <w:szCs w:val="24"/>
                <w:lang w:val="ru-RU"/>
              </w:rPr>
              <w:t xml:space="preserve">, </w:t>
            </w:r>
            <w:r w:rsidRPr="009B1F73">
              <w:rPr>
                <w:rFonts w:eastAsia="Times New Roman" w:cs="Times New Roman"/>
                <w:color w:val="000000"/>
                <w:sz w:val="24"/>
                <w:szCs w:val="24"/>
              </w:rPr>
              <w:t>Sharpe</w:t>
            </w:r>
            <w:r w:rsidRPr="009B1F73">
              <w:rPr>
                <w:rFonts w:eastAsia="Times New Roman" w:cs="Times New Roman"/>
                <w:color w:val="000000"/>
                <w:sz w:val="24"/>
                <w:szCs w:val="24"/>
                <w:lang w:val="ru-RU"/>
              </w:rPr>
              <w:t xml:space="preserve">, </w:t>
            </w:r>
            <w:r w:rsidRPr="009B1F73">
              <w:rPr>
                <w:rFonts w:eastAsia="Times New Roman" w:cs="Times New Roman"/>
                <w:color w:val="000000"/>
                <w:sz w:val="24"/>
                <w:szCs w:val="24"/>
              </w:rPr>
              <w:t>Sortino</w:t>
            </w:r>
            <w:r w:rsidRPr="009B1F73">
              <w:rPr>
                <w:rFonts w:eastAsia="Times New Roman" w:cs="Times New Roman"/>
                <w:color w:val="000000"/>
                <w:sz w:val="24"/>
                <w:szCs w:val="24"/>
                <w:lang w:val="ru-RU"/>
              </w:rPr>
              <w:t>, частота превышения лимитов</w:t>
            </w:r>
          </w:p>
        </w:tc>
        <w:tc>
          <w:tcPr>
            <w:tcW w:w="3515" w:type="dxa"/>
            <w:tcMar>
              <w:top w:w="80" w:type="dxa"/>
              <w:left w:w="120" w:type="dxa"/>
              <w:bottom w:w="80" w:type="dxa"/>
              <w:right w:w="120" w:type="dxa"/>
            </w:tcMar>
            <w:vAlign w:val="center"/>
          </w:tcPr>
          <w:p w14:paraId="06A4C748"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Оценить не только риск, но и качество управления</w:t>
            </w:r>
          </w:p>
        </w:tc>
      </w:tr>
      <w:tr w:rsidR="00121129" w:rsidRPr="0032530F" w14:paraId="69E5D8AC" w14:textId="77777777" w:rsidTr="00F66FD7">
        <w:trPr>
          <w:cantSplit/>
          <w:trHeight w:val="690"/>
          <w:jc w:val="center"/>
        </w:trPr>
        <w:tc>
          <w:tcPr>
            <w:tcW w:w="1904" w:type="dxa"/>
            <w:tcMar>
              <w:top w:w="80" w:type="dxa"/>
              <w:left w:w="120" w:type="dxa"/>
              <w:bottom w:w="80" w:type="dxa"/>
              <w:right w:w="120" w:type="dxa"/>
            </w:tcMar>
            <w:vAlign w:val="center"/>
          </w:tcPr>
          <w:p w14:paraId="49721EE6"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Организационные</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эффекты</w:t>
            </w:r>
            <w:proofErr w:type="spellEnd"/>
          </w:p>
        </w:tc>
        <w:tc>
          <w:tcPr>
            <w:tcW w:w="4252" w:type="dxa"/>
            <w:tcMar>
              <w:top w:w="80" w:type="dxa"/>
              <w:left w:w="120" w:type="dxa"/>
              <w:bottom w:w="80" w:type="dxa"/>
              <w:right w:w="120" w:type="dxa"/>
            </w:tcMar>
            <w:vAlign w:val="center"/>
          </w:tcPr>
          <w:p w14:paraId="3A1839CB"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Согласованность выводов аналитиков, скорость реакции, дисциплина обновления</w:t>
            </w:r>
          </w:p>
        </w:tc>
        <w:tc>
          <w:tcPr>
            <w:tcW w:w="3515" w:type="dxa"/>
            <w:tcMar>
              <w:top w:w="80" w:type="dxa"/>
              <w:left w:w="120" w:type="dxa"/>
              <w:bottom w:w="80" w:type="dxa"/>
              <w:right w:w="120" w:type="dxa"/>
            </w:tcMar>
            <w:vAlign w:val="center"/>
          </w:tcPr>
          <w:p w14:paraId="4E6DEB39"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Проверить гипотезу о снижении операционного риска</w:t>
            </w:r>
          </w:p>
        </w:tc>
      </w:tr>
    </w:tbl>
    <w:p w14:paraId="31B63F10" w14:textId="77777777" w:rsidR="00121129" w:rsidRPr="00AB4C8A" w:rsidRDefault="00F077B9" w:rsidP="009B1F73">
      <w:pPr>
        <w:widowControl w:val="0"/>
        <w:spacing w:before="120" w:after="0" w:line="360" w:lineRule="auto"/>
        <w:ind w:firstLine="709"/>
        <w:jc w:val="both"/>
        <w:rPr>
          <w:rFonts w:eastAsia="Times New Roman" w:cs="Times New Roman"/>
          <w:szCs w:val="28"/>
          <w:lang w:val="ru-RU"/>
        </w:rPr>
      </w:pPr>
      <w:r w:rsidRPr="00F077B9">
        <w:rPr>
          <w:rFonts w:eastAsia="Times New Roman" w:cs="Times New Roman"/>
          <w:szCs w:val="28"/>
          <w:lang w:val="ru-RU"/>
        </w:rPr>
        <w:t>Апробация должна показать не только изменение риска и доходности, но и то, насколько одинаково аналитики применяют правила и фиксируют решения.</w:t>
      </w:r>
    </w:p>
    <w:p w14:paraId="379E16F7" w14:textId="77777777" w:rsidR="00121129" w:rsidRPr="00AB4C8A" w:rsidRDefault="00E03C62" w:rsidP="009B1F73">
      <w:pPr>
        <w:pStyle w:val="aff8"/>
      </w:pPr>
      <w:bookmarkStart w:id="13" w:name="_sto_toc_13"/>
      <w:r w:rsidRPr="00B23776">
        <w:t>3.2 Сценарное тестирование портфеля</w:t>
      </w:r>
      <w:bookmarkEnd w:id="13"/>
    </w:p>
    <w:p w14:paraId="46E3C684"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В базовую программу сценарного тестирования включаются рост рынка, снижение и боковая динамика. Дополнительно рассматриваются рост процентных ставок, расширение кредитных спредов, снижение ликвидности и рост корреляций между активами [11; 14; 15; 16].</w:t>
      </w:r>
    </w:p>
    <w:p w14:paraId="2B43860E"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По каждому сценарию оцениваются доходность, волатильность, просадка, </w:t>
      </w:r>
      <w:proofErr w:type="spellStart"/>
      <w:r>
        <w:rPr>
          <w:rFonts w:eastAsia="Times New Roman" w:cs="Times New Roman"/>
          <w:szCs w:val="28"/>
        </w:rPr>
        <w:t>VaR</w:t>
      </w:r>
      <w:proofErr w:type="spellEnd"/>
      <w:r w:rsidRPr="00B23776">
        <w:rPr>
          <w:rFonts w:eastAsia="Times New Roman" w:cs="Times New Roman"/>
          <w:szCs w:val="28"/>
          <w:lang w:val="ru-RU"/>
        </w:rPr>
        <w:t xml:space="preserve">, </w:t>
      </w:r>
      <w:r>
        <w:rPr>
          <w:rFonts w:eastAsia="Times New Roman" w:cs="Times New Roman"/>
          <w:szCs w:val="28"/>
        </w:rPr>
        <w:t>CVaR</w:t>
      </w:r>
      <w:r w:rsidRPr="00B23776">
        <w:rPr>
          <w:rFonts w:eastAsia="Times New Roman" w:cs="Times New Roman"/>
          <w:szCs w:val="28"/>
          <w:lang w:val="ru-RU"/>
        </w:rPr>
        <w:t>, концентрация и превышение лимитов. Полученные результаты сопоставляются для базового и унифицированного контуров. Это дает возможность оценить, меняется ли устойчивость портфеля после объединения методов.</w:t>
      </w:r>
    </w:p>
    <w:p w14:paraId="587A813B" w14:textId="5CF667A0" w:rsidR="00121129" w:rsidRPr="00AB4C8A" w:rsidRDefault="00E03C62">
      <w:pPr>
        <w:widowControl w:val="0"/>
        <w:spacing w:after="0" w:line="360" w:lineRule="auto"/>
        <w:ind w:firstLine="709"/>
        <w:jc w:val="both"/>
        <w:rPr>
          <w:rFonts w:eastAsia="Times New Roman" w:cs="Times New Roman"/>
          <w:szCs w:val="28"/>
          <w:lang w:val="ru-RU"/>
        </w:rPr>
      </w:pPr>
      <w:r w:rsidRPr="009E0609">
        <w:rPr>
          <w:rFonts w:eastAsia="Times New Roman" w:cs="Times New Roman"/>
          <w:szCs w:val="28"/>
          <w:lang w:val="ru-RU"/>
        </w:rPr>
        <w:t xml:space="preserve">Сценарный анализ используется для проверки операционной согласованности. </w:t>
      </w:r>
      <w:r w:rsidR="009E0609" w:rsidRPr="009E0609">
        <w:rPr>
          <w:rFonts w:eastAsia="Times New Roman" w:cs="Times New Roman"/>
          <w:szCs w:val="28"/>
          <w:lang w:val="ru-RU"/>
        </w:rPr>
        <w:t>Контролируются</w:t>
      </w:r>
      <w:r w:rsidRPr="009E0609">
        <w:rPr>
          <w:rFonts w:eastAsia="Times New Roman" w:cs="Times New Roman"/>
          <w:szCs w:val="28"/>
          <w:lang w:val="ru-RU"/>
        </w:rPr>
        <w:t xml:space="preserve"> действия по ребалансировке и хеджированию предусмотрены заранее и соответствовали ли они установленным правилам. </w:t>
      </w:r>
      <w:r w:rsidR="009E0609" w:rsidRPr="009E0609">
        <w:rPr>
          <w:rFonts w:eastAsia="Times New Roman" w:cs="Times New Roman"/>
          <w:szCs w:val="28"/>
          <w:lang w:val="ru-RU"/>
        </w:rPr>
        <w:t>Это является</w:t>
      </w:r>
      <w:r w:rsidRPr="009E0609">
        <w:rPr>
          <w:rFonts w:eastAsia="Times New Roman" w:cs="Times New Roman"/>
          <w:szCs w:val="28"/>
          <w:lang w:val="ru-RU"/>
        </w:rPr>
        <w:t xml:space="preserve"> отличие</w:t>
      </w:r>
      <w:r w:rsidR="009E0609" w:rsidRPr="009E0609">
        <w:rPr>
          <w:rFonts w:eastAsia="Times New Roman" w:cs="Times New Roman"/>
          <w:szCs w:val="28"/>
          <w:lang w:val="ru-RU"/>
        </w:rPr>
        <w:t>м</w:t>
      </w:r>
      <w:r w:rsidRPr="009E0609">
        <w:rPr>
          <w:rFonts w:eastAsia="Times New Roman" w:cs="Times New Roman"/>
          <w:szCs w:val="28"/>
          <w:lang w:val="ru-RU"/>
        </w:rPr>
        <w:t xml:space="preserve"> стратегического управления от реакции на уже возникшие потери.</w:t>
      </w:r>
    </w:p>
    <w:p w14:paraId="6EBC8C79" w14:textId="77777777" w:rsidR="00121129" w:rsidRPr="00AB4C8A" w:rsidRDefault="00E03C62" w:rsidP="009B1F73">
      <w:pPr>
        <w:pStyle w:val="aff8"/>
      </w:pPr>
      <w:bookmarkStart w:id="14" w:name="_sto_toc_14"/>
      <w:r w:rsidRPr="00B23776">
        <w:lastRenderedPageBreak/>
        <w:t>3.3 Оценка эффекта для риска, доходности и операционной согласованности решений</w:t>
      </w:r>
      <w:bookmarkEnd w:id="14"/>
    </w:p>
    <w:p w14:paraId="5265E834"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Оценка результата проводится по трем группам показателей. К первой относятся волатильность, максимальная просадка, </w:t>
      </w:r>
      <w:proofErr w:type="spellStart"/>
      <w:r>
        <w:rPr>
          <w:rFonts w:eastAsia="Times New Roman" w:cs="Times New Roman"/>
          <w:szCs w:val="28"/>
        </w:rPr>
        <w:t>VaR</w:t>
      </w:r>
      <w:proofErr w:type="spellEnd"/>
      <w:r w:rsidRPr="00B23776">
        <w:rPr>
          <w:rFonts w:eastAsia="Times New Roman" w:cs="Times New Roman"/>
          <w:szCs w:val="28"/>
          <w:lang w:val="ru-RU"/>
        </w:rPr>
        <w:t xml:space="preserve">, </w:t>
      </w:r>
      <w:r>
        <w:rPr>
          <w:rFonts w:eastAsia="Times New Roman" w:cs="Times New Roman"/>
          <w:szCs w:val="28"/>
        </w:rPr>
        <w:t>CVaR</w:t>
      </w:r>
      <w:r w:rsidRPr="00B23776">
        <w:rPr>
          <w:rFonts w:eastAsia="Times New Roman" w:cs="Times New Roman"/>
          <w:szCs w:val="28"/>
          <w:lang w:val="ru-RU"/>
        </w:rPr>
        <w:t xml:space="preserve"> и частота превышения лимитов. Вторая группа характеризует доходность и включает среднюю доходность, коэффициенты Шарпа и </w:t>
      </w:r>
      <w:proofErr w:type="spellStart"/>
      <w:r w:rsidRPr="00B23776">
        <w:rPr>
          <w:rFonts w:eastAsia="Times New Roman" w:cs="Times New Roman"/>
          <w:szCs w:val="28"/>
          <w:lang w:val="ru-RU"/>
        </w:rPr>
        <w:t>Сортино</w:t>
      </w:r>
      <w:proofErr w:type="spellEnd"/>
      <w:r w:rsidRPr="00B23776">
        <w:rPr>
          <w:rFonts w:eastAsia="Times New Roman" w:cs="Times New Roman"/>
          <w:szCs w:val="28"/>
          <w:lang w:val="ru-RU"/>
        </w:rPr>
        <w:t>. Третья группа отражает согласованность расчетов, своевременность обновления и соблюдение триггеров [3; 5; 11; 14; 15].</w:t>
      </w:r>
    </w:p>
    <w:p w14:paraId="2A8A029C"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Снижение риска не может оцениваться отдельно от доходности. Если защитный эффект достигается за счет чрезмерного перехода в денежные инструменты, стратегия может не соответствовать цели инвестора. Поэтому итоговый эффект определяется по совокупности риска, доходности и возможности регулярного применения установленных правил.</w:t>
      </w:r>
    </w:p>
    <w:p w14:paraId="7A694373" w14:textId="77777777" w:rsidR="00F66FD7"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По итогам апробации должны быть определены показатели регулярного мониторинга, лимиты, периодичность пересмотра корреляций, обязательные сценарии и порядок фиксации решений по хеджированию и ребалансировке. Эти результаты составят практическую часть магистерской диссертации. </w:t>
      </w:r>
    </w:p>
    <w:p w14:paraId="0B92EDD9" w14:textId="0ABFC806"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Критерии эффективности стратегии представлены в таблице 3.2.</w:t>
      </w:r>
    </w:p>
    <w:p w14:paraId="1EBB42C6" w14:textId="77777777" w:rsidR="00121129" w:rsidRPr="00AB4C8A" w:rsidRDefault="00E03C62" w:rsidP="00F66FD7">
      <w:pPr>
        <w:pStyle w:val="affc"/>
        <w:spacing w:after="120"/>
      </w:pPr>
      <w:r w:rsidRPr="00B23776">
        <w:t>Таблица 3.2 – Критерии эффективности стратегии управления рисками</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4"/>
        <w:gridCol w:w="4025"/>
        <w:gridCol w:w="3572"/>
      </w:tblGrid>
      <w:tr w:rsidR="00121129" w:rsidRPr="009B1F73" w14:paraId="4875439C" w14:textId="77777777" w:rsidTr="00F66FD7">
        <w:trPr>
          <w:cantSplit/>
          <w:trHeight w:val="454"/>
          <w:tblHeader/>
          <w:jc w:val="center"/>
        </w:trPr>
        <w:tc>
          <w:tcPr>
            <w:tcW w:w="2074" w:type="dxa"/>
            <w:tcMar>
              <w:top w:w="80" w:type="dxa"/>
              <w:left w:w="120" w:type="dxa"/>
              <w:bottom w:w="80" w:type="dxa"/>
              <w:right w:w="120" w:type="dxa"/>
            </w:tcMar>
            <w:vAlign w:val="center"/>
          </w:tcPr>
          <w:p w14:paraId="10FD6E77"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Критерий</w:t>
            </w:r>
            <w:proofErr w:type="spellEnd"/>
          </w:p>
        </w:tc>
        <w:tc>
          <w:tcPr>
            <w:tcW w:w="4025" w:type="dxa"/>
            <w:tcMar>
              <w:top w:w="80" w:type="dxa"/>
              <w:left w:w="120" w:type="dxa"/>
              <w:bottom w:w="80" w:type="dxa"/>
              <w:right w:w="120" w:type="dxa"/>
            </w:tcMar>
            <w:vAlign w:val="center"/>
          </w:tcPr>
          <w:p w14:paraId="6583781C"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Содержание</w:t>
            </w:r>
            <w:proofErr w:type="spellEnd"/>
          </w:p>
        </w:tc>
        <w:tc>
          <w:tcPr>
            <w:tcW w:w="3572" w:type="dxa"/>
            <w:tcMar>
              <w:top w:w="80" w:type="dxa"/>
              <w:left w:w="120" w:type="dxa"/>
              <w:bottom w:w="80" w:type="dxa"/>
              <w:right w:w="120" w:type="dxa"/>
            </w:tcMar>
            <w:vAlign w:val="center"/>
          </w:tcPr>
          <w:p w14:paraId="7FA3C2CE"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Значение</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для</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исследования</w:t>
            </w:r>
            <w:proofErr w:type="spellEnd"/>
          </w:p>
        </w:tc>
      </w:tr>
      <w:tr w:rsidR="00121129" w:rsidRPr="0032530F" w14:paraId="30D0BA88" w14:textId="77777777" w:rsidTr="00F66FD7">
        <w:trPr>
          <w:cantSplit/>
          <w:trHeight w:val="454"/>
          <w:jc w:val="center"/>
        </w:trPr>
        <w:tc>
          <w:tcPr>
            <w:tcW w:w="2074" w:type="dxa"/>
            <w:tcMar>
              <w:top w:w="80" w:type="dxa"/>
              <w:left w:w="120" w:type="dxa"/>
              <w:bottom w:w="80" w:type="dxa"/>
              <w:right w:w="120" w:type="dxa"/>
            </w:tcMar>
            <w:vAlign w:val="center"/>
          </w:tcPr>
          <w:p w14:paraId="55AF8B5E" w14:textId="77777777" w:rsidR="00121129" w:rsidRPr="009B1F73" w:rsidRDefault="00E03C62" w:rsidP="009B1F73">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Целевая</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согласованность</w:t>
            </w:r>
            <w:proofErr w:type="spellEnd"/>
          </w:p>
        </w:tc>
        <w:tc>
          <w:tcPr>
            <w:tcW w:w="4025" w:type="dxa"/>
            <w:tcMar>
              <w:top w:w="80" w:type="dxa"/>
              <w:left w:w="120" w:type="dxa"/>
              <w:bottom w:w="80" w:type="dxa"/>
              <w:right w:w="120" w:type="dxa"/>
            </w:tcMar>
            <w:vAlign w:val="center"/>
          </w:tcPr>
          <w:p w14:paraId="4A826ADE" w14:textId="77777777" w:rsidR="00121129" w:rsidRPr="009B1F73" w:rsidRDefault="00E03C62" w:rsidP="009B1F73">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Соответствие профилю инвестора, горизонту и допустимой просадке</w:t>
            </w:r>
          </w:p>
        </w:tc>
        <w:tc>
          <w:tcPr>
            <w:tcW w:w="3572" w:type="dxa"/>
            <w:tcMar>
              <w:top w:w="80" w:type="dxa"/>
              <w:left w:w="120" w:type="dxa"/>
              <w:bottom w:w="80" w:type="dxa"/>
              <w:right w:w="120" w:type="dxa"/>
            </w:tcMar>
            <w:vAlign w:val="center"/>
          </w:tcPr>
          <w:p w14:paraId="084A98B3" w14:textId="77777777" w:rsidR="00121129" w:rsidRPr="009B1F73" w:rsidRDefault="00E03C62" w:rsidP="009B1F73">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Предотвращает конфликт между доходностью и риск-ограничениями</w:t>
            </w:r>
          </w:p>
        </w:tc>
      </w:tr>
      <w:tr w:rsidR="00121129" w:rsidRPr="009B1F73" w14:paraId="40B92675" w14:textId="77777777" w:rsidTr="00F66FD7">
        <w:trPr>
          <w:cantSplit/>
          <w:trHeight w:val="850"/>
          <w:jc w:val="center"/>
        </w:trPr>
        <w:tc>
          <w:tcPr>
            <w:tcW w:w="2074" w:type="dxa"/>
            <w:tcMar>
              <w:top w:w="80" w:type="dxa"/>
              <w:left w:w="120" w:type="dxa"/>
              <w:bottom w:w="80" w:type="dxa"/>
              <w:right w:w="120" w:type="dxa"/>
            </w:tcMar>
            <w:vAlign w:val="center"/>
          </w:tcPr>
          <w:p w14:paraId="5290D363" w14:textId="77777777" w:rsidR="00121129" w:rsidRPr="009B1F73" w:rsidRDefault="00E03C62" w:rsidP="009B1F73">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Полнота</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охвата</w:t>
            </w:r>
            <w:proofErr w:type="spellEnd"/>
          </w:p>
        </w:tc>
        <w:tc>
          <w:tcPr>
            <w:tcW w:w="4025" w:type="dxa"/>
            <w:tcMar>
              <w:top w:w="80" w:type="dxa"/>
              <w:left w:w="120" w:type="dxa"/>
              <w:bottom w:w="80" w:type="dxa"/>
              <w:right w:w="120" w:type="dxa"/>
            </w:tcMar>
            <w:vAlign w:val="center"/>
          </w:tcPr>
          <w:p w14:paraId="190A70F5" w14:textId="77777777" w:rsidR="00121129" w:rsidRPr="009B1F73" w:rsidRDefault="00E03C62" w:rsidP="009B1F73">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 xml:space="preserve">Наличие единого реестра рыночных, кредитных, </w:t>
            </w:r>
            <w:proofErr w:type="spellStart"/>
            <w:r w:rsidRPr="009B1F73">
              <w:rPr>
                <w:rFonts w:eastAsia="Times New Roman" w:cs="Times New Roman"/>
                <w:color w:val="000000"/>
                <w:sz w:val="24"/>
                <w:szCs w:val="24"/>
                <w:lang w:val="ru-RU"/>
              </w:rPr>
              <w:t>ликвидностных</w:t>
            </w:r>
            <w:proofErr w:type="spellEnd"/>
            <w:r w:rsidRPr="009B1F73">
              <w:rPr>
                <w:rFonts w:eastAsia="Times New Roman" w:cs="Times New Roman"/>
                <w:color w:val="000000"/>
                <w:sz w:val="24"/>
                <w:szCs w:val="24"/>
                <w:lang w:val="ru-RU"/>
              </w:rPr>
              <w:t>, модельных и операционных рисков</w:t>
            </w:r>
          </w:p>
        </w:tc>
        <w:tc>
          <w:tcPr>
            <w:tcW w:w="3572" w:type="dxa"/>
            <w:tcMar>
              <w:top w:w="80" w:type="dxa"/>
              <w:left w:w="120" w:type="dxa"/>
              <w:bottom w:w="80" w:type="dxa"/>
              <w:right w:w="120" w:type="dxa"/>
            </w:tcMar>
            <w:vAlign w:val="center"/>
          </w:tcPr>
          <w:p w14:paraId="409C2160" w14:textId="77777777" w:rsidR="00121129" w:rsidRPr="009B1F73" w:rsidRDefault="00E03C62" w:rsidP="009B1F73">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Исключает</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выпадение</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существенных</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угроз</w:t>
            </w:r>
            <w:proofErr w:type="spellEnd"/>
          </w:p>
        </w:tc>
      </w:tr>
      <w:tr w:rsidR="00121129" w:rsidRPr="0032530F" w14:paraId="10ACD846" w14:textId="77777777" w:rsidTr="00F66FD7">
        <w:trPr>
          <w:cantSplit/>
          <w:jc w:val="center"/>
        </w:trPr>
        <w:tc>
          <w:tcPr>
            <w:tcW w:w="2074" w:type="dxa"/>
            <w:tcMar>
              <w:top w:w="80" w:type="dxa"/>
              <w:left w:w="120" w:type="dxa"/>
              <w:bottom w:w="80" w:type="dxa"/>
              <w:right w:w="120" w:type="dxa"/>
            </w:tcMar>
            <w:vAlign w:val="center"/>
          </w:tcPr>
          <w:p w14:paraId="1A053464" w14:textId="77777777" w:rsidR="00121129" w:rsidRPr="009B1F73" w:rsidRDefault="00E03C62" w:rsidP="009B1F73">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Адаптивность</w:t>
            </w:r>
            <w:proofErr w:type="spellEnd"/>
          </w:p>
        </w:tc>
        <w:tc>
          <w:tcPr>
            <w:tcW w:w="4025" w:type="dxa"/>
            <w:tcMar>
              <w:top w:w="80" w:type="dxa"/>
              <w:left w:w="120" w:type="dxa"/>
              <w:bottom w:w="80" w:type="dxa"/>
              <w:right w:w="120" w:type="dxa"/>
            </w:tcMar>
            <w:vAlign w:val="center"/>
          </w:tcPr>
          <w:p w14:paraId="54B7AAA8" w14:textId="77777777" w:rsidR="00121129" w:rsidRPr="009B1F73" w:rsidRDefault="00E03C62" w:rsidP="009B1F73">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Скорость реакции на смену режима рынка и обновление параметров</w:t>
            </w:r>
          </w:p>
        </w:tc>
        <w:tc>
          <w:tcPr>
            <w:tcW w:w="3572" w:type="dxa"/>
            <w:tcMar>
              <w:top w:w="80" w:type="dxa"/>
              <w:left w:w="120" w:type="dxa"/>
              <w:bottom w:w="80" w:type="dxa"/>
              <w:right w:w="120" w:type="dxa"/>
            </w:tcMar>
            <w:vAlign w:val="center"/>
          </w:tcPr>
          <w:p w14:paraId="251AD011" w14:textId="77777777" w:rsidR="00121129" w:rsidRPr="009B1F73" w:rsidRDefault="00E03C62" w:rsidP="009B1F73">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Повышает устойчивость портфеля в стрессовых условиях</w:t>
            </w:r>
          </w:p>
        </w:tc>
      </w:tr>
      <w:tr w:rsidR="00121129" w:rsidRPr="0032530F" w14:paraId="2F96C679" w14:textId="77777777" w:rsidTr="00F66FD7">
        <w:trPr>
          <w:cantSplit/>
          <w:trHeight w:val="680"/>
          <w:jc w:val="center"/>
        </w:trPr>
        <w:tc>
          <w:tcPr>
            <w:tcW w:w="2074" w:type="dxa"/>
            <w:tcMar>
              <w:top w:w="80" w:type="dxa"/>
              <w:left w:w="120" w:type="dxa"/>
              <w:bottom w:w="80" w:type="dxa"/>
              <w:right w:w="120" w:type="dxa"/>
            </w:tcMar>
            <w:vAlign w:val="center"/>
          </w:tcPr>
          <w:p w14:paraId="51F19C77" w14:textId="77777777" w:rsidR="00121129" w:rsidRPr="009B1F73" w:rsidRDefault="00E03C62" w:rsidP="009B1F73">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Методическая</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сопоставимость</w:t>
            </w:r>
            <w:proofErr w:type="spellEnd"/>
          </w:p>
        </w:tc>
        <w:tc>
          <w:tcPr>
            <w:tcW w:w="4025" w:type="dxa"/>
            <w:tcMar>
              <w:top w:w="80" w:type="dxa"/>
              <w:left w:w="120" w:type="dxa"/>
              <w:bottom w:w="80" w:type="dxa"/>
              <w:right w:w="120" w:type="dxa"/>
            </w:tcMar>
            <w:vAlign w:val="center"/>
          </w:tcPr>
          <w:p w14:paraId="3D0C736C" w14:textId="77777777" w:rsidR="00121129" w:rsidRPr="009B1F73" w:rsidRDefault="00E03C62" w:rsidP="009B1F73">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Единые метрики, единые окна, единые правила интерпретации</w:t>
            </w:r>
          </w:p>
        </w:tc>
        <w:tc>
          <w:tcPr>
            <w:tcW w:w="3572" w:type="dxa"/>
            <w:tcMar>
              <w:top w:w="80" w:type="dxa"/>
              <w:left w:w="120" w:type="dxa"/>
              <w:bottom w:w="80" w:type="dxa"/>
              <w:right w:w="120" w:type="dxa"/>
            </w:tcMar>
            <w:vAlign w:val="center"/>
          </w:tcPr>
          <w:p w14:paraId="21B4C92F" w14:textId="77777777" w:rsidR="00121129" w:rsidRPr="009B1F73" w:rsidRDefault="00E03C62" w:rsidP="009B1F73">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Снижает субъективность и расхождения аналитиков</w:t>
            </w:r>
          </w:p>
        </w:tc>
      </w:tr>
      <w:tr w:rsidR="00121129" w:rsidRPr="0032530F" w14:paraId="15B87F48" w14:textId="77777777" w:rsidTr="00F66FD7">
        <w:trPr>
          <w:cantSplit/>
          <w:jc w:val="center"/>
        </w:trPr>
        <w:tc>
          <w:tcPr>
            <w:tcW w:w="2074" w:type="dxa"/>
            <w:tcMar>
              <w:top w:w="80" w:type="dxa"/>
              <w:left w:w="120" w:type="dxa"/>
              <w:bottom w:w="80" w:type="dxa"/>
              <w:right w:w="120" w:type="dxa"/>
            </w:tcMar>
            <w:vAlign w:val="center"/>
          </w:tcPr>
          <w:p w14:paraId="4648E4DA" w14:textId="77777777" w:rsidR="00121129" w:rsidRPr="009B1F73" w:rsidRDefault="00E03C62" w:rsidP="009B1F73">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Экономическая</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реализуемость</w:t>
            </w:r>
            <w:proofErr w:type="spellEnd"/>
          </w:p>
        </w:tc>
        <w:tc>
          <w:tcPr>
            <w:tcW w:w="4025" w:type="dxa"/>
            <w:tcMar>
              <w:top w:w="80" w:type="dxa"/>
              <w:left w:w="120" w:type="dxa"/>
              <w:bottom w:w="80" w:type="dxa"/>
              <w:right w:w="120" w:type="dxa"/>
            </w:tcMar>
            <w:vAlign w:val="center"/>
          </w:tcPr>
          <w:p w14:paraId="75805150" w14:textId="77777777" w:rsidR="00121129" w:rsidRPr="009B1F73" w:rsidRDefault="00E03C62" w:rsidP="009B1F73">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Выполнимость мер с учетом ликвидности и издержек</w:t>
            </w:r>
          </w:p>
        </w:tc>
        <w:tc>
          <w:tcPr>
            <w:tcW w:w="3572" w:type="dxa"/>
            <w:tcMar>
              <w:top w:w="80" w:type="dxa"/>
              <w:left w:w="120" w:type="dxa"/>
              <w:bottom w:w="80" w:type="dxa"/>
              <w:right w:w="120" w:type="dxa"/>
            </w:tcMar>
            <w:vAlign w:val="center"/>
          </w:tcPr>
          <w:p w14:paraId="56BC6D43" w14:textId="77777777" w:rsidR="00121129" w:rsidRPr="009B1F73" w:rsidRDefault="00E03C62" w:rsidP="009B1F73">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Делает стратегию применимой на практике</w:t>
            </w:r>
          </w:p>
        </w:tc>
      </w:tr>
    </w:tbl>
    <w:p w14:paraId="334D989A" w14:textId="2EB8EE81" w:rsidR="00F66FD7" w:rsidRPr="00F66FD7" w:rsidRDefault="00F66FD7" w:rsidP="00F66FD7">
      <w:pPr>
        <w:spacing w:after="0" w:line="360" w:lineRule="auto"/>
        <w:rPr>
          <w:lang w:val="ru-RU"/>
        </w:rPr>
      </w:pPr>
      <w:r>
        <w:rPr>
          <w:lang w:val="ru-RU"/>
        </w:rPr>
        <w:lastRenderedPageBreak/>
        <w:t>Продолжение таблицы 3.2</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4"/>
        <w:gridCol w:w="4025"/>
        <w:gridCol w:w="3572"/>
      </w:tblGrid>
      <w:tr w:rsidR="00F66FD7" w:rsidRPr="0032530F" w14:paraId="728B2323" w14:textId="77777777" w:rsidTr="00F66FD7">
        <w:trPr>
          <w:cantSplit/>
          <w:jc w:val="center"/>
        </w:trPr>
        <w:tc>
          <w:tcPr>
            <w:tcW w:w="2074" w:type="dxa"/>
            <w:tcMar>
              <w:top w:w="80" w:type="dxa"/>
              <w:left w:w="120" w:type="dxa"/>
              <w:bottom w:w="80" w:type="dxa"/>
              <w:right w:w="120" w:type="dxa"/>
            </w:tcMar>
            <w:vAlign w:val="center"/>
          </w:tcPr>
          <w:p w14:paraId="246BD3ED" w14:textId="270D4156" w:rsidR="00F66FD7" w:rsidRPr="009B1F73" w:rsidRDefault="00F66FD7" w:rsidP="00F66FD7">
            <w:pPr>
              <w:widowControl w:val="0"/>
              <w:spacing w:after="0" w:line="240" w:lineRule="auto"/>
              <w:jc w:val="center"/>
              <w:rPr>
                <w:rFonts w:eastAsia="Times New Roman" w:cs="Times New Roman"/>
                <w:color w:val="000000"/>
                <w:sz w:val="24"/>
                <w:szCs w:val="24"/>
              </w:rPr>
            </w:pPr>
            <w:proofErr w:type="spellStart"/>
            <w:r w:rsidRPr="009B1F73">
              <w:rPr>
                <w:rFonts w:eastAsia="Times New Roman" w:cs="Times New Roman"/>
                <w:bCs/>
                <w:color w:val="000000"/>
                <w:sz w:val="24"/>
                <w:szCs w:val="24"/>
              </w:rPr>
              <w:t>Критерий</w:t>
            </w:r>
            <w:proofErr w:type="spellEnd"/>
          </w:p>
        </w:tc>
        <w:tc>
          <w:tcPr>
            <w:tcW w:w="4025" w:type="dxa"/>
            <w:tcMar>
              <w:top w:w="80" w:type="dxa"/>
              <w:left w:w="120" w:type="dxa"/>
              <w:bottom w:w="80" w:type="dxa"/>
              <w:right w:w="120" w:type="dxa"/>
            </w:tcMar>
            <w:vAlign w:val="center"/>
          </w:tcPr>
          <w:p w14:paraId="57AE0250" w14:textId="429049AC" w:rsidR="00F66FD7" w:rsidRPr="009B1F73" w:rsidRDefault="00F66FD7" w:rsidP="00F66FD7">
            <w:pPr>
              <w:widowControl w:val="0"/>
              <w:spacing w:after="0" w:line="240" w:lineRule="auto"/>
              <w:jc w:val="center"/>
              <w:rPr>
                <w:rFonts w:eastAsia="Times New Roman" w:cs="Times New Roman"/>
                <w:color w:val="000000"/>
                <w:sz w:val="24"/>
                <w:szCs w:val="24"/>
                <w:lang w:val="ru-RU"/>
              </w:rPr>
            </w:pPr>
            <w:proofErr w:type="spellStart"/>
            <w:r w:rsidRPr="009B1F73">
              <w:rPr>
                <w:rFonts w:eastAsia="Times New Roman" w:cs="Times New Roman"/>
                <w:bCs/>
                <w:color w:val="000000"/>
                <w:sz w:val="24"/>
                <w:szCs w:val="24"/>
              </w:rPr>
              <w:t>Содержание</w:t>
            </w:r>
            <w:proofErr w:type="spellEnd"/>
          </w:p>
        </w:tc>
        <w:tc>
          <w:tcPr>
            <w:tcW w:w="3572" w:type="dxa"/>
            <w:tcMar>
              <w:top w:w="80" w:type="dxa"/>
              <w:left w:w="120" w:type="dxa"/>
              <w:bottom w:w="80" w:type="dxa"/>
              <w:right w:w="120" w:type="dxa"/>
            </w:tcMar>
            <w:vAlign w:val="center"/>
          </w:tcPr>
          <w:p w14:paraId="499BA163" w14:textId="346725A0" w:rsidR="00F66FD7" w:rsidRPr="009B1F73" w:rsidRDefault="00F66FD7" w:rsidP="00F66FD7">
            <w:pPr>
              <w:widowControl w:val="0"/>
              <w:spacing w:after="0" w:line="240" w:lineRule="auto"/>
              <w:jc w:val="center"/>
              <w:rPr>
                <w:rFonts w:eastAsia="Times New Roman" w:cs="Times New Roman"/>
                <w:color w:val="000000"/>
                <w:sz w:val="24"/>
                <w:szCs w:val="24"/>
                <w:lang w:val="ru-RU"/>
              </w:rPr>
            </w:pPr>
            <w:proofErr w:type="spellStart"/>
            <w:r w:rsidRPr="009B1F73">
              <w:rPr>
                <w:rFonts w:eastAsia="Times New Roman" w:cs="Times New Roman"/>
                <w:bCs/>
                <w:color w:val="000000"/>
                <w:sz w:val="24"/>
                <w:szCs w:val="24"/>
              </w:rPr>
              <w:t>Значение</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для</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исследования</w:t>
            </w:r>
            <w:proofErr w:type="spellEnd"/>
          </w:p>
        </w:tc>
      </w:tr>
      <w:tr w:rsidR="00F66FD7" w:rsidRPr="0032530F" w14:paraId="5CA79195" w14:textId="77777777" w:rsidTr="00F66FD7">
        <w:trPr>
          <w:cantSplit/>
          <w:jc w:val="center"/>
        </w:trPr>
        <w:tc>
          <w:tcPr>
            <w:tcW w:w="2074" w:type="dxa"/>
            <w:tcMar>
              <w:top w:w="80" w:type="dxa"/>
              <w:left w:w="120" w:type="dxa"/>
              <w:bottom w:w="80" w:type="dxa"/>
              <w:right w:w="120" w:type="dxa"/>
            </w:tcMar>
            <w:vAlign w:val="center"/>
          </w:tcPr>
          <w:p w14:paraId="61F79BC3"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Проверяемость</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результата</w:t>
            </w:r>
            <w:proofErr w:type="spellEnd"/>
          </w:p>
        </w:tc>
        <w:tc>
          <w:tcPr>
            <w:tcW w:w="4025" w:type="dxa"/>
            <w:tcMar>
              <w:top w:w="80" w:type="dxa"/>
              <w:left w:w="120" w:type="dxa"/>
              <w:bottom w:w="80" w:type="dxa"/>
              <w:right w:w="120" w:type="dxa"/>
            </w:tcMar>
            <w:vAlign w:val="center"/>
          </w:tcPr>
          <w:p w14:paraId="731F60ED"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 xml:space="preserve">Система финансовых и организационных </w:t>
            </w:r>
            <w:r w:rsidRPr="009B1F73">
              <w:rPr>
                <w:rFonts w:eastAsia="Times New Roman" w:cs="Times New Roman"/>
                <w:color w:val="000000"/>
                <w:sz w:val="24"/>
                <w:szCs w:val="24"/>
              </w:rPr>
              <w:t>KPI</w:t>
            </w:r>
          </w:p>
        </w:tc>
        <w:tc>
          <w:tcPr>
            <w:tcW w:w="3572" w:type="dxa"/>
            <w:tcMar>
              <w:top w:w="80" w:type="dxa"/>
              <w:left w:w="120" w:type="dxa"/>
              <w:bottom w:w="80" w:type="dxa"/>
              <w:right w:w="120" w:type="dxa"/>
            </w:tcMar>
            <w:vAlign w:val="center"/>
          </w:tcPr>
          <w:p w14:paraId="15D6632E"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Позволяет доказательно оценить эффект внедрения</w:t>
            </w:r>
          </w:p>
        </w:tc>
      </w:tr>
      <w:tr w:rsidR="00F66FD7" w:rsidRPr="0032530F" w14:paraId="01D770B3" w14:textId="77777777" w:rsidTr="00F66FD7">
        <w:trPr>
          <w:cantSplit/>
          <w:jc w:val="center"/>
        </w:trPr>
        <w:tc>
          <w:tcPr>
            <w:tcW w:w="2074" w:type="dxa"/>
            <w:tcMar>
              <w:top w:w="80" w:type="dxa"/>
              <w:left w:w="120" w:type="dxa"/>
              <w:bottom w:w="80" w:type="dxa"/>
              <w:right w:w="120" w:type="dxa"/>
            </w:tcMar>
            <w:vAlign w:val="center"/>
          </w:tcPr>
          <w:p w14:paraId="2388F1F9"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Непрерывность</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обратной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связи</w:t>
            </w:r>
            <w:proofErr w:type="spellEnd"/>
          </w:p>
        </w:tc>
        <w:tc>
          <w:tcPr>
            <w:tcW w:w="4025" w:type="dxa"/>
            <w:tcMar>
              <w:top w:w="80" w:type="dxa"/>
              <w:left w:w="120" w:type="dxa"/>
              <w:bottom w:w="80" w:type="dxa"/>
              <w:right w:w="120" w:type="dxa"/>
            </w:tcMar>
            <w:vAlign w:val="center"/>
          </w:tcPr>
          <w:p w14:paraId="57B7A610"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Регулярный</w:t>
            </w:r>
            <w:proofErr w:type="spellEnd"/>
            <w:r w:rsidRPr="009B1F73">
              <w:rPr>
                <w:rFonts w:eastAsia="Times New Roman" w:cs="Times New Roman"/>
                <w:color w:val="000000"/>
                <w:sz w:val="24"/>
                <w:szCs w:val="24"/>
              </w:rPr>
              <w:t xml:space="preserve"> </w:t>
            </w:r>
            <w:proofErr w:type="spellStart"/>
            <w:r w:rsidRPr="009B1F73">
              <w:rPr>
                <w:rFonts w:eastAsia="Times New Roman" w:cs="Times New Roman"/>
                <w:color w:val="000000"/>
                <w:sz w:val="24"/>
                <w:szCs w:val="24"/>
              </w:rPr>
              <w:t>мониторинг</w:t>
            </w:r>
            <w:proofErr w:type="spellEnd"/>
            <w:r w:rsidRPr="009B1F73">
              <w:rPr>
                <w:rFonts w:eastAsia="Times New Roman" w:cs="Times New Roman"/>
                <w:color w:val="000000"/>
                <w:sz w:val="24"/>
                <w:szCs w:val="24"/>
              </w:rPr>
              <w:t xml:space="preserve"> и </w:t>
            </w:r>
            <w:proofErr w:type="spellStart"/>
            <w:r w:rsidRPr="009B1F73">
              <w:rPr>
                <w:rFonts w:eastAsia="Times New Roman" w:cs="Times New Roman"/>
                <w:color w:val="000000"/>
                <w:sz w:val="24"/>
                <w:szCs w:val="24"/>
              </w:rPr>
              <w:t>корректировка</w:t>
            </w:r>
            <w:proofErr w:type="spellEnd"/>
          </w:p>
        </w:tc>
        <w:tc>
          <w:tcPr>
            <w:tcW w:w="3572" w:type="dxa"/>
            <w:tcMar>
              <w:top w:w="80" w:type="dxa"/>
              <w:left w:w="120" w:type="dxa"/>
              <w:bottom w:w="80" w:type="dxa"/>
              <w:right w:w="120" w:type="dxa"/>
            </w:tcMar>
            <w:vAlign w:val="center"/>
          </w:tcPr>
          <w:p w14:paraId="3B6A8E07"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Превращает риск-стратегию в развивающийся управленческий контур</w:t>
            </w:r>
          </w:p>
        </w:tc>
      </w:tr>
    </w:tbl>
    <w:p w14:paraId="410B2173" w14:textId="77777777" w:rsidR="00121129" w:rsidRPr="00AB4C8A" w:rsidRDefault="00F077B9" w:rsidP="009B1F73">
      <w:pPr>
        <w:widowControl w:val="0"/>
        <w:spacing w:before="120" w:after="0" w:line="360" w:lineRule="auto"/>
        <w:ind w:firstLine="709"/>
        <w:jc w:val="both"/>
        <w:rPr>
          <w:rFonts w:eastAsia="Times New Roman" w:cs="Times New Roman"/>
          <w:szCs w:val="28"/>
          <w:lang w:val="ru-RU"/>
        </w:rPr>
      </w:pPr>
      <w:r w:rsidRPr="00F077B9">
        <w:rPr>
          <w:rFonts w:eastAsia="Times New Roman" w:cs="Times New Roman"/>
          <w:szCs w:val="28"/>
          <w:lang w:val="ru-RU"/>
        </w:rPr>
        <w:t>Эффективной считается стратегия, которая снижает критический риск без необоснованного падения доходности и может применяться по единым правилам.</w:t>
      </w:r>
    </w:p>
    <w:p w14:paraId="630F08E0" w14:textId="77777777" w:rsidR="00121129" w:rsidRPr="00AB4C8A" w:rsidRDefault="00E03C62" w:rsidP="009B1F73">
      <w:pPr>
        <w:pStyle w:val="aff8"/>
      </w:pPr>
      <w:bookmarkStart w:id="15" w:name="_sto_toc_15"/>
      <w:r w:rsidRPr="00B23776">
        <w:t>3.4 Итоговая структура магистерской диссертации</w:t>
      </w:r>
      <w:bookmarkEnd w:id="15"/>
    </w:p>
    <w:p w14:paraId="52D470E3" w14:textId="6EF6B6AF"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В соответствии с темой и рабочими гипотезами магистерская диссертация строится из трех глав. Первая глава содержит теоретико-методические положения, вторая </w:t>
      </w:r>
      <w:r w:rsidR="009B1F73">
        <w:rPr>
          <w:rFonts w:eastAsia="Times New Roman" w:cs="Times New Roman"/>
          <w:szCs w:val="28"/>
          <w:lang w:val="ru-RU"/>
        </w:rPr>
        <w:t>–</w:t>
      </w:r>
      <w:r w:rsidRPr="00B23776">
        <w:rPr>
          <w:rFonts w:eastAsia="Times New Roman" w:cs="Times New Roman"/>
          <w:szCs w:val="28"/>
          <w:lang w:val="ru-RU"/>
        </w:rPr>
        <w:t xml:space="preserve"> анализ практики и диагностику фрагментарности, третья </w:t>
      </w:r>
      <w:r w:rsidR="009B1F73">
        <w:rPr>
          <w:rFonts w:eastAsia="Times New Roman" w:cs="Times New Roman"/>
          <w:szCs w:val="28"/>
          <w:lang w:val="ru-RU"/>
        </w:rPr>
        <w:t>–</w:t>
      </w:r>
      <w:r w:rsidRPr="00B23776">
        <w:rPr>
          <w:rFonts w:eastAsia="Times New Roman" w:cs="Times New Roman"/>
          <w:szCs w:val="28"/>
          <w:lang w:val="ru-RU"/>
        </w:rPr>
        <w:t xml:space="preserve"> разработку и апробацию методического инструментария.</w:t>
      </w:r>
    </w:p>
    <w:p w14:paraId="3AFB8371"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В первой главе раскрываются эволюция научных подходов, классификация рисков и критический обзор российских и зарубежных исследований. Во второй главе рассматриваются объект апробации, структура портфеля, система показателей, действующие методы оценки, несогласованность решений и унифицированные методы. Третья глава включает применение алгоритма на исторических данных и демо-счетах, сценарное тестирование и оценку эффекта для риска, доходности и операционной согласованности.</w:t>
      </w:r>
    </w:p>
    <w:p w14:paraId="5DEE4AC2" w14:textId="2528839D"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Предлагаемая структура позволяет проверить рабочие гипотезы поэтапно. Первая гипотеза проверяется при диагностике различий в методах и решениях. Вторая </w:t>
      </w:r>
      <w:r w:rsidR="009B1F73">
        <w:rPr>
          <w:rFonts w:eastAsia="Times New Roman" w:cs="Times New Roman"/>
          <w:szCs w:val="28"/>
          <w:lang w:val="ru-RU"/>
        </w:rPr>
        <w:t>–</w:t>
      </w:r>
      <w:r w:rsidRPr="00B23776">
        <w:rPr>
          <w:rFonts w:eastAsia="Times New Roman" w:cs="Times New Roman"/>
          <w:szCs w:val="28"/>
          <w:lang w:val="ru-RU"/>
        </w:rPr>
        <w:t xml:space="preserve"> при сравнении базового и унифицированного контуров. Третья </w:t>
      </w:r>
      <w:r w:rsidR="009B1F73">
        <w:rPr>
          <w:rFonts w:eastAsia="Times New Roman" w:cs="Times New Roman"/>
          <w:szCs w:val="28"/>
          <w:lang w:val="ru-RU"/>
        </w:rPr>
        <w:t>–</w:t>
      </w:r>
      <w:r w:rsidRPr="00B23776">
        <w:rPr>
          <w:rFonts w:eastAsia="Times New Roman" w:cs="Times New Roman"/>
          <w:szCs w:val="28"/>
          <w:lang w:val="ru-RU"/>
        </w:rPr>
        <w:t xml:space="preserve"> по результатам оценки стандартизации процедур и снижения числа несогласованных действий.</w:t>
      </w:r>
    </w:p>
    <w:p w14:paraId="19B6E3F9"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Объект исследования раскрывается через процессы формирования и управления инвестиционным портфелем. Предмет исследования раскрывается через показатели, алгоритм, лимиты, регламенты и порядок координации решений. Поэтому содержание глав связано с общей логикой исследования.</w:t>
      </w:r>
    </w:p>
    <w:p w14:paraId="185485BA"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lastRenderedPageBreak/>
        <w:t>Во второй главе выделен блок организационной диагностики. Он включает сопоставление используемых метрик, сроков обновления данных, оценок одних и тех же активов и решений по хеджированию. Результатом должна стать система измеряемых признаков фрагментарности.</w:t>
      </w:r>
    </w:p>
    <w:p w14:paraId="7D9AE1DF"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Третья глава строится как сравнительная апробация. На одной информационной базе рассчитываются результаты по базовому и авторскому контурам, после чего сравниваются показатели риска, доходности и согласованности решений. Это позволяет оценить эффект методики в одинаковых условиях.</w:t>
      </w:r>
    </w:p>
    <w:p w14:paraId="39D815C8" w14:textId="3B0348E9"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Научная новизна исследования связана </w:t>
      </w:r>
      <w:r w:rsidR="00AE2B6B" w:rsidRPr="00B23776">
        <w:rPr>
          <w:rFonts w:eastAsia="Times New Roman" w:cs="Times New Roman"/>
          <w:szCs w:val="28"/>
          <w:lang w:val="ru-RU"/>
        </w:rPr>
        <w:t>с разработкой</w:t>
      </w:r>
      <w:r w:rsidRPr="00B23776">
        <w:rPr>
          <w:rFonts w:eastAsia="Times New Roman" w:cs="Times New Roman"/>
          <w:szCs w:val="28"/>
          <w:lang w:val="ru-RU"/>
        </w:rPr>
        <w:t xml:space="preserve"> интегрированно</w:t>
      </w:r>
      <w:r w:rsidR="00AE2B6B">
        <w:rPr>
          <w:rFonts w:eastAsia="Times New Roman" w:cs="Times New Roman"/>
          <w:szCs w:val="28"/>
          <w:lang w:val="ru-RU"/>
        </w:rPr>
        <w:t>го</w:t>
      </w:r>
      <w:r w:rsidRPr="00B23776">
        <w:rPr>
          <w:rFonts w:eastAsia="Times New Roman" w:cs="Times New Roman"/>
          <w:szCs w:val="28"/>
          <w:lang w:val="ru-RU"/>
        </w:rPr>
        <w:t xml:space="preserve"> методическо</w:t>
      </w:r>
      <w:r w:rsidR="00AE2B6B">
        <w:rPr>
          <w:rFonts w:eastAsia="Times New Roman" w:cs="Times New Roman"/>
          <w:szCs w:val="28"/>
          <w:lang w:val="ru-RU"/>
        </w:rPr>
        <w:t>го инструментария</w:t>
      </w:r>
      <w:r w:rsidRPr="00B23776">
        <w:rPr>
          <w:rFonts w:eastAsia="Times New Roman" w:cs="Times New Roman"/>
          <w:szCs w:val="28"/>
          <w:lang w:val="ru-RU"/>
        </w:rPr>
        <w:t>. Он объединяет методы оценки риска, профиль инвестора, сценарии рынка и организационные процедуры принятия решений. Работа не ограничивается описанием отдельных моделей.</w:t>
      </w:r>
    </w:p>
    <w:p w14:paraId="698215AD" w14:textId="77777777" w:rsidR="00F66FD7"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Практическая значимость определяется возможностью применять общий порядок управления рисками в инвестиционной компании, корпоративном казначействе или на учебном демо-счете. </w:t>
      </w:r>
    </w:p>
    <w:p w14:paraId="32141706" w14:textId="4A9FA4CC" w:rsidR="00F66FD7"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Конкретные лимиты и показатели могут изменяться, но последовательность действий остается единой. </w:t>
      </w:r>
    </w:p>
    <w:p w14:paraId="31C8778B" w14:textId="54614154"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Итоговая структура магистерской диссертации приведена в таблице 3.3.</w:t>
      </w:r>
    </w:p>
    <w:p w14:paraId="729ED9D2" w14:textId="77777777" w:rsidR="00121129" w:rsidRPr="00AB4C8A" w:rsidRDefault="00E03C62" w:rsidP="009B1F73">
      <w:pPr>
        <w:pStyle w:val="affc"/>
        <w:spacing w:after="120"/>
      </w:pPr>
      <w:r w:rsidRPr="00AB4C8A">
        <w:t>Таблица 3.3 – Предлагаемая структура магистерской диссертации</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6132"/>
      </w:tblGrid>
      <w:tr w:rsidR="00121129" w:rsidRPr="009B1F73" w14:paraId="68C3002D" w14:textId="77777777" w:rsidTr="00F66FD7">
        <w:trPr>
          <w:cantSplit/>
          <w:trHeight w:val="454"/>
          <w:tblHeader/>
          <w:jc w:val="center"/>
        </w:trPr>
        <w:tc>
          <w:tcPr>
            <w:tcW w:w="3539" w:type="dxa"/>
            <w:tcMar>
              <w:top w:w="80" w:type="dxa"/>
              <w:left w:w="120" w:type="dxa"/>
              <w:bottom w:w="80" w:type="dxa"/>
              <w:right w:w="120" w:type="dxa"/>
            </w:tcMar>
            <w:vAlign w:val="center"/>
          </w:tcPr>
          <w:p w14:paraId="531754AF"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Структурный</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элемент</w:t>
            </w:r>
            <w:proofErr w:type="spellEnd"/>
          </w:p>
        </w:tc>
        <w:tc>
          <w:tcPr>
            <w:tcW w:w="6132" w:type="dxa"/>
            <w:tcMar>
              <w:top w:w="80" w:type="dxa"/>
              <w:left w:w="120" w:type="dxa"/>
              <w:bottom w:w="80" w:type="dxa"/>
              <w:right w:w="120" w:type="dxa"/>
            </w:tcMar>
            <w:vAlign w:val="center"/>
          </w:tcPr>
          <w:p w14:paraId="4118A01B" w14:textId="77777777" w:rsidR="00121129" w:rsidRPr="009B1F73" w:rsidRDefault="00E03C62">
            <w:pPr>
              <w:widowControl w:val="0"/>
              <w:spacing w:after="0" w:line="240" w:lineRule="auto"/>
              <w:jc w:val="center"/>
              <w:rPr>
                <w:rFonts w:eastAsia="Times New Roman" w:cs="Times New Roman"/>
                <w:sz w:val="24"/>
                <w:szCs w:val="24"/>
              </w:rPr>
            </w:pPr>
            <w:proofErr w:type="spellStart"/>
            <w:r w:rsidRPr="009B1F73">
              <w:rPr>
                <w:rFonts w:eastAsia="Times New Roman" w:cs="Times New Roman"/>
                <w:bCs/>
                <w:color w:val="000000"/>
                <w:sz w:val="24"/>
                <w:szCs w:val="24"/>
              </w:rPr>
              <w:t>Содержание</w:t>
            </w:r>
            <w:proofErr w:type="spellEnd"/>
          </w:p>
        </w:tc>
      </w:tr>
      <w:tr w:rsidR="00121129" w:rsidRPr="0032530F" w14:paraId="3D75290A" w14:textId="77777777" w:rsidTr="00F66FD7">
        <w:trPr>
          <w:cantSplit/>
          <w:jc w:val="center"/>
        </w:trPr>
        <w:tc>
          <w:tcPr>
            <w:tcW w:w="3539" w:type="dxa"/>
            <w:tcMar>
              <w:top w:w="80" w:type="dxa"/>
              <w:left w:w="120" w:type="dxa"/>
              <w:bottom w:w="80" w:type="dxa"/>
              <w:right w:w="120" w:type="dxa"/>
            </w:tcMar>
            <w:vAlign w:val="center"/>
          </w:tcPr>
          <w:p w14:paraId="1BEAAC6B" w14:textId="77777777" w:rsidR="00121129" w:rsidRPr="009B1F73" w:rsidRDefault="00E03C62">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Введение</w:t>
            </w:r>
            <w:proofErr w:type="spellEnd"/>
          </w:p>
        </w:tc>
        <w:tc>
          <w:tcPr>
            <w:tcW w:w="6132" w:type="dxa"/>
            <w:tcMar>
              <w:top w:w="80" w:type="dxa"/>
              <w:left w:w="120" w:type="dxa"/>
              <w:bottom w:w="80" w:type="dxa"/>
              <w:right w:w="120" w:type="dxa"/>
            </w:tcMar>
            <w:vAlign w:val="center"/>
          </w:tcPr>
          <w:p w14:paraId="14E55832"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Актуальность, степень разработанности темы, цель, задачи, объект, предмет, гипотезы, методология, информационная база, научная новизна, теоретическая и практическая значимость.</w:t>
            </w:r>
          </w:p>
        </w:tc>
      </w:tr>
      <w:tr w:rsidR="00121129" w:rsidRPr="0032530F" w14:paraId="79C8AA2E" w14:textId="77777777" w:rsidTr="00F66FD7">
        <w:trPr>
          <w:cantSplit/>
          <w:trHeight w:val="1191"/>
          <w:jc w:val="center"/>
        </w:trPr>
        <w:tc>
          <w:tcPr>
            <w:tcW w:w="3539" w:type="dxa"/>
            <w:tcMar>
              <w:top w:w="80" w:type="dxa"/>
              <w:left w:w="120" w:type="dxa"/>
              <w:bottom w:w="80" w:type="dxa"/>
              <w:right w:w="120" w:type="dxa"/>
            </w:tcMar>
            <w:vAlign w:val="center"/>
          </w:tcPr>
          <w:p w14:paraId="52B44B49"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Глава 1. Теоретико-методические основы формирования стратегии управления рисками инвестиционного портфеля</w:t>
            </w:r>
          </w:p>
        </w:tc>
        <w:tc>
          <w:tcPr>
            <w:tcW w:w="6132" w:type="dxa"/>
            <w:tcMar>
              <w:top w:w="80" w:type="dxa"/>
              <w:left w:w="120" w:type="dxa"/>
              <w:bottom w:w="80" w:type="dxa"/>
              <w:right w:w="120" w:type="dxa"/>
            </w:tcMar>
            <w:vAlign w:val="center"/>
          </w:tcPr>
          <w:p w14:paraId="69B90383"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Эволюция научных подходов, классификация рисков, критический обзор российских и зарубежных исследований.</w:t>
            </w:r>
          </w:p>
        </w:tc>
      </w:tr>
      <w:tr w:rsidR="00121129" w:rsidRPr="0032530F" w14:paraId="57AA37E5" w14:textId="77777777" w:rsidTr="00F66FD7">
        <w:trPr>
          <w:cantSplit/>
          <w:trHeight w:val="1134"/>
          <w:jc w:val="center"/>
        </w:trPr>
        <w:tc>
          <w:tcPr>
            <w:tcW w:w="3539" w:type="dxa"/>
            <w:tcMar>
              <w:top w:w="80" w:type="dxa"/>
              <w:left w:w="120" w:type="dxa"/>
              <w:bottom w:w="80" w:type="dxa"/>
              <w:right w:w="120" w:type="dxa"/>
            </w:tcMar>
            <w:vAlign w:val="center"/>
          </w:tcPr>
          <w:p w14:paraId="22358EA3"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Глава 2. Анализ действующей практики управления рисками инвестиционного портфеля и диагностика проблем фрагментарности</w:t>
            </w:r>
          </w:p>
        </w:tc>
        <w:tc>
          <w:tcPr>
            <w:tcW w:w="6132" w:type="dxa"/>
            <w:tcMar>
              <w:top w:w="80" w:type="dxa"/>
              <w:left w:w="120" w:type="dxa"/>
              <w:bottom w:w="80" w:type="dxa"/>
              <w:right w:w="120" w:type="dxa"/>
            </w:tcMar>
            <w:vAlign w:val="center"/>
          </w:tcPr>
          <w:p w14:paraId="7BADDAA7" w14:textId="77777777" w:rsidR="00121129" w:rsidRPr="009B1F73" w:rsidRDefault="00E03C62">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Характеристика объекта апробации, описание структуры портфеля, выбор системы показателей, анализ текущих методов оценки, выявление несогласованности решений, разработка унифицированных методов.</w:t>
            </w:r>
          </w:p>
        </w:tc>
      </w:tr>
    </w:tbl>
    <w:p w14:paraId="47C3FD0C" w14:textId="35857FE2" w:rsidR="00F66FD7" w:rsidRPr="00F66FD7" w:rsidRDefault="00F66FD7" w:rsidP="00F66FD7">
      <w:pPr>
        <w:spacing w:after="0" w:line="360" w:lineRule="auto"/>
        <w:rPr>
          <w:lang w:val="ru-RU"/>
        </w:rPr>
      </w:pPr>
      <w:r>
        <w:rPr>
          <w:lang w:val="ru-RU"/>
        </w:rPr>
        <w:lastRenderedPageBreak/>
        <w:t>Продолжение таблицы 3.3</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127"/>
      </w:tblGrid>
      <w:tr w:rsidR="00F66FD7" w:rsidRPr="0032530F" w14:paraId="30AE27D7" w14:textId="77777777" w:rsidTr="00F66FD7">
        <w:trPr>
          <w:cantSplit/>
          <w:trHeight w:val="340"/>
          <w:jc w:val="center"/>
        </w:trPr>
        <w:tc>
          <w:tcPr>
            <w:tcW w:w="3544" w:type="dxa"/>
            <w:tcMar>
              <w:top w:w="80" w:type="dxa"/>
              <w:left w:w="120" w:type="dxa"/>
              <w:bottom w:w="80" w:type="dxa"/>
              <w:right w:w="120" w:type="dxa"/>
            </w:tcMar>
            <w:vAlign w:val="center"/>
          </w:tcPr>
          <w:p w14:paraId="0B68EE27" w14:textId="36ECAC8D" w:rsidR="00F66FD7" w:rsidRPr="009B1F73" w:rsidRDefault="00F66FD7" w:rsidP="00F66FD7">
            <w:pPr>
              <w:widowControl w:val="0"/>
              <w:spacing w:after="0" w:line="240" w:lineRule="auto"/>
              <w:jc w:val="center"/>
              <w:rPr>
                <w:rFonts w:eastAsia="Times New Roman" w:cs="Times New Roman"/>
                <w:color w:val="000000"/>
                <w:sz w:val="24"/>
                <w:szCs w:val="24"/>
                <w:lang w:val="ru-RU"/>
              </w:rPr>
            </w:pPr>
            <w:proofErr w:type="spellStart"/>
            <w:r w:rsidRPr="009B1F73">
              <w:rPr>
                <w:rFonts w:eastAsia="Times New Roman" w:cs="Times New Roman"/>
                <w:bCs/>
                <w:color w:val="000000"/>
                <w:sz w:val="24"/>
                <w:szCs w:val="24"/>
              </w:rPr>
              <w:t>Структурный</w:t>
            </w:r>
            <w:proofErr w:type="spellEnd"/>
            <w:r w:rsidRPr="009B1F73">
              <w:rPr>
                <w:rFonts w:eastAsia="Times New Roman" w:cs="Times New Roman"/>
                <w:bCs/>
                <w:color w:val="000000"/>
                <w:sz w:val="24"/>
                <w:szCs w:val="24"/>
              </w:rPr>
              <w:t xml:space="preserve"> </w:t>
            </w:r>
            <w:proofErr w:type="spellStart"/>
            <w:r w:rsidRPr="009B1F73">
              <w:rPr>
                <w:rFonts w:eastAsia="Times New Roman" w:cs="Times New Roman"/>
                <w:bCs/>
                <w:color w:val="000000"/>
                <w:sz w:val="24"/>
                <w:szCs w:val="24"/>
              </w:rPr>
              <w:t>элемент</w:t>
            </w:r>
            <w:proofErr w:type="spellEnd"/>
          </w:p>
        </w:tc>
        <w:tc>
          <w:tcPr>
            <w:tcW w:w="6127" w:type="dxa"/>
            <w:tcMar>
              <w:top w:w="80" w:type="dxa"/>
              <w:left w:w="120" w:type="dxa"/>
              <w:bottom w:w="80" w:type="dxa"/>
              <w:right w:w="120" w:type="dxa"/>
            </w:tcMar>
            <w:vAlign w:val="center"/>
          </w:tcPr>
          <w:p w14:paraId="53850218" w14:textId="30A4671A" w:rsidR="00F66FD7" w:rsidRPr="009B1F73" w:rsidRDefault="00F66FD7" w:rsidP="00F66FD7">
            <w:pPr>
              <w:widowControl w:val="0"/>
              <w:spacing w:after="0" w:line="240" w:lineRule="auto"/>
              <w:jc w:val="center"/>
              <w:rPr>
                <w:rFonts w:eastAsia="Times New Roman" w:cs="Times New Roman"/>
                <w:color w:val="000000"/>
                <w:sz w:val="24"/>
                <w:szCs w:val="24"/>
                <w:lang w:val="ru-RU"/>
              </w:rPr>
            </w:pPr>
            <w:proofErr w:type="spellStart"/>
            <w:r w:rsidRPr="009B1F73">
              <w:rPr>
                <w:rFonts w:eastAsia="Times New Roman" w:cs="Times New Roman"/>
                <w:bCs/>
                <w:color w:val="000000"/>
                <w:sz w:val="24"/>
                <w:szCs w:val="24"/>
              </w:rPr>
              <w:t>Содержание</w:t>
            </w:r>
            <w:proofErr w:type="spellEnd"/>
          </w:p>
        </w:tc>
      </w:tr>
      <w:tr w:rsidR="00F66FD7" w:rsidRPr="0032530F" w14:paraId="0E68511B" w14:textId="77777777" w:rsidTr="00F66FD7">
        <w:trPr>
          <w:cantSplit/>
          <w:jc w:val="center"/>
        </w:trPr>
        <w:tc>
          <w:tcPr>
            <w:tcW w:w="3544" w:type="dxa"/>
            <w:tcMar>
              <w:top w:w="80" w:type="dxa"/>
              <w:left w:w="120" w:type="dxa"/>
              <w:bottom w:w="80" w:type="dxa"/>
              <w:right w:w="120" w:type="dxa"/>
            </w:tcMar>
            <w:vAlign w:val="center"/>
          </w:tcPr>
          <w:p w14:paraId="382F3684"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Глава 3. Разработка и апробация методического инструментария формирования стратегии управления рисками инвестиционного портфеля</w:t>
            </w:r>
          </w:p>
        </w:tc>
        <w:tc>
          <w:tcPr>
            <w:tcW w:w="6127" w:type="dxa"/>
            <w:tcMar>
              <w:top w:w="80" w:type="dxa"/>
              <w:left w:w="120" w:type="dxa"/>
              <w:bottom w:w="80" w:type="dxa"/>
              <w:right w:w="120" w:type="dxa"/>
            </w:tcMar>
            <w:vAlign w:val="center"/>
          </w:tcPr>
          <w:p w14:paraId="064B3621"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Применение предложенного алгоритма на исторических данных и демо-счетах, сценарное тестирование, оценка эффекта для риска, доходности и операционной согласованности решений.</w:t>
            </w:r>
          </w:p>
        </w:tc>
      </w:tr>
      <w:tr w:rsidR="00F66FD7" w:rsidRPr="0032530F" w14:paraId="1A4189D5" w14:textId="77777777" w:rsidTr="00F66FD7">
        <w:trPr>
          <w:cantSplit/>
          <w:jc w:val="center"/>
        </w:trPr>
        <w:tc>
          <w:tcPr>
            <w:tcW w:w="3544" w:type="dxa"/>
            <w:tcMar>
              <w:top w:w="80" w:type="dxa"/>
              <w:left w:w="120" w:type="dxa"/>
              <w:bottom w:w="80" w:type="dxa"/>
              <w:right w:w="120" w:type="dxa"/>
            </w:tcMar>
            <w:vAlign w:val="center"/>
          </w:tcPr>
          <w:p w14:paraId="52FC265D"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Заключение</w:t>
            </w:r>
            <w:proofErr w:type="spellEnd"/>
          </w:p>
        </w:tc>
        <w:tc>
          <w:tcPr>
            <w:tcW w:w="6127" w:type="dxa"/>
            <w:tcMar>
              <w:top w:w="80" w:type="dxa"/>
              <w:left w:w="120" w:type="dxa"/>
              <w:bottom w:w="80" w:type="dxa"/>
              <w:right w:w="120" w:type="dxa"/>
            </w:tcMar>
            <w:vAlign w:val="center"/>
          </w:tcPr>
          <w:p w14:paraId="2E58A869"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Выводы, подтверждение или опровержение гипотез, рекомендации по внедрению и направления дальнейших исследований.</w:t>
            </w:r>
          </w:p>
        </w:tc>
      </w:tr>
      <w:tr w:rsidR="00F66FD7" w:rsidRPr="0032530F" w14:paraId="2C65EAFB" w14:textId="77777777" w:rsidTr="00F66FD7">
        <w:trPr>
          <w:cantSplit/>
          <w:jc w:val="center"/>
        </w:trPr>
        <w:tc>
          <w:tcPr>
            <w:tcW w:w="3544" w:type="dxa"/>
            <w:tcMar>
              <w:top w:w="80" w:type="dxa"/>
              <w:left w:w="120" w:type="dxa"/>
              <w:bottom w:w="80" w:type="dxa"/>
              <w:right w:w="120" w:type="dxa"/>
            </w:tcMar>
            <w:vAlign w:val="center"/>
          </w:tcPr>
          <w:p w14:paraId="5F516101" w14:textId="77777777" w:rsidR="00F66FD7" w:rsidRPr="009B1F73" w:rsidRDefault="00F66FD7" w:rsidP="00F66FD7">
            <w:pPr>
              <w:widowControl w:val="0"/>
              <w:spacing w:after="0" w:line="240" w:lineRule="auto"/>
              <w:rPr>
                <w:rFonts w:eastAsia="Times New Roman" w:cs="Times New Roman"/>
                <w:sz w:val="24"/>
                <w:szCs w:val="24"/>
              </w:rPr>
            </w:pPr>
            <w:proofErr w:type="spellStart"/>
            <w:r w:rsidRPr="009B1F73">
              <w:rPr>
                <w:rFonts w:eastAsia="Times New Roman" w:cs="Times New Roman"/>
                <w:color w:val="000000"/>
                <w:sz w:val="24"/>
                <w:szCs w:val="24"/>
              </w:rPr>
              <w:t>Приложения</w:t>
            </w:r>
            <w:proofErr w:type="spellEnd"/>
          </w:p>
        </w:tc>
        <w:tc>
          <w:tcPr>
            <w:tcW w:w="6127" w:type="dxa"/>
            <w:tcMar>
              <w:top w:w="80" w:type="dxa"/>
              <w:left w:w="120" w:type="dxa"/>
              <w:bottom w:w="80" w:type="dxa"/>
              <w:right w:w="120" w:type="dxa"/>
            </w:tcMar>
            <w:vAlign w:val="center"/>
          </w:tcPr>
          <w:p w14:paraId="50035F25" w14:textId="77777777" w:rsidR="00F66FD7" w:rsidRPr="009B1F73" w:rsidRDefault="00F66FD7" w:rsidP="00F66FD7">
            <w:pPr>
              <w:widowControl w:val="0"/>
              <w:spacing w:after="0" w:line="240" w:lineRule="auto"/>
              <w:rPr>
                <w:rFonts w:eastAsia="Times New Roman" w:cs="Times New Roman"/>
                <w:sz w:val="24"/>
                <w:szCs w:val="24"/>
                <w:lang w:val="ru-RU"/>
              </w:rPr>
            </w:pPr>
            <w:r w:rsidRPr="009B1F73">
              <w:rPr>
                <w:rFonts w:eastAsia="Times New Roman" w:cs="Times New Roman"/>
                <w:color w:val="000000"/>
                <w:sz w:val="24"/>
                <w:szCs w:val="24"/>
                <w:lang w:val="ru-RU"/>
              </w:rPr>
              <w:t>Публикация по теме, вспомогательные таблицы, формы реестра рисков, сценарные карты, расчетные материалы.</w:t>
            </w:r>
          </w:p>
        </w:tc>
      </w:tr>
    </w:tbl>
    <w:p w14:paraId="5CF45F2C" w14:textId="77777777" w:rsidR="00121129" w:rsidRPr="00AB4C8A" w:rsidRDefault="00E03C62">
      <w:pPr>
        <w:keepNext/>
        <w:pageBreakBefore/>
        <w:widowControl w:val="0"/>
        <w:suppressAutoHyphens/>
        <w:spacing w:after="240" w:line="240" w:lineRule="auto"/>
        <w:jc w:val="center"/>
        <w:outlineLvl w:val="0"/>
        <w:rPr>
          <w:rFonts w:ascii="Arial" w:eastAsia="Arial" w:hAnsi="Arial" w:cs="Arial"/>
          <w:sz w:val="30"/>
          <w:szCs w:val="30"/>
          <w:lang w:val="ru-RU"/>
        </w:rPr>
      </w:pPr>
      <w:bookmarkStart w:id="16" w:name="_sto_toc_16"/>
      <w:r w:rsidRPr="00B23776">
        <w:rPr>
          <w:rFonts w:ascii="Arial" w:eastAsia="Arial" w:hAnsi="Arial" w:cs="Arial"/>
          <w:color w:val="000000"/>
          <w:sz w:val="30"/>
          <w:szCs w:val="30"/>
          <w:lang w:val="ru-RU"/>
        </w:rPr>
        <w:lastRenderedPageBreak/>
        <w:t>Заключение</w:t>
      </w:r>
      <w:bookmarkEnd w:id="16"/>
    </w:p>
    <w:p w14:paraId="25F3F979"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По итогам прохождения производственной научно-исследовательской практики выполнены поставленные задачи. Систематизированы источники по теме управления рисками инвестиционного портфеля, уточнены научная проблема, объект, предмет и рабочие гипотезы исследования.</w:t>
      </w:r>
    </w:p>
    <w:p w14:paraId="1BB64C4F"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В теоретической части рассмотрена эволюция подходов к управлению портфельным риском и выделены основные группы рисков. Анализ показал, что современные исследования расширяют набор методов за счет поведенческих, </w:t>
      </w:r>
      <w:r>
        <w:rPr>
          <w:rFonts w:eastAsia="Times New Roman" w:cs="Times New Roman"/>
          <w:szCs w:val="28"/>
        </w:rPr>
        <w:t>ESG</w:t>
      </w:r>
      <w:r w:rsidRPr="00B23776">
        <w:rPr>
          <w:rFonts w:eastAsia="Times New Roman" w:cs="Times New Roman"/>
          <w:szCs w:val="28"/>
          <w:lang w:val="ru-RU"/>
        </w:rPr>
        <w:t xml:space="preserve">-, сетевых и </w:t>
      </w:r>
      <w:r>
        <w:rPr>
          <w:rFonts w:eastAsia="Times New Roman" w:cs="Times New Roman"/>
          <w:szCs w:val="28"/>
        </w:rPr>
        <w:t>AI</w:t>
      </w:r>
      <w:r w:rsidRPr="00B23776">
        <w:rPr>
          <w:rFonts w:eastAsia="Times New Roman" w:cs="Times New Roman"/>
          <w:szCs w:val="28"/>
          <w:lang w:val="ru-RU"/>
        </w:rPr>
        <w:t>-ориентированных моделей. Вместе с тем вопросы организационного объединения этих методов раскрыты недостаточно.</w:t>
      </w:r>
    </w:p>
    <w:p w14:paraId="3B9A32C3" w14:textId="7777777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В аналитической части описаны объект апробации, состав модельного портфеля, система показателей и признаки фрагментарности действующей практики. На этой основе предложен унифицированный контур, включающий реестр рисков, количественную оценку, сценарии, лимиты, выбор мер реагирования и мониторинг.</w:t>
      </w:r>
    </w:p>
    <w:p w14:paraId="259A484B" w14:textId="2D4E1F07" w:rsidR="00121129" w:rsidRPr="00AB4C8A" w:rsidRDefault="00E03C62">
      <w:pPr>
        <w:widowControl w:val="0"/>
        <w:spacing w:after="0" w:line="360" w:lineRule="auto"/>
        <w:ind w:firstLine="709"/>
        <w:jc w:val="both"/>
        <w:rPr>
          <w:rFonts w:eastAsia="Times New Roman" w:cs="Times New Roman"/>
          <w:szCs w:val="28"/>
          <w:lang w:val="ru-RU"/>
        </w:rPr>
      </w:pPr>
      <w:r w:rsidRPr="00B23776">
        <w:rPr>
          <w:rFonts w:eastAsia="Times New Roman" w:cs="Times New Roman"/>
          <w:szCs w:val="28"/>
          <w:lang w:val="ru-RU"/>
        </w:rPr>
        <w:t xml:space="preserve">В проектной части определены порядок апробации на исторических данных и демо-счетах, сценарии тестирования и критерии оценки результата. Структура диссертации разработана в соответствии с темой, целью и рабочими гипотезами. Следующий этап исследования </w:t>
      </w:r>
      <w:r w:rsidR="009B1F73">
        <w:rPr>
          <w:rFonts w:eastAsia="Times New Roman" w:cs="Times New Roman"/>
          <w:szCs w:val="28"/>
          <w:lang w:val="ru-RU"/>
        </w:rPr>
        <w:t>–</w:t>
      </w:r>
      <w:r w:rsidRPr="00B23776">
        <w:rPr>
          <w:rFonts w:eastAsia="Times New Roman" w:cs="Times New Roman"/>
          <w:szCs w:val="28"/>
          <w:lang w:val="ru-RU"/>
        </w:rPr>
        <w:t xml:space="preserve"> провести расчеты и оценить влияние методического инструментария на риск, доходность и согласованность решений. Публикация по результатам исследования представлена в приложении А.</w:t>
      </w:r>
    </w:p>
    <w:p w14:paraId="2AD43CD7" w14:textId="77777777" w:rsidR="00121129" w:rsidRPr="00B23776" w:rsidRDefault="00E03C62">
      <w:pPr>
        <w:rPr>
          <w:lang w:val="ru-RU"/>
        </w:rPr>
      </w:pPr>
      <w:r w:rsidRPr="00B23776">
        <w:rPr>
          <w:lang w:val="ru-RU"/>
        </w:rPr>
        <w:br w:type="page"/>
      </w:r>
    </w:p>
    <w:p w14:paraId="2B2EC48C" w14:textId="77777777" w:rsidR="00121129" w:rsidRPr="00AB4C8A" w:rsidRDefault="00E03C62">
      <w:pPr>
        <w:keepNext/>
        <w:widowControl w:val="0"/>
        <w:suppressAutoHyphens/>
        <w:spacing w:after="240" w:line="240" w:lineRule="auto"/>
        <w:jc w:val="center"/>
        <w:outlineLvl w:val="0"/>
        <w:rPr>
          <w:rFonts w:ascii="Arial" w:eastAsia="Arial" w:hAnsi="Arial" w:cs="Arial"/>
          <w:sz w:val="30"/>
          <w:szCs w:val="30"/>
          <w:lang w:val="ru-RU"/>
        </w:rPr>
      </w:pPr>
      <w:bookmarkStart w:id="17" w:name="_sto_toc_17"/>
      <w:r>
        <w:rPr>
          <w:rFonts w:ascii="Arial" w:eastAsia="Arial" w:hAnsi="Arial" w:cs="Arial"/>
          <w:sz w:val="30"/>
          <w:szCs w:val="30"/>
          <w:lang w:val="ru-RU"/>
        </w:rPr>
        <w:lastRenderedPageBreak/>
        <w:t>Список</w:t>
      </w:r>
      <w:r w:rsidRPr="00AB4C8A">
        <w:rPr>
          <w:rFonts w:ascii="Arial" w:eastAsia="Arial" w:hAnsi="Arial" w:cs="Arial"/>
          <w:sz w:val="30"/>
          <w:szCs w:val="30"/>
          <w:lang w:val="ru-RU"/>
        </w:rPr>
        <w:t xml:space="preserve"> </w:t>
      </w:r>
      <w:r>
        <w:rPr>
          <w:rFonts w:ascii="Arial" w:eastAsia="Arial" w:hAnsi="Arial" w:cs="Arial"/>
          <w:sz w:val="30"/>
          <w:szCs w:val="30"/>
          <w:lang w:val="ru-RU"/>
        </w:rPr>
        <w:t>использованных</w:t>
      </w:r>
      <w:r w:rsidRPr="00AB4C8A">
        <w:rPr>
          <w:rFonts w:ascii="Arial" w:eastAsia="Arial" w:hAnsi="Arial" w:cs="Arial"/>
          <w:sz w:val="30"/>
          <w:szCs w:val="30"/>
          <w:lang w:val="ru-RU"/>
        </w:rPr>
        <w:t xml:space="preserve"> </w:t>
      </w:r>
      <w:r>
        <w:rPr>
          <w:rFonts w:ascii="Arial" w:eastAsia="Arial" w:hAnsi="Arial" w:cs="Arial"/>
          <w:sz w:val="30"/>
          <w:szCs w:val="30"/>
          <w:lang w:val="ru-RU"/>
        </w:rPr>
        <w:t>источников</w:t>
      </w:r>
      <w:bookmarkEnd w:id="17"/>
    </w:p>
    <w:p w14:paraId="3C36EA6E" w14:textId="77777777" w:rsidR="00121129" w:rsidRDefault="00E03C62">
      <w:pPr>
        <w:widowControl w:val="0"/>
        <w:spacing w:before="240" w:after="0" w:line="360" w:lineRule="auto"/>
        <w:ind w:firstLine="709"/>
        <w:contextualSpacing/>
        <w:jc w:val="both"/>
        <w:rPr>
          <w:rFonts w:eastAsia="Times New Roman" w:cs="Times New Roman"/>
          <w:szCs w:val="28"/>
        </w:rPr>
      </w:pPr>
      <w:r w:rsidRPr="00F077B9">
        <w:rPr>
          <w:rFonts w:eastAsia="Times New Roman" w:cs="Times New Roman"/>
          <w:szCs w:val="28"/>
        </w:rPr>
        <w:t>1 Cherif M. S., Mansour N. Investors' behavior-based nonlinear goal programming models for financial portfolio selection considering future stock market trends // Data Science and Management. – 2025. – DOI: 10.1016/j.dsm.2025.09.004.</w:t>
      </w:r>
    </w:p>
    <w:p w14:paraId="21CC40F3"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 xml:space="preserve">2 </w:t>
      </w:r>
      <w:proofErr w:type="spellStart"/>
      <w:r w:rsidRPr="00F077B9">
        <w:rPr>
          <w:rFonts w:eastAsia="Times New Roman" w:cs="Times New Roman"/>
          <w:szCs w:val="28"/>
        </w:rPr>
        <w:t>Marupanthorn</w:t>
      </w:r>
      <w:proofErr w:type="spellEnd"/>
      <w:r w:rsidRPr="00F077B9">
        <w:rPr>
          <w:rFonts w:eastAsia="Times New Roman" w:cs="Times New Roman"/>
          <w:szCs w:val="28"/>
        </w:rPr>
        <w:t xml:space="preserve"> P., </w:t>
      </w:r>
      <w:proofErr w:type="spellStart"/>
      <w:r w:rsidRPr="00F077B9">
        <w:rPr>
          <w:rFonts w:eastAsia="Times New Roman" w:cs="Times New Roman"/>
          <w:szCs w:val="28"/>
        </w:rPr>
        <w:t>Nikitopoulos</w:t>
      </w:r>
      <w:proofErr w:type="spellEnd"/>
      <w:r w:rsidRPr="00F077B9">
        <w:rPr>
          <w:rFonts w:eastAsia="Times New Roman" w:cs="Times New Roman"/>
          <w:szCs w:val="28"/>
        </w:rPr>
        <w:t xml:space="preserve"> C. S., Ofosu-Hene E. D., Peters G. W., Richards K. A. Mechanisms for implementing fossil fuel divestment in portfolio management with impact on risk, return and carbon reduction // Energy Economics. – 2024. – Vol. 136. – Art. 107724. – DOI: 10.1016/j.eneco.2024.107724.</w:t>
      </w:r>
    </w:p>
    <w:p w14:paraId="33E46C97"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 xml:space="preserve">3 Lorimer D. A., van Schalkwyk C. H., </w:t>
      </w:r>
      <w:proofErr w:type="spellStart"/>
      <w:r w:rsidRPr="00F077B9">
        <w:rPr>
          <w:rFonts w:eastAsia="Times New Roman" w:cs="Times New Roman"/>
          <w:szCs w:val="28"/>
        </w:rPr>
        <w:t>Szczygielski</w:t>
      </w:r>
      <w:proofErr w:type="spellEnd"/>
      <w:r w:rsidRPr="00F077B9">
        <w:rPr>
          <w:rFonts w:eastAsia="Times New Roman" w:cs="Times New Roman"/>
          <w:szCs w:val="28"/>
        </w:rPr>
        <w:t xml:space="preserve"> J. J. Portfolio </w:t>
      </w:r>
      <w:proofErr w:type="spellStart"/>
      <w:r w:rsidRPr="00F077B9">
        <w:rPr>
          <w:rFonts w:eastAsia="Times New Roman" w:cs="Times New Roman"/>
          <w:szCs w:val="28"/>
        </w:rPr>
        <w:t>optimisation</w:t>
      </w:r>
      <w:proofErr w:type="spellEnd"/>
      <w:r w:rsidRPr="00F077B9">
        <w:rPr>
          <w:rFonts w:eastAsia="Times New Roman" w:cs="Times New Roman"/>
          <w:szCs w:val="28"/>
        </w:rPr>
        <w:t xml:space="preserve"> using alternative risk measures // Finance Research Letters. – 2024. – Vol. 67. – Art. 105758. – DOI: 10.1016/j.frl.2024.105758.</w:t>
      </w:r>
    </w:p>
    <w:p w14:paraId="5D26AD2D"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4 Schneider C. J., Yilmaz Y. Stock portfolio selection based on risk appetite: Evidence from ChatGPT // Finance Research Letters. – 2025. – Vol. 82. – Art. 107517. – DOI: 10.1016/j.frl.2025.107517.</w:t>
      </w:r>
    </w:p>
    <w:p w14:paraId="2FCE8CC3" w14:textId="77777777" w:rsidR="00121129" w:rsidRPr="00AB4C8A" w:rsidRDefault="00E03C62">
      <w:pPr>
        <w:widowControl w:val="0"/>
        <w:spacing w:after="0" w:line="360" w:lineRule="auto"/>
        <w:ind w:firstLine="709"/>
        <w:contextualSpacing/>
        <w:jc w:val="both"/>
        <w:rPr>
          <w:rFonts w:eastAsia="Times New Roman" w:cs="Times New Roman"/>
          <w:szCs w:val="28"/>
          <w:lang w:val="ru-RU"/>
        </w:rPr>
      </w:pPr>
      <w:r>
        <w:rPr>
          <w:rFonts w:eastAsia="Times New Roman" w:cs="Times New Roman"/>
          <w:szCs w:val="28"/>
          <w:lang w:val="ru-RU"/>
        </w:rPr>
        <w:t xml:space="preserve">5 </w:t>
      </w:r>
      <w:proofErr w:type="spellStart"/>
      <w:r>
        <w:rPr>
          <w:rFonts w:eastAsia="Times New Roman" w:cs="Times New Roman"/>
          <w:szCs w:val="28"/>
          <w:lang w:val="ru-RU"/>
        </w:rPr>
        <w:t>Выгодчикова</w:t>
      </w:r>
      <w:proofErr w:type="spellEnd"/>
      <w:r>
        <w:rPr>
          <w:rFonts w:eastAsia="Times New Roman" w:cs="Times New Roman"/>
          <w:szCs w:val="28"/>
          <w:lang w:val="ru-RU"/>
        </w:rPr>
        <w:t xml:space="preserve"> И. Ю. Управление волатильностью инвестиционного портфеля с учетом риска потери капитала на основе интервальных данных // Управление финансовыми рисками. – 2022. – № 1. – С. 30–43. – DOI: 10.36627/2221-7541-2022-1-1-30-43.</w:t>
      </w:r>
    </w:p>
    <w:p w14:paraId="21FAE085"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6 Chen A., Gerick L., Jin Z. Optimizing portfolios under carbon risk constraints: Setting effective constraints to favor green investments // Energy Economics. – 2025. – Vol. 148. – Art. 108634. – DOI: 10.1016/j.eneco.2025.108634.</w:t>
      </w:r>
    </w:p>
    <w:p w14:paraId="30841354"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7 Choi C., Kim J. Outperforming the tutor: Expert-infused deep reinforcement learning for dynamic portfolio selection of diverse assets // Knowledge-Based Systems. – 2024. – Vol. 294. – Art. 111739. – DOI: 10.1016/j.knosys.2024.111739.</w:t>
      </w:r>
    </w:p>
    <w:p w14:paraId="55E63C28"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8 Liu J., Quan P., Li J. Portfolio Optimization Based on Signed Graph Convolutional Network // Procedia Computer Science. – 2025. – Vol. 266. – P. 699–706. – DOI: 10.1016/j.procs.2025.08.088.</w:t>
      </w:r>
    </w:p>
    <w:p w14:paraId="7C9E9EAC"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 xml:space="preserve">9 Salas-Molina F., Nin J. Risk mitigation through noise reduction in hierarchical portfolio selection // Expert Systems with Applications. – 2026. – Vol. 299. – Art. </w:t>
      </w:r>
      <w:r w:rsidRPr="00F077B9">
        <w:rPr>
          <w:rFonts w:eastAsia="Times New Roman" w:cs="Times New Roman"/>
          <w:szCs w:val="28"/>
        </w:rPr>
        <w:lastRenderedPageBreak/>
        <w:t>130304. – DOI: 10.1016/j.eswa.2025.130304.</w:t>
      </w:r>
    </w:p>
    <w:p w14:paraId="6C3A2C03"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 xml:space="preserve">10 Goel A., Pasricha P., </w:t>
      </w:r>
      <w:proofErr w:type="spellStart"/>
      <w:r w:rsidRPr="00F077B9">
        <w:rPr>
          <w:rFonts w:eastAsia="Times New Roman" w:cs="Times New Roman"/>
          <w:szCs w:val="28"/>
        </w:rPr>
        <w:t>Kanniainen</w:t>
      </w:r>
      <w:proofErr w:type="spellEnd"/>
      <w:r w:rsidRPr="00F077B9">
        <w:rPr>
          <w:rFonts w:eastAsia="Times New Roman" w:cs="Times New Roman"/>
          <w:szCs w:val="28"/>
        </w:rPr>
        <w:t xml:space="preserve"> J. Risk reduced sparse index tracking portfolio: A topological data analysis approach // Omega. – 2026. – Vol. 138. – Art. 103432. – DOI: 10.1016/j.omega.2025.103432.</w:t>
      </w:r>
    </w:p>
    <w:p w14:paraId="0EB74EED"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 xml:space="preserve">11 Diaz A., </w:t>
      </w:r>
      <w:proofErr w:type="spellStart"/>
      <w:r w:rsidRPr="00F077B9">
        <w:rPr>
          <w:rFonts w:eastAsia="Times New Roman" w:cs="Times New Roman"/>
          <w:szCs w:val="28"/>
        </w:rPr>
        <w:t>Esparcia</w:t>
      </w:r>
      <w:proofErr w:type="spellEnd"/>
      <w:r w:rsidRPr="00F077B9">
        <w:rPr>
          <w:rFonts w:eastAsia="Times New Roman" w:cs="Times New Roman"/>
          <w:szCs w:val="28"/>
        </w:rPr>
        <w:t xml:space="preserve"> C., </w:t>
      </w:r>
      <w:proofErr w:type="spellStart"/>
      <w:r w:rsidRPr="00F077B9">
        <w:rPr>
          <w:rFonts w:eastAsia="Times New Roman" w:cs="Times New Roman"/>
          <w:szCs w:val="28"/>
        </w:rPr>
        <w:t>Huelamo</w:t>
      </w:r>
      <w:proofErr w:type="spellEnd"/>
      <w:r w:rsidRPr="00F077B9">
        <w:rPr>
          <w:rFonts w:eastAsia="Times New Roman" w:cs="Times New Roman"/>
          <w:szCs w:val="28"/>
        </w:rPr>
        <w:t xml:space="preserve"> D. Stablecoins as a tool to mitigate the downside risk of cryptocurrency portfolios // North American Journal of Economics and Finance. – 2023. – Vol. 64. – Art. 101838. – DOI: 10.1016/j.najef.2022.101838.</w:t>
      </w:r>
    </w:p>
    <w:p w14:paraId="295B99DD"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12 Wojcik F. A deep reinforcement learning approach for portfolio optimization and risk management: Case studies // Analytics in Finance and Risk Management. – CRC Press, 2023. – P. 133–163. – DOI: 10.1201/9780367854690-7.</w:t>
      </w:r>
    </w:p>
    <w:p w14:paraId="3A2A7CDE"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13 Dominguez A. R., Shahzad M., Hong X. Multi-hypothesis prediction for portfolio optimization: A structured ensemble learning approach to risk diversification // Expert Systems with Applications. – 2025. – Vol. 292. – Art. 128633. – DOI: 10.1016/j.eswa.2025.128633.</w:t>
      </w:r>
    </w:p>
    <w:p w14:paraId="0B05125D"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14 Aslam A., Brahmana R. K. Systemic spillovers in high-growth private market sectors: Determinants and portfolio implications // North American Journal of Economics and Finance. – 2026. – Vol. 82. – Art. 102579. – DOI: 10.1016/j.najef.2025.102579.</w:t>
      </w:r>
    </w:p>
    <w:p w14:paraId="5C9E38B9"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15 Qu T. Tail-driven portfolios: Unveiling financial contagion and enhancing risk management // The Journal of Finance and Data Science. – 2024. – Vol. 10. – Art. 100142. – DOI: 10.1016/j.jfds.2024.100142.</w:t>
      </w:r>
    </w:p>
    <w:p w14:paraId="3CF3013A" w14:textId="77777777" w:rsidR="00121129" w:rsidRPr="00AB4C8A" w:rsidRDefault="00E03C62">
      <w:pPr>
        <w:widowControl w:val="0"/>
        <w:spacing w:after="0" w:line="360" w:lineRule="auto"/>
        <w:ind w:firstLine="709"/>
        <w:contextualSpacing/>
        <w:jc w:val="both"/>
        <w:rPr>
          <w:rFonts w:eastAsia="Times New Roman" w:cs="Times New Roman"/>
          <w:szCs w:val="28"/>
          <w:lang w:val="ru-RU"/>
        </w:rPr>
      </w:pPr>
      <w:r>
        <w:rPr>
          <w:rFonts w:eastAsia="Times New Roman" w:cs="Times New Roman"/>
          <w:szCs w:val="28"/>
          <w:lang w:val="ru-RU"/>
        </w:rPr>
        <w:t xml:space="preserve">16 </w:t>
      </w:r>
      <w:proofErr w:type="spellStart"/>
      <w:r>
        <w:rPr>
          <w:rFonts w:eastAsia="Times New Roman" w:cs="Times New Roman"/>
          <w:szCs w:val="28"/>
          <w:lang w:val="ru-RU"/>
        </w:rPr>
        <w:t>Торкановский</w:t>
      </w:r>
      <w:proofErr w:type="spellEnd"/>
      <w:r>
        <w:rPr>
          <w:rFonts w:eastAsia="Times New Roman" w:cs="Times New Roman"/>
          <w:szCs w:val="28"/>
          <w:lang w:val="ru-RU"/>
        </w:rPr>
        <w:t xml:space="preserve"> Е. П. Управление финансовыми рисками в эпоху геоэкономической турбулентности: от классических парадигм к асимметричным ответам // Управление финансовыми рисками. – 2025. – Т. 21, № 2. – С. 79–96. – DOI: 10.18334/ufr.21.2.124448.</w:t>
      </w:r>
    </w:p>
    <w:p w14:paraId="5182D6C0"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17 Arrieta-Prieto M. E. Optimizing wind farm portfolios: A risk-mitigation approach to strengthen renewable integration and market resilience // Energy Strategy Reviews. – 2025. – Vol. 62. – Art. 101977. – DOI: 10.1016/j.esr.2025.101977.</w:t>
      </w:r>
    </w:p>
    <w:p w14:paraId="237564EF"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 xml:space="preserve">18 Gargallo P., Lample L., Miguel J. A., Salvador M. Sequential management of energy and low-carbon portfolios // Research in International Business and Finance. </w:t>
      </w:r>
      <w:r w:rsidRPr="00F077B9">
        <w:rPr>
          <w:rFonts w:eastAsia="Times New Roman" w:cs="Times New Roman"/>
          <w:szCs w:val="28"/>
        </w:rPr>
        <w:lastRenderedPageBreak/>
        <w:t>– 2024. – Vol. 69. – Art. 102263. – DOI: 10.1016/j.ribaf.2024.102263.</w:t>
      </w:r>
    </w:p>
    <w:p w14:paraId="69ADEEDA"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 xml:space="preserve">19 Mican Rincon C. A., Rubiano-Ovalle O., Delgado Hurtado C., Andrade-Eraso C. A. Project portfolio risk management. </w:t>
      </w:r>
      <w:proofErr w:type="spellStart"/>
      <w:r w:rsidRPr="00F077B9">
        <w:rPr>
          <w:rFonts w:eastAsia="Times New Roman" w:cs="Times New Roman"/>
          <w:szCs w:val="28"/>
        </w:rPr>
        <w:t>Bibliometry</w:t>
      </w:r>
      <w:proofErr w:type="spellEnd"/>
      <w:r w:rsidRPr="00F077B9">
        <w:rPr>
          <w:rFonts w:eastAsia="Times New Roman" w:cs="Times New Roman"/>
          <w:szCs w:val="28"/>
        </w:rPr>
        <w:t xml:space="preserve"> and collaboration </w:t>
      </w:r>
      <w:proofErr w:type="spellStart"/>
      <w:r w:rsidRPr="00F077B9">
        <w:rPr>
          <w:rFonts w:eastAsia="Times New Roman" w:cs="Times New Roman"/>
          <w:szCs w:val="28"/>
        </w:rPr>
        <w:t>scientometric</w:t>
      </w:r>
      <w:proofErr w:type="spellEnd"/>
      <w:r w:rsidRPr="00F077B9">
        <w:rPr>
          <w:rFonts w:eastAsia="Times New Roman" w:cs="Times New Roman"/>
          <w:szCs w:val="28"/>
        </w:rPr>
        <w:t xml:space="preserve"> domain analysis // </w:t>
      </w:r>
      <w:proofErr w:type="spellStart"/>
      <w:r w:rsidRPr="00F077B9">
        <w:rPr>
          <w:rFonts w:eastAsia="Times New Roman" w:cs="Times New Roman"/>
          <w:szCs w:val="28"/>
        </w:rPr>
        <w:t>Heliyon</w:t>
      </w:r>
      <w:proofErr w:type="spellEnd"/>
      <w:r w:rsidRPr="00F077B9">
        <w:rPr>
          <w:rFonts w:eastAsia="Times New Roman" w:cs="Times New Roman"/>
          <w:szCs w:val="28"/>
        </w:rPr>
        <w:t xml:space="preserve">. – 2023. – Vol. 9. – Art. e19136. – DOI: </w:t>
      </w:r>
      <w:proofErr w:type="gramStart"/>
      <w:r w:rsidRPr="00F077B9">
        <w:rPr>
          <w:rFonts w:eastAsia="Times New Roman" w:cs="Times New Roman"/>
          <w:szCs w:val="28"/>
        </w:rPr>
        <w:t>10.1016/j.heliyon.2023.e</w:t>
      </w:r>
      <w:proofErr w:type="gramEnd"/>
      <w:r w:rsidRPr="00F077B9">
        <w:rPr>
          <w:rFonts w:eastAsia="Times New Roman" w:cs="Times New Roman"/>
          <w:szCs w:val="28"/>
        </w:rPr>
        <w:t>19136.</w:t>
      </w:r>
    </w:p>
    <w:p w14:paraId="50B10CB7"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 xml:space="preserve">20 Fontes F. L., Delke V., Schiele H., </w:t>
      </w:r>
      <w:proofErr w:type="spellStart"/>
      <w:r w:rsidRPr="00F077B9">
        <w:rPr>
          <w:rFonts w:eastAsia="Times New Roman" w:cs="Times New Roman"/>
          <w:szCs w:val="28"/>
        </w:rPr>
        <w:t>Rotmensen</w:t>
      </w:r>
      <w:proofErr w:type="spellEnd"/>
      <w:r w:rsidRPr="00F077B9">
        <w:rPr>
          <w:rFonts w:eastAsia="Times New Roman" w:cs="Times New Roman"/>
          <w:szCs w:val="28"/>
        </w:rPr>
        <w:t xml:space="preserve"> J., Grobman F., </w:t>
      </w:r>
      <w:proofErr w:type="spellStart"/>
      <w:r w:rsidRPr="00F077B9">
        <w:rPr>
          <w:rFonts w:eastAsia="Times New Roman" w:cs="Times New Roman"/>
          <w:szCs w:val="28"/>
        </w:rPr>
        <w:t>Fouto</w:t>
      </w:r>
      <w:proofErr w:type="spellEnd"/>
      <w:r w:rsidRPr="00F077B9">
        <w:rPr>
          <w:rFonts w:eastAsia="Times New Roman" w:cs="Times New Roman"/>
          <w:szCs w:val="28"/>
        </w:rPr>
        <w:t xml:space="preserve"> N. M. M. D. Purchasing category management: Portfolio management, sourcing levers and strategy formulation // Journal of Purchasing &amp; Supply Management. – 2025. – DOI: 10.1016/j.pursup.2025.101086.</w:t>
      </w:r>
    </w:p>
    <w:p w14:paraId="3341BB6C" w14:textId="77777777" w:rsidR="00121129" w:rsidRDefault="00E03C62">
      <w:pPr>
        <w:widowControl w:val="0"/>
        <w:spacing w:after="0" w:line="360" w:lineRule="auto"/>
        <w:ind w:firstLine="709"/>
        <w:contextualSpacing/>
        <w:jc w:val="both"/>
        <w:rPr>
          <w:rFonts w:eastAsia="Times New Roman" w:cs="Times New Roman"/>
          <w:szCs w:val="28"/>
        </w:rPr>
      </w:pPr>
      <w:r w:rsidRPr="00F077B9">
        <w:rPr>
          <w:rFonts w:eastAsia="Times New Roman" w:cs="Times New Roman"/>
          <w:szCs w:val="28"/>
        </w:rPr>
        <w:t xml:space="preserve">21 Padovano A., Sammarco C., </w:t>
      </w:r>
      <w:proofErr w:type="spellStart"/>
      <w:r w:rsidRPr="00F077B9">
        <w:rPr>
          <w:rFonts w:eastAsia="Times New Roman" w:cs="Times New Roman"/>
          <w:szCs w:val="28"/>
        </w:rPr>
        <w:t>Balakera</w:t>
      </w:r>
      <w:proofErr w:type="spellEnd"/>
      <w:r w:rsidRPr="00F077B9">
        <w:rPr>
          <w:rFonts w:eastAsia="Times New Roman" w:cs="Times New Roman"/>
          <w:szCs w:val="28"/>
        </w:rPr>
        <w:t xml:space="preserve"> N., Konstantinidis F. Towards sustainable cognitive digital twins: A portfolio management tool for waste mitigation // Computers &amp; Industrial Engineering. – 2024. – Vol. 198. – Art. 110715. – DOI: 10.1016/j.cie.2024.110715.</w:t>
      </w:r>
    </w:p>
    <w:p w14:paraId="7BBFEA22" w14:textId="77777777" w:rsidR="00121129" w:rsidRPr="00AB4C8A" w:rsidRDefault="00E03C62">
      <w:pPr>
        <w:widowControl w:val="0"/>
        <w:spacing w:after="0" w:line="360" w:lineRule="auto"/>
        <w:ind w:firstLine="709"/>
        <w:contextualSpacing/>
        <w:jc w:val="both"/>
        <w:rPr>
          <w:rFonts w:eastAsia="Times New Roman" w:cs="Times New Roman"/>
          <w:szCs w:val="28"/>
          <w:lang w:val="ru-RU"/>
        </w:rPr>
      </w:pPr>
      <w:r>
        <w:rPr>
          <w:rFonts w:eastAsia="Times New Roman" w:cs="Times New Roman"/>
          <w:szCs w:val="28"/>
          <w:lang w:val="ru-RU"/>
        </w:rPr>
        <w:t>22 Адамян Г. А. Оптимизация инвестиционного портфеля с применением компьютерного зрения // Управление финансовыми рисками. – 2021. – № 2. – С. 154–164. – DOI: 10.36627/2221-7541-2021-2-2-154-164.</w:t>
      </w:r>
    </w:p>
    <w:p w14:paraId="0C861AA2" w14:textId="77777777" w:rsidR="00121129" w:rsidRPr="00AB4C8A" w:rsidRDefault="00E03C62">
      <w:pPr>
        <w:widowControl w:val="0"/>
        <w:spacing w:after="0" w:line="360" w:lineRule="auto"/>
        <w:ind w:firstLine="709"/>
        <w:contextualSpacing/>
        <w:jc w:val="both"/>
        <w:rPr>
          <w:rFonts w:eastAsia="Times New Roman" w:cs="Times New Roman"/>
          <w:szCs w:val="28"/>
          <w:lang w:val="ru-RU"/>
        </w:rPr>
      </w:pPr>
      <w:r>
        <w:rPr>
          <w:rFonts w:eastAsia="Times New Roman" w:cs="Times New Roman"/>
          <w:szCs w:val="28"/>
          <w:lang w:val="ru-RU"/>
        </w:rPr>
        <w:t xml:space="preserve">23 </w:t>
      </w:r>
      <w:proofErr w:type="spellStart"/>
      <w:r>
        <w:rPr>
          <w:rFonts w:eastAsia="Times New Roman" w:cs="Times New Roman"/>
          <w:szCs w:val="28"/>
          <w:lang w:val="ru-RU"/>
        </w:rPr>
        <w:t>Яконовская</w:t>
      </w:r>
      <w:proofErr w:type="spellEnd"/>
      <w:r>
        <w:rPr>
          <w:rFonts w:eastAsia="Times New Roman" w:cs="Times New Roman"/>
          <w:szCs w:val="28"/>
          <w:lang w:val="ru-RU"/>
        </w:rPr>
        <w:t xml:space="preserve"> Т. Б. Инвестиционный портфель в 2024 году: стратегии и риски // Вестник Тверского государственного технического университета. Серия «Науки об обществе и гуманитарные науки». – 2025. – № 1 (40). – С. 77–82. – DOI: 10.46573/2409-1391-2025-1-77-82.</w:t>
      </w:r>
    </w:p>
    <w:p w14:paraId="0FB86B22" w14:textId="77777777" w:rsidR="00121129" w:rsidRPr="00F077B9" w:rsidRDefault="00121129">
      <w:pPr>
        <w:rPr>
          <w:lang w:val="ru-RU"/>
        </w:rPr>
        <w:sectPr w:rsidR="00121129" w:rsidRPr="00F077B9" w:rsidSect="009B1F73">
          <w:type w:val="continuous"/>
          <w:pgSz w:w="11906" w:h="16838"/>
          <w:pgMar w:top="1134" w:right="567" w:bottom="1134" w:left="1701" w:header="709" w:footer="709" w:gutter="0"/>
          <w:pgNumType w:start="2"/>
          <w:cols w:space="708"/>
          <w:titlePg/>
          <w:docGrid w:linePitch="381"/>
        </w:sectPr>
      </w:pPr>
    </w:p>
    <w:p w14:paraId="30F2A642" w14:textId="77777777" w:rsidR="00121129" w:rsidRPr="00B23776" w:rsidRDefault="00E03C62">
      <w:pPr>
        <w:suppressAutoHyphens/>
        <w:spacing w:before="280" w:after="160"/>
        <w:rPr>
          <w:lang w:val="ru-RU"/>
        </w:rPr>
      </w:pPr>
      <w:bookmarkStart w:id="18" w:name="_sto_toc_18"/>
      <w:r w:rsidRPr="00B23776">
        <w:rPr>
          <w:b/>
          <w:color w:val="000000"/>
          <w:sz w:val="32"/>
          <w:lang w:val="ru-RU"/>
        </w:rPr>
        <w:lastRenderedPageBreak/>
        <w:t>Приложение А. Публикация по результатам исследования</w:t>
      </w:r>
      <w:bookmarkEnd w:id="18"/>
    </w:p>
    <w:p w14:paraId="67E10093" w14:textId="77777777" w:rsidR="00121129" w:rsidRPr="00B23776" w:rsidRDefault="00E03C62">
      <w:pPr>
        <w:suppressAutoHyphens/>
        <w:spacing w:after="80" w:line="360" w:lineRule="auto"/>
        <w:rPr>
          <w:lang w:val="ru-RU"/>
        </w:rPr>
      </w:pPr>
      <w:r w:rsidRPr="00B23776">
        <w:rPr>
          <w:color w:val="000000"/>
          <w:sz w:val="24"/>
          <w:lang w:val="ru-RU"/>
        </w:rPr>
        <w:t>УДК 336.76</w:t>
      </w:r>
    </w:p>
    <w:p w14:paraId="3DDFF5FF" w14:textId="77777777" w:rsidR="00121129" w:rsidRPr="00B23776" w:rsidRDefault="00E03C62">
      <w:pPr>
        <w:suppressAutoHyphens/>
        <w:spacing w:after="80" w:line="360" w:lineRule="auto"/>
        <w:rPr>
          <w:lang w:val="ru-RU"/>
        </w:rPr>
      </w:pPr>
      <w:r w:rsidRPr="00B23776">
        <w:rPr>
          <w:color w:val="000000"/>
          <w:sz w:val="24"/>
          <w:lang w:val="ru-RU"/>
        </w:rPr>
        <w:t xml:space="preserve">Просалов Игорь Константинович, магистр кафедры экономики и управления, ФГБОУ ВО «Владивостокский государственный университет», </w:t>
      </w:r>
      <w:r>
        <w:rPr>
          <w:color w:val="000000"/>
          <w:sz w:val="24"/>
        </w:rPr>
        <w:t>e</w:t>
      </w:r>
      <w:r w:rsidRPr="00B23776">
        <w:rPr>
          <w:color w:val="000000"/>
          <w:sz w:val="24"/>
          <w:lang w:val="ru-RU"/>
        </w:rPr>
        <w:t>-</w:t>
      </w:r>
      <w:r>
        <w:rPr>
          <w:color w:val="000000"/>
          <w:sz w:val="24"/>
        </w:rPr>
        <w:t>mail</w:t>
      </w:r>
      <w:r w:rsidRPr="00B23776">
        <w:rPr>
          <w:color w:val="000000"/>
          <w:sz w:val="24"/>
          <w:lang w:val="ru-RU"/>
        </w:rPr>
        <w:t xml:space="preserve">: </w:t>
      </w:r>
      <w:proofErr w:type="spellStart"/>
      <w:r>
        <w:rPr>
          <w:color w:val="000000"/>
          <w:sz w:val="24"/>
        </w:rPr>
        <w:t>mr</w:t>
      </w:r>
      <w:proofErr w:type="spellEnd"/>
      <w:r w:rsidRPr="00B23776">
        <w:rPr>
          <w:color w:val="000000"/>
          <w:sz w:val="24"/>
          <w:lang w:val="ru-RU"/>
        </w:rPr>
        <w:t>.</w:t>
      </w:r>
      <w:proofErr w:type="spellStart"/>
      <w:r>
        <w:rPr>
          <w:color w:val="000000"/>
          <w:sz w:val="24"/>
        </w:rPr>
        <w:t>prosalov</w:t>
      </w:r>
      <w:proofErr w:type="spellEnd"/>
      <w:r w:rsidRPr="00B23776">
        <w:rPr>
          <w:color w:val="000000"/>
          <w:sz w:val="24"/>
          <w:lang w:val="ru-RU"/>
        </w:rPr>
        <w:t>@</w:t>
      </w:r>
      <w:proofErr w:type="spellStart"/>
      <w:r>
        <w:rPr>
          <w:color w:val="000000"/>
          <w:sz w:val="24"/>
        </w:rPr>
        <w:t>gmail</w:t>
      </w:r>
      <w:proofErr w:type="spellEnd"/>
      <w:r w:rsidRPr="00B23776">
        <w:rPr>
          <w:color w:val="000000"/>
          <w:sz w:val="24"/>
          <w:lang w:val="ru-RU"/>
        </w:rPr>
        <w:t>.</w:t>
      </w:r>
      <w:r>
        <w:rPr>
          <w:color w:val="000000"/>
          <w:sz w:val="24"/>
        </w:rPr>
        <w:t>com</w:t>
      </w:r>
      <w:r w:rsidRPr="00B23776">
        <w:rPr>
          <w:color w:val="000000"/>
          <w:sz w:val="24"/>
          <w:lang w:val="ru-RU"/>
        </w:rPr>
        <w:t>, Россия, Владивосток.</w:t>
      </w:r>
    </w:p>
    <w:p w14:paraId="53ED155F" w14:textId="77777777" w:rsidR="00121129" w:rsidRDefault="00E03C62">
      <w:pPr>
        <w:suppressAutoHyphens/>
        <w:spacing w:after="160" w:line="360" w:lineRule="auto"/>
      </w:pPr>
      <w:proofErr w:type="spellStart"/>
      <w:r>
        <w:rPr>
          <w:color w:val="000000"/>
          <w:sz w:val="24"/>
        </w:rPr>
        <w:t>Prosalov</w:t>
      </w:r>
      <w:proofErr w:type="spellEnd"/>
      <w:r>
        <w:rPr>
          <w:color w:val="000000"/>
          <w:sz w:val="24"/>
        </w:rPr>
        <w:t xml:space="preserve"> Igor Konstantinovich, Masters student of the Department of Economics and Management, Vladivostok State University, e-mail: mr.prosalov@gmail.com, Russia, Vladivostok.</w:t>
      </w:r>
    </w:p>
    <w:p w14:paraId="4959C044" w14:textId="77777777" w:rsidR="00121129" w:rsidRPr="00B23776" w:rsidRDefault="00E03C62">
      <w:pPr>
        <w:suppressAutoHyphens/>
        <w:spacing w:after="120"/>
        <w:jc w:val="center"/>
        <w:rPr>
          <w:lang w:val="ru-RU"/>
        </w:rPr>
      </w:pPr>
      <w:r w:rsidRPr="00B23776">
        <w:rPr>
          <w:b/>
          <w:color w:val="000000"/>
          <w:sz w:val="32"/>
          <w:lang w:val="ru-RU"/>
        </w:rPr>
        <w:t>Российские цифровые платформы для формирования инвестиционного портфеля</w:t>
      </w:r>
    </w:p>
    <w:p w14:paraId="1331D9FB" w14:textId="77777777" w:rsidR="00121129" w:rsidRDefault="00E03C62">
      <w:pPr>
        <w:suppressAutoHyphens/>
        <w:spacing w:after="160"/>
        <w:jc w:val="center"/>
      </w:pPr>
      <w:r>
        <w:rPr>
          <w:i/>
          <w:color w:val="000000"/>
          <w:sz w:val="26"/>
        </w:rPr>
        <w:t>Russian digital platforms for investment portfolio formation</w:t>
      </w:r>
    </w:p>
    <w:p w14:paraId="7A842D86" w14:textId="77777777" w:rsidR="00121129" w:rsidRPr="00B23776" w:rsidRDefault="00E03C62">
      <w:pPr>
        <w:suppressAutoHyphens/>
        <w:spacing w:after="120" w:line="360" w:lineRule="auto"/>
        <w:jc w:val="both"/>
        <w:rPr>
          <w:lang w:val="ru-RU"/>
        </w:rPr>
      </w:pPr>
      <w:r w:rsidRPr="00B23776">
        <w:rPr>
          <w:color w:val="000000"/>
          <w:lang w:val="ru-RU"/>
        </w:rPr>
        <w:t>Аннотация: В статье проводится комплексный анализ российских цифровых инвестиционных платформ, которые формируются в условиях ограниченного доступа к зарубежной инфраструктуре и ускоренного развития внутренних технологий. Исследование акцентирует внимание на трансформации функциональной архитектуры таких платформ, включая модули алгоритмической аналитики, риск-профилирования, автоматизированного подбора активов и механизмов ребалансировки портфеля. Рассматриваются принципы работы аналитических сервисов, интеграция элементов машинного обучения и сценарного моделирования, а также изменение роли пользовательского интерфейса в управлении инвестиционным поведением. Показано, что цифровые платформы переходят от модели торгового инструмента к модели инвестиционного ассистента, обеспечивающего поддержку принятия решений и управление индивидуальным рисковым профилем. Представленные результаты позволяют оценить тенденции развития цифровой инвестиционной инфраструктуры и её влияние на расширение доступности финансовых инструментов для частных инвесторов.</w:t>
      </w:r>
    </w:p>
    <w:p w14:paraId="3BD3687D" w14:textId="77777777" w:rsidR="00121129" w:rsidRPr="00B23776" w:rsidRDefault="00E03C62">
      <w:pPr>
        <w:suppressAutoHyphens/>
        <w:spacing w:after="120" w:line="360" w:lineRule="auto"/>
        <w:jc w:val="both"/>
        <w:rPr>
          <w:lang w:val="ru-RU"/>
        </w:rPr>
      </w:pPr>
      <w:r w:rsidRPr="00B23776">
        <w:rPr>
          <w:color w:val="000000"/>
          <w:lang w:val="ru-RU"/>
        </w:rPr>
        <w:lastRenderedPageBreak/>
        <w:t>Ключевые слова: цифровые инвестиционные платформы; формирование инвестиционного портфеля; алгоритмическая аналитика; риск-профилирование; автоматизация принятия инвестиционных решений; цифровые финансовые активы.</w:t>
      </w:r>
    </w:p>
    <w:p w14:paraId="385C5229" w14:textId="77777777" w:rsidR="00121129" w:rsidRDefault="00E03C62">
      <w:pPr>
        <w:suppressAutoHyphens/>
        <w:spacing w:after="120" w:line="360" w:lineRule="auto"/>
        <w:jc w:val="both"/>
      </w:pPr>
      <w:r>
        <w:rPr>
          <w:color w:val="000000"/>
          <w:sz w:val="24"/>
        </w:rPr>
        <w:t>Annotation: The article provides a comprehensive analysis of Russian digital investment platforms, which are formed in conditions of limited access to foreign infrastructure and accelerated development of domestic technologies. The study focuses on the transformation of the functional architecture of such platforms, including modules for algorithmic analytics, risk profiling, automated asset selection and portfolio rebalancing mechanisms. The principles of operation of analytical services, the integration of machine learning and scenario modeling elements, as well as the changing role of the user interface in managing investment behavior are considered. It is shown that digital platforms are moving from a trading instrument model to an investment assistant model that provides decision support and management of an individual risk profile. The presented results allow us to assess the trends in the development of digital investment infrastructure and its impact on increasing the availability of financial instruments for private investors.</w:t>
      </w:r>
    </w:p>
    <w:p w14:paraId="48C8C510" w14:textId="77777777" w:rsidR="00121129" w:rsidRDefault="00E03C62">
      <w:pPr>
        <w:suppressAutoHyphens/>
        <w:spacing w:after="120" w:line="360" w:lineRule="auto"/>
        <w:jc w:val="both"/>
      </w:pPr>
      <w:r>
        <w:rPr>
          <w:color w:val="000000"/>
          <w:sz w:val="24"/>
        </w:rPr>
        <w:t>Keywords: digital investment platforms; investment portfolio formation; algorithmic analytics; risk profiling; automation of investment decision-making; digital financial assets.</w:t>
      </w:r>
    </w:p>
    <w:p w14:paraId="593CCC4E" w14:textId="77777777" w:rsidR="00121129" w:rsidRPr="00B23776" w:rsidRDefault="00E03C62">
      <w:pPr>
        <w:suppressAutoHyphens/>
        <w:spacing w:before="200" w:after="120"/>
        <w:rPr>
          <w:lang w:val="ru-RU"/>
        </w:rPr>
      </w:pPr>
      <w:r w:rsidRPr="00B23776">
        <w:rPr>
          <w:b/>
          <w:color w:val="000000"/>
          <w:lang w:val="ru-RU"/>
        </w:rPr>
        <w:t>Основной текст</w:t>
      </w:r>
    </w:p>
    <w:p w14:paraId="0C76AFD8" w14:textId="77777777" w:rsidR="00121129" w:rsidRPr="00B23776" w:rsidRDefault="00E03C62">
      <w:pPr>
        <w:suppressAutoHyphens/>
        <w:spacing w:after="120" w:line="360" w:lineRule="auto"/>
        <w:ind w:firstLine="709"/>
        <w:jc w:val="both"/>
        <w:rPr>
          <w:lang w:val="ru-RU"/>
        </w:rPr>
      </w:pPr>
      <w:r w:rsidRPr="00B23776">
        <w:rPr>
          <w:color w:val="000000"/>
          <w:lang w:val="ru-RU"/>
        </w:rPr>
        <w:t>Российский рынок цифровых инвестиционных платформ за последние годы прошёл ускоренную трансформацию и фактически сформировал самостоятельную экосистему, способную заменить зарубежные брокерские сервисы [1; 2]. Основным фактором стали санкционные ограничения и сокращение доступа к международной инфраструктуре. В этих условиях платформы перестали выполнять роль стандартного торгового интерфейса и превратились в инструмент поддержки инвестиционных решений [3].</w:t>
      </w:r>
    </w:p>
    <w:p w14:paraId="4044AD56" w14:textId="77777777" w:rsidR="00121129" w:rsidRPr="00B23776" w:rsidRDefault="00E03C62">
      <w:pPr>
        <w:suppressAutoHyphens/>
        <w:spacing w:after="120" w:line="360" w:lineRule="auto"/>
        <w:ind w:firstLine="709"/>
        <w:jc w:val="both"/>
        <w:rPr>
          <w:lang w:val="ru-RU"/>
        </w:rPr>
      </w:pPr>
      <w:r w:rsidRPr="00B23776">
        <w:rPr>
          <w:color w:val="000000"/>
          <w:lang w:val="ru-RU"/>
        </w:rPr>
        <w:t>Ключевые позиции занимают экосистемы крупных банков и финтех-компаний: «Т-Инвестиции», «</w:t>
      </w:r>
      <w:proofErr w:type="spellStart"/>
      <w:r w:rsidRPr="00B23776">
        <w:rPr>
          <w:color w:val="000000"/>
          <w:lang w:val="ru-RU"/>
        </w:rPr>
        <w:t>СберИнвестиции</w:t>
      </w:r>
      <w:proofErr w:type="spellEnd"/>
      <w:r w:rsidRPr="00B23776">
        <w:rPr>
          <w:color w:val="000000"/>
          <w:lang w:val="ru-RU"/>
        </w:rPr>
        <w:t xml:space="preserve">», «ВТБ Мои Инвестиции», «Альфа-Инвестиции». Их работа строится на сочетании брокерского обслуживания, элементов </w:t>
      </w:r>
      <w:proofErr w:type="spellStart"/>
      <w:r w:rsidRPr="00B23776">
        <w:rPr>
          <w:color w:val="000000"/>
          <w:lang w:val="ru-RU"/>
        </w:rPr>
        <w:t>робо-эдвайзинга</w:t>
      </w:r>
      <w:proofErr w:type="spellEnd"/>
      <w:r w:rsidRPr="00B23776">
        <w:rPr>
          <w:color w:val="000000"/>
          <w:lang w:val="ru-RU"/>
        </w:rPr>
        <w:t xml:space="preserve">, аналитики и автоматизированных </w:t>
      </w:r>
      <w:r w:rsidRPr="00B23776">
        <w:rPr>
          <w:color w:val="000000"/>
          <w:lang w:val="ru-RU"/>
        </w:rPr>
        <w:lastRenderedPageBreak/>
        <w:t>модулей формирования и контроля портфеля. Для пользователя это означает доступ к единой среде, в которой совмещены операции и поддержка при выборе стратегии. Подобная модель согласуется с тенденциями цифровой зрелости и организационных изменений, описанными в научных исследованиях [2; 4].</w:t>
      </w:r>
    </w:p>
    <w:p w14:paraId="25BA9B1A" w14:textId="5BF62F45" w:rsidR="00121129" w:rsidRPr="00B23776" w:rsidRDefault="00E03C62">
      <w:pPr>
        <w:suppressAutoHyphens/>
        <w:spacing w:after="120" w:line="360" w:lineRule="auto"/>
        <w:ind w:firstLine="709"/>
        <w:jc w:val="both"/>
        <w:rPr>
          <w:lang w:val="ru-RU"/>
        </w:rPr>
      </w:pPr>
      <w:r w:rsidRPr="00B23776">
        <w:rPr>
          <w:color w:val="000000"/>
          <w:lang w:val="ru-RU"/>
        </w:rPr>
        <w:t xml:space="preserve">Существенное отличие современных российских платформ </w:t>
      </w:r>
      <w:r w:rsidR="009B1F73">
        <w:rPr>
          <w:color w:val="000000"/>
          <w:lang w:val="ru-RU"/>
        </w:rPr>
        <w:t>–</w:t>
      </w:r>
      <w:r w:rsidRPr="00B23776">
        <w:rPr>
          <w:color w:val="000000"/>
          <w:lang w:val="ru-RU"/>
        </w:rPr>
        <w:t xml:space="preserve"> усиленный аналитический блок, который предоставляется бесплатно. Пользователям доступны </w:t>
      </w:r>
      <w:proofErr w:type="spellStart"/>
      <w:r w:rsidRPr="00B23776">
        <w:rPr>
          <w:color w:val="000000"/>
          <w:lang w:val="ru-RU"/>
        </w:rPr>
        <w:t>скринеры</w:t>
      </w:r>
      <w:proofErr w:type="spellEnd"/>
      <w:r w:rsidRPr="00B23776">
        <w:rPr>
          <w:color w:val="000000"/>
          <w:lang w:val="ru-RU"/>
        </w:rPr>
        <w:t>, персональные рекомендации, профилирование рисков, ребалансировка и прогнозные данные. Ранее такие инструменты были доступны преимущественно профессиональным инвесторам, тогда как сегодня они встроены в массовые потребительские сервисы [3].</w:t>
      </w:r>
    </w:p>
    <w:p w14:paraId="02DD0CA4" w14:textId="77777777" w:rsidR="00121129" w:rsidRPr="00B23776" w:rsidRDefault="00E03C62">
      <w:pPr>
        <w:suppressAutoHyphens/>
        <w:spacing w:after="120" w:line="360" w:lineRule="auto"/>
        <w:ind w:firstLine="709"/>
        <w:jc w:val="both"/>
        <w:rPr>
          <w:lang w:val="ru-RU"/>
        </w:rPr>
      </w:pPr>
      <w:r w:rsidRPr="00B23776">
        <w:rPr>
          <w:color w:val="000000"/>
          <w:lang w:val="ru-RU"/>
        </w:rPr>
        <w:t xml:space="preserve">Рост качества аналитики обеспечен внедрением алгоритмов машинного обучения и </w:t>
      </w:r>
      <w:r>
        <w:rPr>
          <w:color w:val="000000"/>
        </w:rPr>
        <w:t>recommendation</w:t>
      </w:r>
      <w:r w:rsidRPr="00B23776">
        <w:rPr>
          <w:color w:val="000000"/>
          <w:lang w:val="ru-RU"/>
        </w:rPr>
        <w:t>-систем. Модели используют данные о поведении пользователей и макроэкономические показатели, оценивают волатильность, выявляют связи между активами и оптимизируют структуру портфеля под заданный уровень риска. Эти тенденции отражены и в отраслевых аналитических материалах брокерских компаний, которые активно внедряют подобные инструменты [5; 6; 7].</w:t>
      </w:r>
    </w:p>
    <w:p w14:paraId="753A9B09" w14:textId="77777777" w:rsidR="00121129" w:rsidRPr="00B23776" w:rsidRDefault="00E03C62">
      <w:pPr>
        <w:suppressAutoHyphens/>
        <w:spacing w:after="120" w:line="360" w:lineRule="auto"/>
        <w:ind w:firstLine="709"/>
        <w:jc w:val="both"/>
        <w:rPr>
          <w:lang w:val="ru-RU"/>
        </w:rPr>
      </w:pPr>
      <w:r w:rsidRPr="00B23776">
        <w:rPr>
          <w:color w:val="000000"/>
          <w:lang w:val="ru-RU"/>
        </w:rPr>
        <w:t>На фоне развития аналитики изменился и подход к пользовательскому интерфейсу. Платформы упрощают базовые операции и уделяют внимание инструментам долгосрочного планирования: целям, срокам инвестирования и оценке исполнения стратегии. Приложение становится системой сопровождения поведения инвестора, а не только средством проведения сделок [8].</w:t>
      </w:r>
    </w:p>
    <w:p w14:paraId="645A8F99" w14:textId="77777777" w:rsidR="00121129" w:rsidRPr="00B23776" w:rsidRDefault="00E03C62">
      <w:pPr>
        <w:suppressAutoHyphens/>
        <w:spacing w:after="120" w:line="360" w:lineRule="auto"/>
        <w:ind w:firstLine="709"/>
        <w:jc w:val="both"/>
        <w:rPr>
          <w:lang w:val="ru-RU"/>
        </w:rPr>
      </w:pPr>
      <w:r w:rsidRPr="00B23776">
        <w:rPr>
          <w:color w:val="000000"/>
          <w:lang w:val="ru-RU"/>
        </w:rPr>
        <w:t xml:space="preserve">Санкционное давление сократило набор доступных инструментов. В структуре частных портфелей доля иностранных акций, </w:t>
      </w:r>
      <w:r>
        <w:rPr>
          <w:color w:val="000000"/>
        </w:rPr>
        <w:t>ETF</w:t>
      </w:r>
      <w:r w:rsidRPr="00B23776">
        <w:rPr>
          <w:color w:val="000000"/>
          <w:lang w:val="ru-RU"/>
        </w:rPr>
        <w:t xml:space="preserve"> и депозитарных расписок существенно снизилась. Основной перечень включает российские акции, облигации, </w:t>
      </w:r>
      <w:proofErr w:type="spellStart"/>
      <w:r w:rsidRPr="00B23776">
        <w:rPr>
          <w:color w:val="000000"/>
          <w:lang w:val="ru-RU"/>
        </w:rPr>
        <w:t>БПИФы</w:t>
      </w:r>
      <w:proofErr w:type="spellEnd"/>
      <w:r w:rsidRPr="00B23776">
        <w:rPr>
          <w:color w:val="000000"/>
          <w:lang w:val="ru-RU"/>
        </w:rPr>
        <w:t xml:space="preserve"> и цифровые финансовые активы. В настоящее время платформы расширяют линейку внутренних фондов, развивают </w:t>
      </w:r>
      <w:r w:rsidRPr="00B23776">
        <w:rPr>
          <w:color w:val="000000"/>
          <w:lang w:val="ru-RU"/>
        </w:rPr>
        <w:lastRenderedPageBreak/>
        <w:t xml:space="preserve">инфраструктурные облигации и осваивают работу с </w:t>
      </w:r>
      <w:proofErr w:type="spellStart"/>
      <w:r w:rsidRPr="00B23776">
        <w:rPr>
          <w:color w:val="000000"/>
          <w:lang w:val="ru-RU"/>
        </w:rPr>
        <w:t>токенизированными</w:t>
      </w:r>
      <w:proofErr w:type="spellEnd"/>
      <w:r w:rsidRPr="00B23776">
        <w:rPr>
          <w:color w:val="000000"/>
          <w:lang w:val="ru-RU"/>
        </w:rPr>
        <w:t xml:space="preserve"> активами в рамках требований законодательства о цифровых финансовых активах согласно Федеральному закону от 31 июля 2020 г. № 259-ФЗ «О цифровых финансовых активах, цифровой валюте и о внесении изменений в отдельные законодательные акты Российской Федерации» [5].</w:t>
      </w:r>
    </w:p>
    <w:p w14:paraId="0143BD92" w14:textId="69F64A3C" w:rsidR="00121129" w:rsidRPr="00B23776" w:rsidRDefault="00E03C62">
      <w:pPr>
        <w:suppressAutoHyphens/>
        <w:spacing w:after="120" w:line="360" w:lineRule="auto"/>
        <w:ind w:firstLine="709"/>
        <w:jc w:val="both"/>
        <w:rPr>
          <w:lang w:val="ru-RU"/>
        </w:rPr>
      </w:pPr>
      <w:r w:rsidRPr="00B23776">
        <w:rPr>
          <w:color w:val="000000"/>
          <w:lang w:val="ru-RU"/>
        </w:rPr>
        <w:t xml:space="preserve">Отдельное направление </w:t>
      </w:r>
      <w:r w:rsidR="009B1F73">
        <w:rPr>
          <w:color w:val="000000"/>
          <w:lang w:val="ru-RU"/>
        </w:rPr>
        <w:t>–</w:t>
      </w:r>
      <w:r w:rsidRPr="00B23776">
        <w:rPr>
          <w:color w:val="000000"/>
          <w:lang w:val="ru-RU"/>
        </w:rPr>
        <w:t xml:space="preserve"> развитие маркетплейсов ЦФА и специализированных кастодиальных решений. Они расширяют круг инструментов, доступных частным инвесторам в цифровом формате. Регулятор формирует требования к обращению и учёту таких активов, что повышает правовую определённость и снижает риски [5].</w:t>
      </w:r>
    </w:p>
    <w:p w14:paraId="1ECC4D7A" w14:textId="77777777" w:rsidR="00121129" w:rsidRPr="00B23776" w:rsidRDefault="00E03C62">
      <w:pPr>
        <w:suppressAutoHyphens/>
        <w:spacing w:after="120" w:line="360" w:lineRule="auto"/>
        <w:ind w:firstLine="709"/>
        <w:jc w:val="both"/>
        <w:rPr>
          <w:lang w:val="ru-RU"/>
        </w:rPr>
      </w:pPr>
      <w:r w:rsidRPr="00B23776">
        <w:rPr>
          <w:color w:val="000000"/>
          <w:lang w:val="ru-RU"/>
        </w:rPr>
        <w:t xml:space="preserve">Значимое внимание уделяется </w:t>
      </w:r>
      <w:proofErr w:type="spellStart"/>
      <w:r w:rsidRPr="00B23776">
        <w:rPr>
          <w:color w:val="000000"/>
          <w:lang w:val="ru-RU"/>
        </w:rPr>
        <w:t>киберустойчивости</w:t>
      </w:r>
      <w:proofErr w:type="spellEnd"/>
      <w:r w:rsidRPr="00B23776">
        <w:rPr>
          <w:color w:val="000000"/>
          <w:lang w:val="ru-RU"/>
        </w:rPr>
        <w:t>. Рост нагрузки требует повышения уровня защиты данных и бесперебойности сервисов. Платформы внедряют многофакторную аутентификацию, распределённую инфраструктуру хранения, системы мониторинга и восстановления. Подобные организационные и технологические меры соотносятся с направлениями цифровых трансформаций, выделенными в научных работах [4].</w:t>
      </w:r>
    </w:p>
    <w:p w14:paraId="1EC50715" w14:textId="77777777" w:rsidR="00121129" w:rsidRPr="00B23776" w:rsidRDefault="00E03C62">
      <w:pPr>
        <w:suppressAutoHyphens/>
        <w:spacing w:after="120" w:line="360" w:lineRule="auto"/>
        <w:ind w:firstLine="709"/>
        <w:jc w:val="both"/>
        <w:rPr>
          <w:lang w:val="ru-RU"/>
        </w:rPr>
      </w:pPr>
      <w:r w:rsidRPr="00B23776">
        <w:rPr>
          <w:color w:val="000000"/>
          <w:lang w:val="ru-RU"/>
        </w:rPr>
        <w:t>Современные платформы объединяют в одном приложении аналитику, инструменты построения портфеля, механизм управления рисками, образовательные материалы и блок финансового планирования. Это снижает барьер входа и способствует переходу от интуитивных решений к стратегиям, основанным на оценке риска и доходности [1].</w:t>
      </w:r>
    </w:p>
    <w:p w14:paraId="07AD73BB" w14:textId="77777777" w:rsidR="00121129" w:rsidRPr="00B23776" w:rsidRDefault="00E03C62">
      <w:pPr>
        <w:suppressAutoHyphens/>
        <w:spacing w:after="120" w:line="360" w:lineRule="auto"/>
        <w:ind w:firstLine="709"/>
        <w:jc w:val="both"/>
        <w:rPr>
          <w:lang w:val="ru-RU"/>
        </w:rPr>
      </w:pPr>
      <w:r w:rsidRPr="00B23776">
        <w:rPr>
          <w:color w:val="000000"/>
          <w:lang w:val="ru-RU"/>
        </w:rPr>
        <w:t>Рынок движется к модели инвестиционного ассистента. Основная ценность смещается от совершения сделки к контексту принятия решения. Инвестор получает прогноз, риск-оценку, распределение по активам и оценку возможной волатильности портфеля. Стресс-тесты, сценарное моделирование и анализ чувствительности постепенно становятся стандартной функцией, что подтверждается аналитическими обзорами брокерских сервисов [6; 8].</w:t>
      </w:r>
    </w:p>
    <w:p w14:paraId="243D8685" w14:textId="71366363" w:rsidR="00121129" w:rsidRPr="00B23776" w:rsidRDefault="00E03C62">
      <w:pPr>
        <w:suppressAutoHyphens/>
        <w:spacing w:after="120" w:line="360" w:lineRule="auto"/>
        <w:ind w:firstLine="709"/>
        <w:jc w:val="both"/>
        <w:rPr>
          <w:lang w:val="ru-RU"/>
        </w:rPr>
      </w:pPr>
      <w:r w:rsidRPr="00B23776">
        <w:rPr>
          <w:color w:val="000000"/>
          <w:lang w:val="ru-RU"/>
        </w:rPr>
        <w:lastRenderedPageBreak/>
        <w:t xml:space="preserve">Развиваются модули поведенческого анализа. Платформы фиксируют модели действий инвесторов </w:t>
      </w:r>
      <w:r w:rsidR="009B1F73">
        <w:rPr>
          <w:color w:val="000000"/>
          <w:lang w:val="ru-RU"/>
        </w:rPr>
        <w:t>–</w:t>
      </w:r>
      <w:r w:rsidRPr="00B23776">
        <w:rPr>
          <w:color w:val="000000"/>
          <w:lang w:val="ru-RU"/>
        </w:rPr>
        <w:t xml:space="preserve"> склонность к импульсивным операциям, концентрации портфеля, завышению ожидаемой доходности. На основе этих данных формируются предупреждения и рекомендации, помогающие снизить влияние иррациональных решений на портфель [7].</w:t>
      </w:r>
    </w:p>
    <w:p w14:paraId="675E5346" w14:textId="7C0CAFD1" w:rsidR="00121129" w:rsidRPr="00B23776" w:rsidRDefault="00E03C62">
      <w:pPr>
        <w:suppressAutoHyphens/>
        <w:spacing w:after="120" w:line="360" w:lineRule="auto"/>
        <w:ind w:firstLine="709"/>
        <w:jc w:val="both"/>
        <w:rPr>
          <w:lang w:val="ru-RU"/>
        </w:rPr>
      </w:pPr>
      <w:r w:rsidRPr="00B23776">
        <w:rPr>
          <w:color w:val="000000"/>
          <w:lang w:val="ru-RU"/>
        </w:rPr>
        <w:t xml:space="preserve">Параллельно внедряются персонализированные механизмы риск-менеджмента. Риск-профиль пользователя обновляется с учётом динамики его финансового положения, структуры портфеля и внешней экономической ситуации. Это повышает точность оценки возможных отклонений и дисциплину управления капиталом. Отдельное направление </w:t>
      </w:r>
      <w:r w:rsidR="009B1F73">
        <w:rPr>
          <w:color w:val="000000"/>
          <w:lang w:val="ru-RU"/>
        </w:rPr>
        <w:t>–</w:t>
      </w:r>
      <w:r w:rsidRPr="00B23776">
        <w:rPr>
          <w:color w:val="000000"/>
          <w:lang w:val="ru-RU"/>
        </w:rPr>
        <w:t xml:space="preserve"> коллективная аналитика. Платформы формируют агрегированные показатели поведения схожих групп пользователей, которые могут служить ориентиром для оценки выбранной стратегии. Данные подаются обезличенно и используются для повышения прозрачности аналитического блока.</w:t>
      </w:r>
    </w:p>
    <w:p w14:paraId="28AD9A68" w14:textId="77777777" w:rsidR="00121129" w:rsidRPr="00B23776" w:rsidRDefault="00E03C62">
      <w:pPr>
        <w:suppressAutoHyphens/>
        <w:spacing w:after="120" w:line="360" w:lineRule="auto"/>
        <w:ind w:firstLine="709"/>
        <w:jc w:val="both"/>
        <w:rPr>
          <w:lang w:val="ru-RU"/>
        </w:rPr>
      </w:pPr>
      <w:r w:rsidRPr="00B23776">
        <w:rPr>
          <w:color w:val="000000"/>
          <w:lang w:val="ru-RU"/>
        </w:rPr>
        <w:t>Образовательные модули закрывают запрос на адаптированные материалы по российскому рынку и действующей нормативной базе. Курсы, симуляторы и модели рыночных ситуаций помогают пользователю понять принципы ценообразования и специфику рисков разных классов активов [1; 3]. Также развиваются инструменты автоматизации регуляторных процедур. Платформы обеспечивают проверку операций на соответствие законодательству, корректность раскрытия информации и соблюдение требований по отчётности [5].</w:t>
      </w:r>
    </w:p>
    <w:p w14:paraId="27094E37" w14:textId="77777777" w:rsidR="00121129" w:rsidRPr="00B23776" w:rsidRDefault="00E03C62">
      <w:pPr>
        <w:suppressAutoHyphens/>
        <w:spacing w:after="120" w:line="360" w:lineRule="auto"/>
        <w:ind w:firstLine="709"/>
        <w:jc w:val="both"/>
        <w:rPr>
          <w:lang w:val="ru-RU"/>
        </w:rPr>
      </w:pPr>
      <w:r w:rsidRPr="00B23776">
        <w:rPr>
          <w:color w:val="000000"/>
          <w:lang w:val="ru-RU"/>
        </w:rPr>
        <w:t xml:space="preserve">Конкуренция между экосистемами стимулирует расширение перечня услуг: брокерское обслуживание дополняется страховыми, кредитными и платёжными сервисами. Это формирует замкнутый финансовый контур, в котором инвестиции становятся частью единой модели взаимодействия с клиентом [8]. В перспективе ожидается интеграция с государственными </w:t>
      </w:r>
      <w:r w:rsidRPr="00B23776">
        <w:rPr>
          <w:color w:val="000000"/>
          <w:lang w:val="ru-RU"/>
        </w:rPr>
        <w:lastRenderedPageBreak/>
        <w:t>финансовыми системами, что позволит формировать единый финансовый профиль пользователя. На его основе платформа сможет точнее настраивать стратегию, учитывать налоговые обязательства и оптимизировать распределение капитала [2]. Завершает развитие тренд на стандартизацию данных: форматов отчётности, классификаций активов и методов идентификации рисков. Это необходимо для корректности расчётов, совместимости сервисов и построения более точных моделей прогнозирования [4].</w:t>
      </w:r>
    </w:p>
    <w:p w14:paraId="2B0A63EE" w14:textId="77777777" w:rsidR="00121129" w:rsidRPr="00E84C98" w:rsidRDefault="00E03C62">
      <w:pPr>
        <w:suppressAutoHyphens/>
        <w:spacing w:before="200" w:after="120"/>
        <w:rPr>
          <w:lang w:val="ru-RU"/>
        </w:rPr>
      </w:pPr>
      <w:r w:rsidRPr="00E84C98">
        <w:rPr>
          <w:b/>
          <w:color w:val="000000"/>
          <w:lang w:val="ru-RU"/>
        </w:rPr>
        <w:t>Библиографический список</w:t>
      </w:r>
    </w:p>
    <w:p w14:paraId="48A87408" w14:textId="77777777" w:rsidR="00121129" w:rsidRPr="00E84C98" w:rsidRDefault="00E03C62" w:rsidP="00E84C98">
      <w:pPr>
        <w:pStyle w:val="a"/>
        <w:numPr>
          <w:ilvl w:val="0"/>
          <w:numId w:val="10"/>
        </w:numPr>
        <w:suppressAutoHyphens/>
        <w:spacing w:after="80" w:line="288" w:lineRule="auto"/>
        <w:rPr>
          <w:lang w:val="ru-RU"/>
        </w:rPr>
      </w:pPr>
      <w:r w:rsidRPr="00E84C98">
        <w:rPr>
          <w:color w:val="000000"/>
          <w:sz w:val="24"/>
          <w:lang w:val="ru-RU"/>
        </w:rPr>
        <w:t xml:space="preserve">Масюк Н.Н., Бушуева М.А., Герасимова А.А. Управление знаниями в условиях цифровых трансформаций // Актуальные аспекты развития науки и общества в эпоху цифровой трансформации: сб. мат-лов </w:t>
      </w:r>
      <w:r w:rsidRPr="00E84C98">
        <w:rPr>
          <w:color w:val="000000"/>
          <w:sz w:val="24"/>
        </w:rPr>
        <w:t>VII</w:t>
      </w:r>
      <w:r w:rsidRPr="00E84C98">
        <w:rPr>
          <w:color w:val="000000"/>
          <w:sz w:val="24"/>
          <w:lang w:val="ru-RU"/>
        </w:rPr>
        <w:t xml:space="preserve"> </w:t>
      </w:r>
      <w:proofErr w:type="spellStart"/>
      <w:r w:rsidRPr="00E84C98">
        <w:rPr>
          <w:color w:val="000000"/>
          <w:sz w:val="24"/>
          <w:lang w:val="ru-RU"/>
        </w:rPr>
        <w:t>Междунар</w:t>
      </w:r>
      <w:proofErr w:type="spellEnd"/>
      <w:r w:rsidRPr="00E84C98">
        <w:rPr>
          <w:color w:val="000000"/>
          <w:sz w:val="24"/>
          <w:lang w:val="ru-RU"/>
        </w:rPr>
        <w:t xml:space="preserve">. науч.-практ. </w:t>
      </w:r>
      <w:proofErr w:type="spellStart"/>
      <w:r w:rsidRPr="00E84C98">
        <w:rPr>
          <w:color w:val="000000"/>
          <w:sz w:val="24"/>
          <w:lang w:val="ru-RU"/>
        </w:rPr>
        <w:t>конф</w:t>
      </w:r>
      <w:proofErr w:type="spellEnd"/>
      <w:r w:rsidRPr="00E84C98">
        <w:rPr>
          <w:color w:val="000000"/>
          <w:sz w:val="24"/>
          <w:lang w:val="ru-RU"/>
        </w:rPr>
        <w:t>. Москва, 2023. С. 133-136.</w:t>
      </w:r>
    </w:p>
    <w:p w14:paraId="01783731" w14:textId="77777777" w:rsidR="00121129" w:rsidRDefault="00E03C62">
      <w:pPr>
        <w:pStyle w:val="a"/>
        <w:suppressAutoHyphens/>
        <w:spacing w:after="80" w:line="288" w:lineRule="auto"/>
      </w:pPr>
      <w:r w:rsidRPr="00B23776">
        <w:rPr>
          <w:color w:val="000000"/>
          <w:sz w:val="24"/>
          <w:lang w:val="ru-RU"/>
        </w:rPr>
        <w:t xml:space="preserve">Голованова О. С., Масюк Н. Н. Задачи и функции организационных механизмов адаптивного управления человеческим капиталом в цифровых экосистемах организаций // Вестник Академии знаний. </w:t>
      </w:r>
      <w:r>
        <w:rPr>
          <w:color w:val="000000"/>
          <w:sz w:val="24"/>
        </w:rPr>
        <w:t>2024. № 2(61). С. 600-605. EDN SINIKZ.</w:t>
      </w:r>
    </w:p>
    <w:p w14:paraId="7BEA15EF" w14:textId="77777777" w:rsidR="00121129" w:rsidRDefault="00E03C62">
      <w:pPr>
        <w:pStyle w:val="a"/>
        <w:suppressAutoHyphens/>
        <w:spacing w:after="80" w:line="288" w:lineRule="auto"/>
      </w:pPr>
      <w:r w:rsidRPr="00B23776">
        <w:rPr>
          <w:color w:val="000000"/>
          <w:sz w:val="24"/>
          <w:lang w:val="ru-RU"/>
        </w:rPr>
        <w:t xml:space="preserve">Масюк Н.Н. Цифровые организационные изменения в бизнесе: научная монография. </w:t>
      </w:r>
      <w:proofErr w:type="spellStart"/>
      <w:r>
        <w:rPr>
          <w:color w:val="000000"/>
          <w:sz w:val="24"/>
        </w:rPr>
        <w:t>Владивосток</w:t>
      </w:r>
      <w:proofErr w:type="spellEnd"/>
      <w:r>
        <w:rPr>
          <w:color w:val="000000"/>
          <w:sz w:val="24"/>
        </w:rPr>
        <w:t xml:space="preserve">: </w:t>
      </w:r>
      <w:proofErr w:type="spellStart"/>
      <w:r>
        <w:rPr>
          <w:color w:val="000000"/>
          <w:sz w:val="24"/>
        </w:rPr>
        <w:t>Изд-во</w:t>
      </w:r>
      <w:proofErr w:type="spellEnd"/>
      <w:r>
        <w:rPr>
          <w:color w:val="000000"/>
          <w:sz w:val="24"/>
        </w:rPr>
        <w:t xml:space="preserve"> ВВГУ, 2024. 180 с.</w:t>
      </w:r>
    </w:p>
    <w:p w14:paraId="5E58686F" w14:textId="77777777" w:rsidR="00121129" w:rsidRDefault="00E03C62">
      <w:pPr>
        <w:pStyle w:val="a"/>
        <w:suppressAutoHyphens/>
        <w:spacing w:after="80" w:line="288" w:lineRule="auto"/>
      </w:pPr>
      <w:r w:rsidRPr="00B23776">
        <w:rPr>
          <w:color w:val="000000"/>
          <w:sz w:val="24"/>
          <w:lang w:val="ru-RU"/>
        </w:rPr>
        <w:t xml:space="preserve">Близкий Р. С., Лебединская Ю. С. Цифровые трансформации информационно-коммуникационных технологий государственных услуг: алгоритмы и цифровая зрелость // Азимут научных исследований: экономика и управление. </w:t>
      </w:r>
      <w:r>
        <w:rPr>
          <w:color w:val="000000"/>
          <w:sz w:val="24"/>
        </w:rPr>
        <w:t>2021. Т. 10, № 3(36). С. 63-66.</w:t>
      </w:r>
    </w:p>
    <w:p w14:paraId="00AB6463" w14:textId="77777777" w:rsidR="00121129" w:rsidRDefault="00E03C62">
      <w:pPr>
        <w:pStyle w:val="a"/>
        <w:suppressAutoHyphens/>
        <w:spacing w:after="80" w:line="288" w:lineRule="auto"/>
      </w:pPr>
      <w:r w:rsidRPr="00B23776">
        <w:rPr>
          <w:color w:val="000000"/>
          <w:sz w:val="24"/>
          <w:lang w:val="ru-RU"/>
        </w:rPr>
        <w:t xml:space="preserve">Российская Федерация. Законы. Федеральный закон от 31 июля 2020 г. № 259-ФЗ «О цифровых финансовых активах, цифровой валюте и о внесении изменений в отдельные законодательные акты Российской Федерации» // Собрание законодательства РФ. 2020. </w:t>
      </w:r>
      <w:r>
        <w:rPr>
          <w:color w:val="000000"/>
          <w:sz w:val="24"/>
        </w:rPr>
        <w:t xml:space="preserve">№ 31 (ч. I). </w:t>
      </w:r>
      <w:proofErr w:type="spellStart"/>
      <w:r>
        <w:rPr>
          <w:color w:val="000000"/>
          <w:sz w:val="24"/>
        </w:rPr>
        <w:t>Ст</w:t>
      </w:r>
      <w:proofErr w:type="spellEnd"/>
      <w:r>
        <w:rPr>
          <w:color w:val="000000"/>
          <w:sz w:val="24"/>
        </w:rPr>
        <w:t>. 5018.</w:t>
      </w:r>
    </w:p>
    <w:p w14:paraId="4A36D952" w14:textId="77777777" w:rsidR="00121129" w:rsidRPr="00B23776" w:rsidRDefault="00E03C62">
      <w:pPr>
        <w:pStyle w:val="a"/>
        <w:suppressAutoHyphens/>
        <w:spacing w:after="80" w:line="288" w:lineRule="auto"/>
        <w:rPr>
          <w:lang w:val="ru-RU"/>
        </w:rPr>
      </w:pPr>
      <w:r w:rsidRPr="00B23776">
        <w:rPr>
          <w:color w:val="000000"/>
          <w:sz w:val="24"/>
          <w:lang w:val="ru-RU"/>
        </w:rPr>
        <w:t xml:space="preserve">Обзор брокера БКС // </w:t>
      </w:r>
      <w:r>
        <w:rPr>
          <w:color w:val="000000"/>
          <w:sz w:val="24"/>
        </w:rPr>
        <w:t>Fin</w:t>
      </w:r>
      <w:r w:rsidRPr="00B23776">
        <w:rPr>
          <w:color w:val="000000"/>
          <w:sz w:val="24"/>
          <w:lang w:val="ru-RU"/>
        </w:rPr>
        <w:t>-</w:t>
      </w:r>
      <w:r>
        <w:rPr>
          <w:color w:val="000000"/>
          <w:sz w:val="24"/>
        </w:rPr>
        <w:t>Plan</w:t>
      </w:r>
      <w:r w:rsidRPr="00B23776">
        <w:rPr>
          <w:color w:val="000000"/>
          <w:sz w:val="24"/>
          <w:lang w:val="ru-RU"/>
        </w:rPr>
        <w:t>.</w:t>
      </w:r>
      <w:r>
        <w:rPr>
          <w:color w:val="000000"/>
          <w:sz w:val="24"/>
        </w:rPr>
        <w:t>org</w:t>
      </w:r>
      <w:r w:rsidRPr="00B23776">
        <w:rPr>
          <w:color w:val="000000"/>
          <w:sz w:val="24"/>
          <w:lang w:val="ru-RU"/>
        </w:rPr>
        <w:t xml:space="preserve">. </w:t>
      </w:r>
      <w:r>
        <w:rPr>
          <w:color w:val="000000"/>
          <w:sz w:val="24"/>
        </w:rPr>
        <w:t>URL</w:t>
      </w:r>
      <w:r w:rsidRPr="00B23776">
        <w:rPr>
          <w:color w:val="000000"/>
          <w:sz w:val="24"/>
          <w:lang w:val="ru-RU"/>
        </w:rPr>
        <w:t xml:space="preserve">: </w:t>
      </w:r>
      <w:r>
        <w:rPr>
          <w:color w:val="000000"/>
          <w:sz w:val="24"/>
        </w:rPr>
        <w:t>https</w:t>
      </w:r>
      <w:r w:rsidRPr="00B23776">
        <w:rPr>
          <w:color w:val="000000"/>
          <w:sz w:val="24"/>
          <w:lang w:val="ru-RU"/>
        </w:rPr>
        <w:t>://</w:t>
      </w:r>
      <w:r>
        <w:rPr>
          <w:color w:val="000000"/>
          <w:sz w:val="24"/>
        </w:rPr>
        <w:t>fin</w:t>
      </w:r>
      <w:r w:rsidRPr="00B23776">
        <w:rPr>
          <w:color w:val="000000"/>
          <w:sz w:val="24"/>
          <w:lang w:val="ru-RU"/>
        </w:rPr>
        <w:t>-</w:t>
      </w:r>
      <w:r>
        <w:rPr>
          <w:color w:val="000000"/>
          <w:sz w:val="24"/>
        </w:rPr>
        <w:t>plan</w:t>
      </w:r>
      <w:r w:rsidRPr="00B23776">
        <w:rPr>
          <w:color w:val="000000"/>
          <w:sz w:val="24"/>
          <w:lang w:val="ru-RU"/>
        </w:rPr>
        <w:t>.</w:t>
      </w:r>
      <w:r>
        <w:rPr>
          <w:color w:val="000000"/>
          <w:sz w:val="24"/>
        </w:rPr>
        <w:t>org</w:t>
      </w:r>
      <w:r w:rsidRPr="00B23776">
        <w:rPr>
          <w:color w:val="000000"/>
          <w:sz w:val="24"/>
          <w:lang w:val="ru-RU"/>
        </w:rPr>
        <w:t>/</w:t>
      </w:r>
      <w:r>
        <w:rPr>
          <w:color w:val="000000"/>
          <w:sz w:val="24"/>
        </w:rPr>
        <w:t>blog</w:t>
      </w:r>
      <w:r w:rsidRPr="00B23776">
        <w:rPr>
          <w:color w:val="000000"/>
          <w:sz w:val="24"/>
          <w:lang w:val="ru-RU"/>
        </w:rPr>
        <w:t>/</w:t>
      </w:r>
      <w:proofErr w:type="spellStart"/>
      <w:r>
        <w:rPr>
          <w:color w:val="000000"/>
          <w:sz w:val="24"/>
        </w:rPr>
        <w:t>obzor</w:t>
      </w:r>
      <w:proofErr w:type="spellEnd"/>
      <w:r w:rsidRPr="00B23776">
        <w:rPr>
          <w:color w:val="000000"/>
          <w:sz w:val="24"/>
          <w:lang w:val="ru-RU"/>
        </w:rPr>
        <w:t>-</w:t>
      </w:r>
      <w:proofErr w:type="spellStart"/>
      <w:r>
        <w:rPr>
          <w:color w:val="000000"/>
          <w:sz w:val="24"/>
        </w:rPr>
        <w:t>brokera</w:t>
      </w:r>
      <w:proofErr w:type="spellEnd"/>
      <w:r w:rsidRPr="00B23776">
        <w:rPr>
          <w:color w:val="000000"/>
          <w:sz w:val="24"/>
          <w:lang w:val="ru-RU"/>
        </w:rPr>
        <w:t>-</w:t>
      </w:r>
      <w:r>
        <w:rPr>
          <w:color w:val="000000"/>
          <w:sz w:val="24"/>
        </w:rPr>
        <w:t>bks</w:t>
      </w:r>
      <w:r w:rsidRPr="00B23776">
        <w:rPr>
          <w:color w:val="000000"/>
          <w:sz w:val="24"/>
          <w:lang w:val="ru-RU"/>
        </w:rPr>
        <w:t xml:space="preserve"> (дата обращения: 06.12.2025).</w:t>
      </w:r>
    </w:p>
    <w:p w14:paraId="353BF0D6" w14:textId="63B386F8" w:rsidR="00121129" w:rsidRPr="00B23776" w:rsidRDefault="00E03C62">
      <w:pPr>
        <w:pStyle w:val="a"/>
        <w:suppressAutoHyphens/>
        <w:spacing w:after="80" w:line="288" w:lineRule="auto"/>
        <w:rPr>
          <w:lang w:val="ru-RU"/>
        </w:rPr>
      </w:pPr>
      <w:r w:rsidRPr="00B23776">
        <w:rPr>
          <w:color w:val="000000"/>
          <w:sz w:val="24"/>
          <w:lang w:val="ru-RU"/>
        </w:rPr>
        <w:t>Инвестиции: полезные статьи и советы экспертов // 1000</w:t>
      </w:r>
      <w:proofErr w:type="spellStart"/>
      <w:r>
        <w:rPr>
          <w:color w:val="000000"/>
          <w:sz w:val="24"/>
        </w:rPr>
        <w:t>bankov</w:t>
      </w:r>
      <w:proofErr w:type="spellEnd"/>
      <w:r w:rsidRPr="00B23776">
        <w:rPr>
          <w:color w:val="000000"/>
          <w:sz w:val="24"/>
          <w:lang w:val="ru-RU"/>
        </w:rPr>
        <w:t>.</w:t>
      </w:r>
      <w:proofErr w:type="spellStart"/>
      <w:r>
        <w:rPr>
          <w:color w:val="000000"/>
          <w:sz w:val="24"/>
        </w:rPr>
        <w:t>ru</w:t>
      </w:r>
      <w:proofErr w:type="spellEnd"/>
      <w:r w:rsidRPr="00B23776">
        <w:rPr>
          <w:color w:val="000000"/>
          <w:sz w:val="24"/>
          <w:lang w:val="ru-RU"/>
        </w:rPr>
        <w:t xml:space="preserve">. </w:t>
      </w:r>
      <w:r>
        <w:rPr>
          <w:color w:val="000000"/>
          <w:sz w:val="24"/>
        </w:rPr>
        <w:t>URL</w:t>
      </w:r>
      <w:r w:rsidRPr="00B23776">
        <w:rPr>
          <w:color w:val="000000"/>
          <w:sz w:val="24"/>
          <w:lang w:val="ru-RU"/>
        </w:rPr>
        <w:t xml:space="preserve">: </w:t>
      </w:r>
      <w:r>
        <w:rPr>
          <w:color w:val="000000"/>
          <w:sz w:val="24"/>
        </w:rPr>
        <w:t>https</w:t>
      </w:r>
      <w:r w:rsidRPr="00B23776">
        <w:rPr>
          <w:color w:val="000000"/>
          <w:sz w:val="24"/>
          <w:lang w:val="ru-RU"/>
        </w:rPr>
        <w:t>://1000</w:t>
      </w:r>
      <w:proofErr w:type="spellStart"/>
      <w:r>
        <w:rPr>
          <w:color w:val="000000"/>
          <w:sz w:val="24"/>
        </w:rPr>
        <w:t>bankov</w:t>
      </w:r>
      <w:proofErr w:type="spellEnd"/>
      <w:r w:rsidRPr="00B23776">
        <w:rPr>
          <w:color w:val="000000"/>
          <w:sz w:val="24"/>
          <w:lang w:val="ru-RU"/>
        </w:rPr>
        <w:t>.</w:t>
      </w:r>
      <w:proofErr w:type="spellStart"/>
      <w:r>
        <w:rPr>
          <w:color w:val="000000"/>
          <w:sz w:val="24"/>
        </w:rPr>
        <w:t>ru</w:t>
      </w:r>
      <w:proofErr w:type="spellEnd"/>
      <w:r w:rsidRPr="00B23776">
        <w:rPr>
          <w:color w:val="000000"/>
          <w:sz w:val="24"/>
          <w:lang w:val="ru-RU"/>
        </w:rPr>
        <w:t>/</w:t>
      </w:r>
      <w:r>
        <w:rPr>
          <w:color w:val="000000"/>
          <w:sz w:val="24"/>
        </w:rPr>
        <w:t>news</w:t>
      </w:r>
      <w:r w:rsidRPr="00B23776">
        <w:rPr>
          <w:color w:val="000000"/>
          <w:sz w:val="24"/>
          <w:lang w:val="ru-RU"/>
        </w:rPr>
        <w:t>/</w:t>
      </w:r>
      <w:r>
        <w:rPr>
          <w:color w:val="000000"/>
          <w:sz w:val="24"/>
        </w:rPr>
        <w:t>tags</w:t>
      </w:r>
      <w:r w:rsidRPr="00B23776">
        <w:rPr>
          <w:color w:val="000000"/>
          <w:sz w:val="24"/>
          <w:lang w:val="ru-RU"/>
        </w:rPr>
        <w:t>/</w:t>
      </w:r>
      <w:proofErr w:type="spellStart"/>
      <w:r>
        <w:rPr>
          <w:color w:val="000000"/>
          <w:sz w:val="24"/>
        </w:rPr>
        <w:t>investicii</w:t>
      </w:r>
      <w:proofErr w:type="spellEnd"/>
      <w:r w:rsidR="009B1F73">
        <w:rPr>
          <w:color w:val="000000"/>
          <w:sz w:val="24"/>
          <w:lang w:val="ru-RU"/>
        </w:rPr>
        <w:t>–</w:t>
      </w:r>
      <w:proofErr w:type="spellStart"/>
      <w:r>
        <w:rPr>
          <w:color w:val="000000"/>
          <w:sz w:val="24"/>
        </w:rPr>
        <w:t>poleznye</w:t>
      </w:r>
      <w:proofErr w:type="spellEnd"/>
      <w:r w:rsidRPr="00B23776">
        <w:rPr>
          <w:color w:val="000000"/>
          <w:sz w:val="24"/>
          <w:lang w:val="ru-RU"/>
        </w:rPr>
        <w:t>-</w:t>
      </w:r>
      <w:proofErr w:type="spellStart"/>
      <w:r>
        <w:rPr>
          <w:color w:val="000000"/>
          <w:sz w:val="24"/>
        </w:rPr>
        <w:t>stati</w:t>
      </w:r>
      <w:proofErr w:type="spellEnd"/>
      <w:r w:rsidRPr="00B23776">
        <w:rPr>
          <w:color w:val="000000"/>
          <w:sz w:val="24"/>
          <w:lang w:val="ru-RU"/>
        </w:rPr>
        <w:t>-</w:t>
      </w:r>
      <w:proofErr w:type="spellStart"/>
      <w:r>
        <w:rPr>
          <w:color w:val="000000"/>
          <w:sz w:val="24"/>
        </w:rPr>
        <w:t>i</w:t>
      </w:r>
      <w:proofErr w:type="spellEnd"/>
      <w:r w:rsidRPr="00B23776">
        <w:rPr>
          <w:color w:val="000000"/>
          <w:sz w:val="24"/>
          <w:lang w:val="ru-RU"/>
        </w:rPr>
        <w:t>-</w:t>
      </w:r>
      <w:proofErr w:type="spellStart"/>
      <w:r>
        <w:rPr>
          <w:color w:val="000000"/>
          <w:sz w:val="24"/>
        </w:rPr>
        <w:t>sovety</w:t>
      </w:r>
      <w:proofErr w:type="spellEnd"/>
      <w:r w:rsidRPr="00B23776">
        <w:rPr>
          <w:color w:val="000000"/>
          <w:sz w:val="24"/>
          <w:lang w:val="ru-RU"/>
        </w:rPr>
        <w:t>-</w:t>
      </w:r>
      <w:proofErr w:type="spellStart"/>
      <w:r>
        <w:rPr>
          <w:color w:val="000000"/>
          <w:sz w:val="24"/>
        </w:rPr>
        <w:t>ekspertov</w:t>
      </w:r>
      <w:proofErr w:type="spellEnd"/>
      <w:r w:rsidRPr="00B23776">
        <w:rPr>
          <w:color w:val="000000"/>
          <w:sz w:val="24"/>
          <w:lang w:val="ru-RU"/>
        </w:rPr>
        <w:t>/ (дата обращения: 06.12.2025).</w:t>
      </w:r>
    </w:p>
    <w:p w14:paraId="57932313" w14:textId="77777777" w:rsidR="00121129" w:rsidRPr="00B23776" w:rsidRDefault="00E03C62">
      <w:pPr>
        <w:pStyle w:val="a"/>
        <w:suppressAutoHyphens/>
        <w:spacing w:after="80" w:line="288" w:lineRule="auto"/>
        <w:rPr>
          <w:lang w:val="ru-RU"/>
        </w:rPr>
      </w:pPr>
      <w:r w:rsidRPr="00B23776">
        <w:rPr>
          <w:color w:val="000000"/>
          <w:sz w:val="24"/>
          <w:lang w:val="ru-RU"/>
        </w:rPr>
        <w:t xml:space="preserve">Рейтинг брокеров России: ТОП-10 брокеров // </w:t>
      </w:r>
      <w:r>
        <w:rPr>
          <w:color w:val="000000"/>
          <w:sz w:val="24"/>
        </w:rPr>
        <w:t>Banki</w:t>
      </w:r>
      <w:r w:rsidRPr="00B23776">
        <w:rPr>
          <w:color w:val="000000"/>
          <w:sz w:val="24"/>
          <w:lang w:val="ru-RU"/>
        </w:rPr>
        <w:t>.</w:t>
      </w:r>
      <w:proofErr w:type="spellStart"/>
      <w:r>
        <w:rPr>
          <w:color w:val="000000"/>
          <w:sz w:val="24"/>
        </w:rPr>
        <w:t>ru</w:t>
      </w:r>
      <w:proofErr w:type="spellEnd"/>
      <w:r w:rsidRPr="00B23776">
        <w:rPr>
          <w:color w:val="000000"/>
          <w:sz w:val="24"/>
          <w:lang w:val="ru-RU"/>
        </w:rPr>
        <w:t xml:space="preserve">. </w:t>
      </w:r>
      <w:r>
        <w:rPr>
          <w:color w:val="000000"/>
          <w:sz w:val="24"/>
        </w:rPr>
        <w:t>URL</w:t>
      </w:r>
      <w:r w:rsidRPr="00B23776">
        <w:rPr>
          <w:color w:val="000000"/>
          <w:sz w:val="24"/>
          <w:lang w:val="ru-RU"/>
        </w:rPr>
        <w:t xml:space="preserve">: </w:t>
      </w:r>
      <w:r>
        <w:rPr>
          <w:color w:val="000000"/>
          <w:sz w:val="24"/>
        </w:rPr>
        <w:t>https</w:t>
      </w:r>
      <w:r w:rsidRPr="00B23776">
        <w:rPr>
          <w:color w:val="000000"/>
          <w:sz w:val="24"/>
          <w:lang w:val="ru-RU"/>
        </w:rPr>
        <w:t>://</w:t>
      </w:r>
      <w:r>
        <w:rPr>
          <w:color w:val="000000"/>
          <w:sz w:val="24"/>
        </w:rPr>
        <w:t>www</w:t>
      </w:r>
      <w:r w:rsidRPr="00B23776">
        <w:rPr>
          <w:color w:val="000000"/>
          <w:sz w:val="24"/>
          <w:lang w:val="ru-RU"/>
        </w:rPr>
        <w:t>.</w:t>
      </w:r>
      <w:proofErr w:type="spellStart"/>
      <w:r>
        <w:rPr>
          <w:color w:val="000000"/>
          <w:sz w:val="24"/>
        </w:rPr>
        <w:t>banki</w:t>
      </w:r>
      <w:proofErr w:type="spellEnd"/>
      <w:r w:rsidRPr="00B23776">
        <w:rPr>
          <w:color w:val="000000"/>
          <w:sz w:val="24"/>
          <w:lang w:val="ru-RU"/>
        </w:rPr>
        <w:t>.</w:t>
      </w:r>
      <w:proofErr w:type="spellStart"/>
      <w:r>
        <w:rPr>
          <w:color w:val="000000"/>
          <w:sz w:val="24"/>
        </w:rPr>
        <w:t>ru</w:t>
      </w:r>
      <w:proofErr w:type="spellEnd"/>
      <w:r w:rsidRPr="00B23776">
        <w:rPr>
          <w:color w:val="000000"/>
          <w:sz w:val="24"/>
          <w:lang w:val="ru-RU"/>
        </w:rPr>
        <w:t>/</w:t>
      </w:r>
      <w:r>
        <w:rPr>
          <w:color w:val="000000"/>
          <w:sz w:val="24"/>
        </w:rPr>
        <w:t>investment</w:t>
      </w:r>
      <w:r w:rsidRPr="00B23776">
        <w:rPr>
          <w:color w:val="000000"/>
          <w:sz w:val="24"/>
          <w:lang w:val="ru-RU"/>
        </w:rPr>
        <w:t>/</w:t>
      </w:r>
      <w:r>
        <w:rPr>
          <w:color w:val="000000"/>
          <w:sz w:val="24"/>
        </w:rPr>
        <w:t>brokers</w:t>
      </w:r>
      <w:r w:rsidRPr="00B23776">
        <w:rPr>
          <w:color w:val="000000"/>
          <w:sz w:val="24"/>
          <w:lang w:val="ru-RU"/>
        </w:rPr>
        <w:t>/ (дата обращения: 06.12.2025).</w:t>
      </w:r>
    </w:p>
    <w:sectPr w:rsidR="00121129" w:rsidRPr="00B23776" w:rsidSect="00034616">
      <w:headerReference w:type="default" r:id="rId9"/>
      <w:pgSz w:w="12240" w:h="15840"/>
      <w:pgMar w:top="1134" w:right="850"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7F929" w14:textId="77777777" w:rsidR="005401FF" w:rsidRDefault="005401FF">
      <w:pPr>
        <w:spacing w:after="0" w:line="240" w:lineRule="auto"/>
      </w:pPr>
      <w:r>
        <w:separator/>
      </w:r>
    </w:p>
  </w:endnote>
  <w:endnote w:type="continuationSeparator" w:id="0">
    <w:p w14:paraId="19DFE74D" w14:textId="77777777" w:rsidR="005401FF" w:rsidRDefault="00540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41D62" w14:textId="77777777" w:rsidR="005401FF" w:rsidRDefault="005401FF">
      <w:pPr>
        <w:spacing w:after="0" w:line="240" w:lineRule="auto"/>
      </w:pPr>
      <w:r>
        <w:separator/>
      </w:r>
    </w:p>
  </w:footnote>
  <w:footnote w:type="continuationSeparator" w:id="0">
    <w:p w14:paraId="2FB33952" w14:textId="77777777" w:rsidR="005401FF" w:rsidRDefault="00540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1178" w14:textId="77777777" w:rsidR="0032530F" w:rsidRDefault="0032530F">
    <w:pPr>
      <w:jc w:val="right"/>
    </w:pPr>
    <w:r>
      <w:rPr>
        <w:rFonts w:eastAsia="Times New Roman" w:cs="Times New Roman"/>
        <w:szCs w:val="28"/>
      </w:rPr>
      <w:fldChar w:fldCharType="begin"/>
    </w:r>
    <w:r>
      <w:instrText xml:space="preserve"> PAGE \* MERGEFORMAT </w:instrText>
    </w:r>
    <w:r>
      <w:fldChar w:fldCharType="separate"/>
    </w:r>
    <w:r>
      <w:rPr>
        <w:rFonts w:eastAsia="Times New Roman" w:cs="Times New Roman"/>
        <w:szCs w:val="28"/>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D1CE" w14:textId="77777777" w:rsidR="0032530F" w:rsidRDefault="0032530F">
    <w:pPr>
      <w:jc w:val="right"/>
    </w:pPr>
    <w:r>
      <w:rPr>
        <w:rFonts w:eastAsia="Times New Roman" w:cs="Times New Roman"/>
        <w:szCs w:val="28"/>
      </w:rPr>
      <w:fldChar w:fldCharType="begin"/>
    </w:r>
    <w:r>
      <w:instrText xml:space="preserve"> PAGE \* MERGEFORMAT </w:instrText>
    </w:r>
    <w:r>
      <w:fldChar w:fldCharType="separate"/>
    </w:r>
    <w:r>
      <w:rPr>
        <w:rFonts w:eastAsia="Times New Roman" w:cs="Times New Roman"/>
        <w:szCs w:val="28"/>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11196750">
    <w:abstractNumId w:val="8"/>
  </w:num>
  <w:num w:numId="2" w16cid:durableId="190801361">
    <w:abstractNumId w:val="6"/>
  </w:num>
  <w:num w:numId="3" w16cid:durableId="1749958459">
    <w:abstractNumId w:val="5"/>
  </w:num>
  <w:num w:numId="4" w16cid:durableId="756483503">
    <w:abstractNumId w:val="4"/>
  </w:num>
  <w:num w:numId="5" w16cid:durableId="1021861941">
    <w:abstractNumId w:val="7"/>
  </w:num>
  <w:num w:numId="6" w16cid:durableId="513298890">
    <w:abstractNumId w:val="3"/>
  </w:num>
  <w:num w:numId="7" w16cid:durableId="1302540559">
    <w:abstractNumId w:val="2"/>
  </w:num>
  <w:num w:numId="8" w16cid:durableId="1147434034">
    <w:abstractNumId w:val="1"/>
  </w:num>
  <w:num w:numId="9" w16cid:durableId="1447656502">
    <w:abstractNumId w:val="0"/>
  </w:num>
  <w:num w:numId="10" w16cid:durableId="31596357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1129"/>
    <w:rsid w:val="0015074B"/>
    <w:rsid w:val="001928EE"/>
    <w:rsid w:val="001E4A4B"/>
    <w:rsid w:val="0029639D"/>
    <w:rsid w:val="003073BC"/>
    <w:rsid w:val="0032530F"/>
    <w:rsid w:val="00326F90"/>
    <w:rsid w:val="003418BD"/>
    <w:rsid w:val="00485CE7"/>
    <w:rsid w:val="005401FF"/>
    <w:rsid w:val="006C5C6F"/>
    <w:rsid w:val="007C5EB2"/>
    <w:rsid w:val="007D1594"/>
    <w:rsid w:val="00822EA3"/>
    <w:rsid w:val="009054DA"/>
    <w:rsid w:val="00923752"/>
    <w:rsid w:val="009B1F73"/>
    <w:rsid w:val="009D6FB9"/>
    <w:rsid w:val="009E0609"/>
    <w:rsid w:val="00A0347E"/>
    <w:rsid w:val="00A76115"/>
    <w:rsid w:val="00AA1D8D"/>
    <w:rsid w:val="00AB4C8A"/>
    <w:rsid w:val="00AE2B6B"/>
    <w:rsid w:val="00AF6780"/>
    <w:rsid w:val="00B03994"/>
    <w:rsid w:val="00B23776"/>
    <w:rsid w:val="00B47730"/>
    <w:rsid w:val="00B65DA5"/>
    <w:rsid w:val="00C2011B"/>
    <w:rsid w:val="00C30F66"/>
    <w:rsid w:val="00C50F20"/>
    <w:rsid w:val="00C86951"/>
    <w:rsid w:val="00CB0664"/>
    <w:rsid w:val="00DC1859"/>
    <w:rsid w:val="00DD28C4"/>
    <w:rsid w:val="00E03C62"/>
    <w:rsid w:val="00E253E6"/>
    <w:rsid w:val="00E84C98"/>
    <w:rsid w:val="00F077B9"/>
    <w:rsid w:val="00F66FD7"/>
    <w:rsid w:val="00FB67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0AB360"/>
  <w14:defaultImageDpi w14:val="300"/>
  <w15:docId w15:val="{2D1D0060-10D3-904B-BE00-2F675280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f8">
    <w:name w:val="подзг"/>
    <w:basedOn w:val="a1"/>
    <w:link w:val="aff9"/>
    <w:qFormat/>
    <w:rsid w:val="009B1F73"/>
    <w:pPr>
      <w:keepNext/>
      <w:widowControl w:val="0"/>
      <w:suppressAutoHyphens/>
      <w:spacing w:before="240" w:after="120" w:line="240" w:lineRule="auto"/>
      <w:ind w:left="1219" w:hanging="510"/>
      <w:outlineLvl w:val="1"/>
    </w:pPr>
    <w:rPr>
      <w:rFonts w:ascii="Arial" w:eastAsia="Arial" w:hAnsi="Arial" w:cs="Arial"/>
      <w:color w:val="000000"/>
      <w:szCs w:val="28"/>
      <w:lang w:val="ru-RU"/>
    </w:rPr>
  </w:style>
  <w:style w:type="paragraph" w:customStyle="1" w:styleId="affa">
    <w:name w:val="заг"/>
    <w:basedOn w:val="a1"/>
    <w:link w:val="affb"/>
    <w:qFormat/>
    <w:rsid w:val="009B1F73"/>
    <w:pPr>
      <w:keepNext/>
      <w:pageBreakBefore/>
      <w:widowControl w:val="0"/>
      <w:suppressAutoHyphens/>
      <w:spacing w:after="240" w:line="240" w:lineRule="auto"/>
      <w:ind w:left="993" w:hanging="284"/>
      <w:outlineLvl w:val="0"/>
    </w:pPr>
    <w:rPr>
      <w:rFonts w:ascii="Arial" w:eastAsia="Arial" w:hAnsi="Arial" w:cs="Arial"/>
      <w:color w:val="000000"/>
      <w:sz w:val="30"/>
      <w:szCs w:val="30"/>
      <w:lang w:val="ru-RU"/>
    </w:rPr>
  </w:style>
  <w:style w:type="character" w:customStyle="1" w:styleId="aff9">
    <w:name w:val="подзг Знак"/>
    <w:basedOn w:val="a2"/>
    <w:link w:val="aff8"/>
    <w:rsid w:val="009B1F73"/>
    <w:rPr>
      <w:rFonts w:ascii="Arial" w:eastAsia="Arial" w:hAnsi="Arial" w:cs="Arial"/>
      <w:color w:val="000000"/>
      <w:sz w:val="28"/>
      <w:szCs w:val="28"/>
      <w:lang w:val="ru-RU"/>
    </w:rPr>
  </w:style>
  <w:style w:type="paragraph" w:customStyle="1" w:styleId="affc">
    <w:name w:val="таблиц"/>
    <w:basedOn w:val="a1"/>
    <w:uiPriority w:val="1"/>
    <w:qFormat/>
    <w:rsid w:val="009B1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after="0" w:line="240" w:lineRule="auto"/>
      <w:ind w:left="1701" w:hanging="1701"/>
    </w:pPr>
    <w:rPr>
      <w:rFonts w:eastAsia="Times New Roman" w:cs="Times New Roman"/>
      <w:color w:val="000000" w:themeColor="text1"/>
      <w:szCs w:val="28"/>
      <w:lang w:val="ru-RU" w:eastAsia="ru-RU"/>
    </w:rPr>
  </w:style>
  <w:style w:type="character" w:customStyle="1" w:styleId="affb">
    <w:name w:val="заг Знак"/>
    <w:basedOn w:val="a2"/>
    <w:link w:val="affa"/>
    <w:rsid w:val="009B1F73"/>
    <w:rPr>
      <w:rFonts w:ascii="Arial" w:eastAsia="Arial" w:hAnsi="Arial" w:cs="Arial"/>
      <w:color w:val="000000"/>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6EEE4-7FD9-43B0-9514-6E9554BF1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8472</Words>
  <Characters>48292</Characters>
  <Application>Microsoft Office Word</Application>
  <DocSecurity>0</DocSecurity>
  <Lines>402</Lines>
  <Paragraphs>113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generated by python-docx</dc:description>
  <cp:lastModifiedBy>Игорь Просалов</cp:lastModifiedBy>
  <cp:revision>2</cp:revision>
  <dcterms:created xsi:type="dcterms:W3CDTF">2026-07-15T15:05:00Z</dcterms:created>
  <dcterms:modified xsi:type="dcterms:W3CDTF">2026-07-15T15:05:00Z</dcterms:modified>
  <cp:category/>
</cp:coreProperties>
</file>