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B957DE0" w:rsidR="00CF6876" w:rsidRPr="00CF6876" w:rsidRDefault="00CF6876" w:rsidP="00CF6876">
      <w:pPr>
        <w:rPr>
          <w:color w:val="434343"/>
          <w:sz w:val="28"/>
          <w:szCs w:val="28"/>
          <w:lang w:val="ru-RU"/>
        </w:rPr>
      </w:pPr>
    </w:p>
    <w:p w14:paraId="002B7108" w14:textId="77777777" w:rsidR="00005F7D" w:rsidRPr="00F051FC" w:rsidRDefault="00005F7D" w:rsidP="00005F7D">
      <w:pPr>
        <w:spacing w:line="480" w:lineRule="auto"/>
        <w:jc w:val="center"/>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 xml:space="preserve">МИНИСТЕРСТВО НАУКИ И ВЫСШЕГО ОБРАЗОВАНИЯ </w:t>
      </w:r>
      <w:r>
        <w:rPr>
          <w:rFonts w:ascii="Times New Roman" w:eastAsia="Times New Roman" w:hAnsi="Times New Roman" w:cs="Times New Roman"/>
          <w:color w:val="000000"/>
          <w:sz w:val="24"/>
          <w:szCs w:val="24"/>
        </w:rPr>
        <w:t>«РФ»</w:t>
      </w:r>
    </w:p>
    <w:p w14:paraId="1D9BFE2D" w14:textId="77777777" w:rsidR="00005F7D" w:rsidRPr="00F051FC" w:rsidRDefault="00005F7D" w:rsidP="00005F7D">
      <w:pPr>
        <w:spacing w:line="480" w:lineRule="auto"/>
        <w:jc w:val="center"/>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ВЛАДИВОСТОКСКИЙ ГОСУДАРСТВЕННЫЙ УНИВЕРСИТЕТ</w:t>
      </w:r>
    </w:p>
    <w:p w14:paraId="0472B5A8" w14:textId="77777777" w:rsidR="00005F7D" w:rsidRPr="00483C05" w:rsidRDefault="00005F7D" w:rsidP="00005F7D">
      <w:pPr>
        <w:spacing w:line="480" w:lineRule="auto"/>
        <w:jc w:val="center"/>
        <w:rPr>
          <w:rFonts w:ascii="Times New Roman" w:eastAsia="Times New Roman" w:hAnsi="Times New Roman" w:cs="Times New Roman"/>
          <w:sz w:val="24"/>
          <w:szCs w:val="24"/>
          <w:lang w:val="ru-RU"/>
        </w:rPr>
      </w:pPr>
      <w:r w:rsidRPr="00F051FC">
        <w:rPr>
          <w:rFonts w:ascii="Times New Roman" w:eastAsia="Times New Roman" w:hAnsi="Times New Roman" w:cs="Times New Roman"/>
          <w:color w:val="000000"/>
          <w:sz w:val="24"/>
          <w:szCs w:val="24"/>
        </w:rPr>
        <w:t xml:space="preserve">ИНСТИТУТ </w:t>
      </w:r>
      <w:r>
        <w:rPr>
          <w:rFonts w:ascii="Times New Roman" w:eastAsia="Times New Roman" w:hAnsi="Times New Roman" w:cs="Times New Roman"/>
          <w:color w:val="000000"/>
          <w:sz w:val="24"/>
          <w:szCs w:val="24"/>
          <w:lang w:val="ru-RU"/>
        </w:rPr>
        <w:t>БИЗНЕС-АНАЛИТИКИ И ЭКОНОМИКИ</w:t>
      </w:r>
    </w:p>
    <w:p w14:paraId="3FAF9D76" w14:textId="77777777" w:rsidR="00005F7D" w:rsidRPr="00483C05" w:rsidRDefault="00005F7D" w:rsidP="00005F7D">
      <w:pPr>
        <w:spacing w:line="240" w:lineRule="auto"/>
        <w:jc w:val="center"/>
        <w:rPr>
          <w:rFonts w:ascii="Times New Roman" w:eastAsia="Times New Roman" w:hAnsi="Times New Roman" w:cs="Times New Roman"/>
          <w:sz w:val="24"/>
          <w:szCs w:val="24"/>
          <w:lang w:val="ru-RU"/>
        </w:rPr>
      </w:pPr>
      <w:r w:rsidRPr="00F051FC">
        <w:rPr>
          <w:rFonts w:ascii="Times New Roman" w:eastAsia="Times New Roman" w:hAnsi="Times New Roman" w:cs="Times New Roman"/>
          <w:smallCaps/>
          <w:color w:val="000000"/>
          <w:sz w:val="24"/>
          <w:szCs w:val="24"/>
        </w:rPr>
        <w:t xml:space="preserve">КАФЕДРА </w:t>
      </w:r>
      <w:r>
        <w:rPr>
          <w:rFonts w:ascii="Times New Roman" w:eastAsia="Times New Roman" w:hAnsi="Times New Roman" w:cs="Times New Roman"/>
          <w:smallCaps/>
          <w:color w:val="000000"/>
          <w:sz w:val="24"/>
          <w:szCs w:val="24"/>
          <w:lang w:val="ru-RU"/>
        </w:rPr>
        <w:t>ИНФОРМАЦИОННАЯ БЕЗОПАСНОСТЬ</w:t>
      </w:r>
    </w:p>
    <w:p w14:paraId="4F3890E2" w14:textId="77777777" w:rsidR="00005F7D" w:rsidRPr="00F051FC" w:rsidRDefault="00005F7D" w:rsidP="00005F7D">
      <w:pPr>
        <w:spacing w:after="240" w:line="240" w:lineRule="auto"/>
        <w:jc w:val="center"/>
        <w:rPr>
          <w:rFonts w:ascii="Times New Roman" w:eastAsia="Times New Roman" w:hAnsi="Times New Roman" w:cs="Times New Roman"/>
          <w:sz w:val="24"/>
          <w:szCs w:val="24"/>
        </w:rPr>
      </w:pPr>
      <w:r w:rsidRPr="00F051FC">
        <w:rPr>
          <w:rFonts w:ascii="Times New Roman" w:eastAsia="Times New Roman" w:hAnsi="Times New Roman" w:cs="Times New Roman"/>
          <w:sz w:val="24"/>
          <w:szCs w:val="24"/>
        </w:rPr>
        <w:br/>
      </w:r>
      <w:r w:rsidRPr="00F051FC">
        <w:rPr>
          <w:rFonts w:ascii="Times New Roman" w:eastAsia="Times New Roman" w:hAnsi="Times New Roman" w:cs="Times New Roman"/>
          <w:sz w:val="24"/>
          <w:szCs w:val="24"/>
        </w:rPr>
        <w:br/>
      </w:r>
    </w:p>
    <w:p w14:paraId="481AFFD9" w14:textId="77777777" w:rsidR="00005F7D" w:rsidRPr="00F051FC" w:rsidRDefault="00005F7D" w:rsidP="00005F7D">
      <w:pPr>
        <w:spacing w:line="240" w:lineRule="auto"/>
        <w:ind w:left="6521"/>
        <w:jc w:val="center"/>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РЕКОМЕНДОВАНА</w:t>
      </w:r>
    </w:p>
    <w:p w14:paraId="4ED60830" w14:textId="77777777" w:rsidR="00005F7D" w:rsidRPr="00F051FC" w:rsidRDefault="00005F7D" w:rsidP="00005F7D">
      <w:pPr>
        <w:spacing w:line="240" w:lineRule="auto"/>
        <w:ind w:left="6521"/>
        <w:jc w:val="center"/>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к защите</w:t>
      </w:r>
    </w:p>
    <w:p w14:paraId="040509E9" w14:textId="77777777" w:rsidR="00005F7D" w:rsidRPr="00483C05" w:rsidRDefault="00005F7D" w:rsidP="00005F7D">
      <w:pPr>
        <w:spacing w:line="240" w:lineRule="auto"/>
        <w:ind w:left="6521"/>
        <w:jc w:val="center"/>
        <w:rPr>
          <w:rFonts w:ascii="Times New Roman" w:eastAsia="Times New Roman" w:hAnsi="Times New Roman" w:cs="Times New Roman"/>
          <w:sz w:val="24"/>
          <w:szCs w:val="24"/>
          <w:lang w:val="ru-RU"/>
        </w:rPr>
      </w:pPr>
      <w:r w:rsidRPr="00F051FC">
        <w:rPr>
          <w:rFonts w:ascii="Times New Roman" w:eastAsia="Times New Roman" w:hAnsi="Times New Roman" w:cs="Times New Roman"/>
          <w:color w:val="000000"/>
          <w:sz w:val="24"/>
          <w:szCs w:val="24"/>
        </w:rPr>
        <w:t xml:space="preserve">зав. кафедрой </w:t>
      </w:r>
      <w:r>
        <w:rPr>
          <w:rFonts w:ascii="Times New Roman" w:eastAsia="Times New Roman" w:hAnsi="Times New Roman" w:cs="Times New Roman"/>
          <w:color w:val="000000"/>
          <w:sz w:val="24"/>
          <w:szCs w:val="24"/>
          <w:lang w:val="ru-RU"/>
        </w:rPr>
        <w:t>ИБ</w:t>
      </w:r>
    </w:p>
    <w:p w14:paraId="5059D568" w14:textId="77777777" w:rsidR="00005F7D" w:rsidRPr="00CF6876" w:rsidRDefault="00005F7D" w:rsidP="00005F7D">
      <w:pPr>
        <w:spacing w:line="240" w:lineRule="auto"/>
        <w:ind w:left="6521"/>
        <w:jc w:val="center"/>
        <w:rPr>
          <w:rFonts w:ascii="Times New Roman" w:eastAsia="Times New Roman" w:hAnsi="Times New Roman" w:cs="Times New Roman"/>
          <w:sz w:val="24"/>
          <w:szCs w:val="24"/>
          <w:lang w:val="ru-RU"/>
        </w:rPr>
      </w:pPr>
      <w:r w:rsidRPr="00F051FC">
        <w:rPr>
          <w:rFonts w:ascii="Times New Roman" w:eastAsia="Times New Roman" w:hAnsi="Times New Roman" w:cs="Times New Roman"/>
          <w:color w:val="000000"/>
          <w:sz w:val="24"/>
          <w:szCs w:val="24"/>
        </w:rPr>
        <w:t>__________</w:t>
      </w:r>
      <w:r>
        <w:rPr>
          <w:rFonts w:ascii="Times New Roman" w:eastAsia="Times New Roman" w:hAnsi="Times New Roman" w:cs="Times New Roman"/>
          <w:color w:val="000000"/>
          <w:sz w:val="24"/>
          <w:szCs w:val="24"/>
          <w:lang w:val="ru-RU"/>
        </w:rPr>
        <w:t>Е</w:t>
      </w:r>
      <w:r w:rsidRPr="00F051F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Г</w:t>
      </w:r>
      <w:r w:rsidRPr="00F051F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ru-RU"/>
        </w:rPr>
        <w:t>Шумик</w:t>
      </w:r>
    </w:p>
    <w:p w14:paraId="215CE59A" w14:textId="77777777" w:rsidR="00005F7D" w:rsidRPr="00F051FC" w:rsidRDefault="00005F7D" w:rsidP="00005F7D">
      <w:pPr>
        <w:spacing w:after="240" w:line="240" w:lineRule="auto"/>
        <w:jc w:val="center"/>
        <w:rPr>
          <w:rFonts w:ascii="Times New Roman" w:eastAsia="Times New Roman" w:hAnsi="Times New Roman" w:cs="Times New Roman"/>
          <w:sz w:val="24"/>
          <w:szCs w:val="24"/>
        </w:rPr>
      </w:pPr>
      <w:r w:rsidRPr="00F051FC">
        <w:rPr>
          <w:rFonts w:ascii="Times New Roman" w:eastAsia="Times New Roman" w:hAnsi="Times New Roman" w:cs="Times New Roman"/>
          <w:sz w:val="24"/>
          <w:szCs w:val="24"/>
        </w:rPr>
        <w:br/>
      </w:r>
      <w:r w:rsidRPr="00F051FC">
        <w:rPr>
          <w:rFonts w:ascii="Times New Roman" w:eastAsia="Times New Roman" w:hAnsi="Times New Roman" w:cs="Times New Roman"/>
          <w:sz w:val="24"/>
          <w:szCs w:val="24"/>
        </w:rPr>
        <w:br/>
      </w:r>
    </w:p>
    <w:p w14:paraId="03E1113A" w14:textId="77777777" w:rsidR="00005F7D" w:rsidRPr="00F051FC" w:rsidRDefault="00005F7D" w:rsidP="00005F7D">
      <w:pPr>
        <w:spacing w:line="240" w:lineRule="auto"/>
        <w:jc w:val="center"/>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КУРСОВАЯ РАБОТА</w:t>
      </w:r>
    </w:p>
    <w:p w14:paraId="6C5E8E19" w14:textId="77777777" w:rsidR="00005F7D" w:rsidRPr="00F051FC" w:rsidRDefault="00005F7D" w:rsidP="00005F7D">
      <w:pPr>
        <w:spacing w:line="240" w:lineRule="auto"/>
        <w:jc w:val="center"/>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по дисциплине «Курсовое проектирование № 2»</w:t>
      </w:r>
      <w:r w:rsidRPr="00F051FC">
        <w:rPr>
          <w:rFonts w:ascii="Times New Roman" w:eastAsia="Times New Roman" w:hAnsi="Times New Roman" w:cs="Times New Roman"/>
          <w:sz w:val="24"/>
          <w:szCs w:val="24"/>
        </w:rPr>
        <w:br/>
      </w:r>
      <w:r w:rsidRPr="00483C05">
        <w:rPr>
          <w:rFonts w:ascii="Times New Roman" w:eastAsia="Times New Roman" w:hAnsi="Times New Roman" w:cs="Times New Roman"/>
          <w:sz w:val="24"/>
          <w:szCs w:val="24"/>
        </w:rPr>
        <w:t>«Сравнительный анализ процессов триажа инцидентов ИБ в коммерческих и государственных SOC (Security Operation Centers)».</w:t>
      </w:r>
      <w:r w:rsidRPr="00F051FC">
        <w:rPr>
          <w:rFonts w:ascii="Times New Roman" w:eastAsia="Times New Roman" w:hAnsi="Times New Roman" w:cs="Times New Roman"/>
          <w:sz w:val="24"/>
          <w:szCs w:val="24"/>
        </w:rPr>
        <w:br/>
      </w:r>
    </w:p>
    <w:p w14:paraId="027E3F7C" w14:textId="77777777" w:rsidR="00005F7D" w:rsidRPr="00F051FC" w:rsidRDefault="00005F7D" w:rsidP="00005F7D">
      <w:pPr>
        <w:spacing w:after="240" w:line="240" w:lineRule="auto"/>
        <w:jc w:val="center"/>
        <w:rPr>
          <w:rFonts w:ascii="Times New Roman" w:eastAsia="Times New Roman" w:hAnsi="Times New Roman" w:cs="Times New Roman"/>
          <w:sz w:val="24"/>
          <w:szCs w:val="24"/>
        </w:rPr>
      </w:pPr>
    </w:p>
    <w:p w14:paraId="405628D3" w14:textId="77777777" w:rsidR="00005F7D" w:rsidRPr="00F051FC" w:rsidRDefault="00005F7D" w:rsidP="00005F7D">
      <w:pPr>
        <w:spacing w:after="240" w:line="240" w:lineRule="auto"/>
        <w:jc w:val="center"/>
        <w:rPr>
          <w:rFonts w:ascii="Times New Roman" w:eastAsia="Times New Roman" w:hAnsi="Times New Roman" w:cs="Times New Roman"/>
          <w:sz w:val="24"/>
          <w:szCs w:val="24"/>
        </w:rPr>
      </w:pPr>
    </w:p>
    <w:p w14:paraId="44690A02" w14:textId="77777777" w:rsidR="00005F7D" w:rsidRPr="00F051FC" w:rsidRDefault="00005F7D" w:rsidP="00005F7D">
      <w:pPr>
        <w:spacing w:after="240" w:line="240" w:lineRule="auto"/>
        <w:jc w:val="center"/>
        <w:rPr>
          <w:rFonts w:ascii="Times New Roman" w:eastAsia="Times New Roman" w:hAnsi="Times New Roman" w:cs="Times New Roman"/>
          <w:sz w:val="24"/>
          <w:szCs w:val="24"/>
        </w:rPr>
      </w:pPr>
    </w:p>
    <w:p w14:paraId="0CB1DA07" w14:textId="77777777" w:rsidR="00005F7D" w:rsidRPr="00F051FC" w:rsidRDefault="00005F7D" w:rsidP="00005F7D">
      <w:pPr>
        <w:spacing w:after="240" w:line="240" w:lineRule="auto"/>
        <w:jc w:val="center"/>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137"/>
        <w:gridCol w:w="2040"/>
        <w:gridCol w:w="1697"/>
      </w:tblGrid>
      <w:tr w:rsidR="00005F7D" w:rsidRPr="00F051FC" w14:paraId="002F690F" w14:textId="77777777" w:rsidTr="00CC6B04">
        <w:tc>
          <w:tcPr>
            <w:tcW w:w="0" w:type="auto"/>
            <w:tcMar>
              <w:top w:w="0" w:type="dxa"/>
              <w:left w:w="108" w:type="dxa"/>
              <w:bottom w:w="0" w:type="dxa"/>
              <w:right w:w="108" w:type="dxa"/>
            </w:tcMar>
            <w:hideMark/>
          </w:tcPr>
          <w:p w14:paraId="1E05F638" w14:textId="77777777" w:rsidR="00005F7D" w:rsidRPr="00F051FC" w:rsidRDefault="00005F7D" w:rsidP="00CC6B04">
            <w:pPr>
              <w:spacing w:line="240" w:lineRule="auto"/>
              <w:ind w:right="963"/>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Студент ИБ– 21 - 1</w:t>
            </w:r>
          </w:p>
        </w:tc>
        <w:tc>
          <w:tcPr>
            <w:tcW w:w="0" w:type="auto"/>
            <w:tcMar>
              <w:top w:w="0" w:type="dxa"/>
              <w:left w:w="108" w:type="dxa"/>
              <w:bottom w:w="0" w:type="dxa"/>
              <w:right w:w="108" w:type="dxa"/>
            </w:tcMar>
            <w:hideMark/>
          </w:tcPr>
          <w:p w14:paraId="65C3743E" w14:textId="77777777" w:rsidR="00005F7D" w:rsidRPr="00F051FC" w:rsidRDefault="00005F7D" w:rsidP="00CC6B04">
            <w:pPr>
              <w:spacing w:line="240" w:lineRule="auto"/>
              <w:ind w:right="144"/>
              <w:jc w:val="center"/>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______________</w:t>
            </w:r>
          </w:p>
        </w:tc>
        <w:tc>
          <w:tcPr>
            <w:tcW w:w="0" w:type="auto"/>
            <w:tcMar>
              <w:top w:w="0" w:type="dxa"/>
              <w:left w:w="108" w:type="dxa"/>
              <w:bottom w:w="0" w:type="dxa"/>
              <w:right w:w="108" w:type="dxa"/>
            </w:tcMar>
            <w:hideMark/>
          </w:tcPr>
          <w:p w14:paraId="164F6DAE" w14:textId="77777777" w:rsidR="00005F7D" w:rsidRPr="00CD2EDB" w:rsidRDefault="00005F7D" w:rsidP="00CC6B04">
            <w:pPr>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w:t>
            </w:r>
            <w:r w:rsidRPr="00F051FC">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Е</w:t>
            </w:r>
            <w:r w:rsidRPr="00F051FC">
              <w:rPr>
                <w:rFonts w:ascii="Times New Roman" w:eastAsia="Times New Roman" w:hAnsi="Times New Roman" w:cs="Times New Roman"/>
                <w:sz w:val="24"/>
                <w:szCs w:val="24"/>
              </w:rPr>
              <w:t>.</w:t>
            </w:r>
            <w:r>
              <w:rPr>
                <w:rFonts w:ascii="Times New Roman" w:eastAsia="Times New Roman" w:hAnsi="Times New Roman" w:cs="Times New Roman"/>
                <w:sz w:val="24"/>
                <w:szCs w:val="24"/>
                <w:lang w:val="ru-RU"/>
              </w:rPr>
              <w:t xml:space="preserve"> Безносюк</w:t>
            </w:r>
          </w:p>
        </w:tc>
      </w:tr>
      <w:tr w:rsidR="00005F7D" w:rsidRPr="00F051FC" w14:paraId="63324DAD" w14:textId="77777777" w:rsidTr="00CC6B04">
        <w:tc>
          <w:tcPr>
            <w:tcW w:w="0" w:type="auto"/>
            <w:tcMar>
              <w:top w:w="0" w:type="dxa"/>
              <w:left w:w="108" w:type="dxa"/>
              <w:bottom w:w="0" w:type="dxa"/>
              <w:right w:w="108" w:type="dxa"/>
            </w:tcMar>
            <w:hideMark/>
          </w:tcPr>
          <w:p w14:paraId="35DE0472" w14:textId="77777777" w:rsidR="00005F7D" w:rsidRPr="00F051FC" w:rsidRDefault="00005F7D" w:rsidP="00CC6B04">
            <w:pPr>
              <w:spacing w:line="240" w:lineRule="auto"/>
              <w:jc w:val="center"/>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215D5266" w14:textId="77777777" w:rsidR="00005F7D" w:rsidRPr="00F051FC" w:rsidRDefault="00005F7D" w:rsidP="00CC6B04">
            <w:pPr>
              <w:spacing w:line="240" w:lineRule="auto"/>
              <w:jc w:val="center"/>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142ED1C6" w14:textId="77777777" w:rsidR="00005F7D" w:rsidRPr="00F051FC" w:rsidRDefault="00005F7D" w:rsidP="00CC6B04">
            <w:pPr>
              <w:spacing w:line="240" w:lineRule="auto"/>
              <w:jc w:val="center"/>
              <w:rPr>
                <w:rFonts w:ascii="Times New Roman" w:eastAsia="Times New Roman" w:hAnsi="Times New Roman" w:cs="Times New Roman"/>
                <w:sz w:val="24"/>
                <w:szCs w:val="24"/>
              </w:rPr>
            </w:pPr>
          </w:p>
        </w:tc>
      </w:tr>
      <w:tr w:rsidR="00005F7D" w:rsidRPr="00F051FC" w14:paraId="5AAF05A1" w14:textId="77777777" w:rsidTr="00CC6B04">
        <w:tc>
          <w:tcPr>
            <w:tcW w:w="0" w:type="auto"/>
            <w:tcMar>
              <w:top w:w="0" w:type="dxa"/>
              <w:left w:w="108" w:type="dxa"/>
              <w:bottom w:w="0" w:type="dxa"/>
              <w:right w:w="108" w:type="dxa"/>
            </w:tcMar>
            <w:hideMark/>
          </w:tcPr>
          <w:p w14:paraId="1BDAE142" w14:textId="77777777" w:rsidR="00005F7D" w:rsidRPr="00F051FC" w:rsidRDefault="00005F7D" w:rsidP="00CC6B04">
            <w:pPr>
              <w:spacing w:line="240" w:lineRule="auto"/>
              <w:jc w:val="center"/>
              <w:rPr>
                <w:rFonts w:ascii="Times New Roman" w:eastAsia="Times New Roman" w:hAnsi="Times New Roman" w:cs="Times New Roman"/>
                <w:sz w:val="24"/>
                <w:szCs w:val="24"/>
              </w:rPr>
            </w:pPr>
          </w:p>
          <w:p w14:paraId="37005AAC" w14:textId="77777777" w:rsidR="00005F7D" w:rsidRPr="00F051FC" w:rsidRDefault="00005F7D" w:rsidP="00CC6B04">
            <w:pPr>
              <w:spacing w:line="240" w:lineRule="auto"/>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Старший преподаватель</w:t>
            </w:r>
          </w:p>
        </w:tc>
        <w:tc>
          <w:tcPr>
            <w:tcW w:w="0" w:type="auto"/>
            <w:tcMar>
              <w:top w:w="0" w:type="dxa"/>
              <w:left w:w="108" w:type="dxa"/>
              <w:bottom w:w="0" w:type="dxa"/>
              <w:right w:w="108" w:type="dxa"/>
            </w:tcMar>
            <w:hideMark/>
          </w:tcPr>
          <w:p w14:paraId="23A34D15" w14:textId="77777777" w:rsidR="00005F7D" w:rsidRPr="00F051FC" w:rsidRDefault="00005F7D" w:rsidP="00CC6B04">
            <w:pPr>
              <w:spacing w:line="240" w:lineRule="auto"/>
              <w:jc w:val="center"/>
              <w:rPr>
                <w:rFonts w:ascii="Times New Roman" w:eastAsia="Times New Roman" w:hAnsi="Times New Roman" w:cs="Times New Roman"/>
                <w:sz w:val="24"/>
                <w:szCs w:val="24"/>
              </w:rPr>
            </w:pPr>
          </w:p>
          <w:p w14:paraId="4AD0D4E0" w14:textId="77777777" w:rsidR="00005F7D" w:rsidRPr="00F051FC" w:rsidRDefault="00005F7D" w:rsidP="00CC6B04">
            <w:pPr>
              <w:spacing w:line="240" w:lineRule="auto"/>
              <w:ind w:right="144"/>
              <w:jc w:val="center"/>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______________</w:t>
            </w:r>
          </w:p>
        </w:tc>
        <w:tc>
          <w:tcPr>
            <w:tcW w:w="0" w:type="auto"/>
            <w:tcMar>
              <w:top w:w="0" w:type="dxa"/>
              <w:left w:w="108" w:type="dxa"/>
              <w:bottom w:w="0" w:type="dxa"/>
              <w:right w:w="108" w:type="dxa"/>
            </w:tcMar>
            <w:hideMark/>
          </w:tcPr>
          <w:p w14:paraId="488382B2" w14:textId="77777777" w:rsidR="00005F7D" w:rsidRPr="00F051FC" w:rsidRDefault="00005F7D" w:rsidP="00CC6B04">
            <w:pPr>
              <w:spacing w:line="240" w:lineRule="auto"/>
              <w:jc w:val="center"/>
              <w:rPr>
                <w:rFonts w:ascii="Times New Roman" w:eastAsia="Times New Roman" w:hAnsi="Times New Roman" w:cs="Times New Roman"/>
                <w:sz w:val="24"/>
                <w:szCs w:val="24"/>
              </w:rPr>
            </w:pPr>
          </w:p>
          <w:p w14:paraId="7839C106" w14:textId="77777777" w:rsidR="00005F7D" w:rsidRPr="00F051FC" w:rsidRDefault="00005F7D" w:rsidP="00CC6B04">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ru-RU"/>
              </w:rPr>
              <w:t>А</w:t>
            </w:r>
            <w:r w:rsidRPr="00F051F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В</w:t>
            </w:r>
            <w:r w:rsidRPr="00F051F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ru-RU"/>
              </w:rPr>
              <w:t xml:space="preserve"> Белев</w:t>
            </w:r>
            <w:r w:rsidRPr="00F051FC">
              <w:rPr>
                <w:rFonts w:ascii="Times New Roman" w:eastAsia="Times New Roman" w:hAnsi="Times New Roman" w:cs="Times New Roman"/>
                <w:color w:val="000000"/>
                <w:sz w:val="24"/>
                <w:szCs w:val="24"/>
              </w:rPr>
              <w:t xml:space="preserve"> </w:t>
            </w:r>
          </w:p>
        </w:tc>
      </w:tr>
      <w:tr w:rsidR="00005F7D" w:rsidRPr="00F051FC" w14:paraId="2AF80CFB" w14:textId="77777777" w:rsidTr="00CC6B04">
        <w:tc>
          <w:tcPr>
            <w:tcW w:w="0" w:type="auto"/>
            <w:tcMar>
              <w:top w:w="0" w:type="dxa"/>
              <w:left w:w="108" w:type="dxa"/>
              <w:bottom w:w="0" w:type="dxa"/>
              <w:right w:w="108" w:type="dxa"/>
            </w:tcMar>
            <w:hideMark/>
          </w:tcPr>
          <w:p w14:paraId="0777D479" w14:textId="77777777" w:rsidR="00005F7D" w:rsidRPr="00F051FC" w:rsidRDefault="00005F7D" w:rsidP="00CC6B04">
            <w:pPr>
              <w:spacing w:line="240" w:lineRule="auto"/>
              <w:jc w:val="center"/>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1B1ED76A" w14:textId="77777777" w:rsidR="00005F7D" w:rsidRPr="00F051FC" w:rsidRDefault="00005F7D" w:rsidP="00CC6B04">
            <w:pPr>
              <w:spacing w:line="240" w:lineRule="auto"/>
              <w:jc w:val="center"/>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14:paraId="093AAC7E" w14:textId="77777777" w:rsidR="00005F7D" w:rsidRPr="00F051FC" w:rsidRDefault="00005F7D" w:rsidP="00CC6B04">
            <w:pPr>
              <w:spacing w:line="240" w:lineRule="auto"/>
              <w:jc w:val="center"/>
              <w:rPr>
                <w:rFonts w:ascii="Times New Roman" w:eastAsia="Times New Roman" w:hAnsi="Times New Roman" w:cs="Times New Roman"/>
                <w:sz w:val="24"/>
                <w:szCs w:val="24"/>
              </w:rPr>
            </w:pPr>
          </w:p>
        </w:tc>
      </w:tr>
      <w:tr w:rsidR="00005F7D" w:rsidRPr="00F051FC" w14:paraId="73ABAAD1" w14:textId="77777777" w:rsidTr="00CC6B04">
        <w:tc>
          <w:tcPr>
            <w:tcW w:w="0" w:type="auto"/>
            <w:tcMar>
              <w:top w:w="0" w:type="dxa"/>
              <w:left w:w="108" w:type="dxa"/>
              <w:bottom w:w="0" w:type="dxa"/>
              <w:right w:w="108" w:type="dxa"/>
            </w:tcMar>
            <w:hideMark/>
          </w:tcPr>
          <w:p w14:paraId="0916BD4C" w14:textId="77777777" w:rsidR="00005F7D" w:rsidRPr="00F051FC" w:rsidRDefault="00005F7D" w:rsidP="00CC6B04">
            <w:pPr>
              <w:spacing w:line="240" w:lineRule="auto"/>
              <w:ind w:right="459"/>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Нормоконтролер</w:t>
            </w:r>
          </w:p>
          <w:p w14:paraId="4868C45B" w14:textId="77777777" w:rsidR="00005F7D" w:rsidRPr="00F051FC" w:rsidRDefault="00005F7D" w:rsidP="00CC6B04">
            <w:pPr>
              <w:spacing w:line="240" w:lineRule="auto"/>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канд. экон. наук, доцент</w:t>
            </w:r>
          </w:p>
        </w:tc>
        <w:tc>
          <w:tcPr>
            <w:tcW w:w="0" w:type="auto"/>
            <w:tcMar>
              <w:top w:w="0" w:type="dxa"/>
              <w:left w:w="108" w:type="dxa"/>
              <w:bottom w:w="0" w:type="dxa"/>
              <w:right w:w="108" w:type="dxa"/>
            </w:tcMar>
            <w:hideMark/>
          </w:tcPr>
          <w:p w14:paraId="7641B64A" w14:textId="77777777" w:rsidR="00005F7D" w:rsidRPr="00F051FC" w:rsidRDefault="00005F7D" w:rsidP="00CC6B04">
            <w:pPr>
              <w:spacing w:line="240" w:lineRule="auto"/>
              <w:jc w:val="center"/>
              <w:rPr>
                <w:rFonts w:ascii="Times New Roman" w:eastAsia="Times New Roman" w:hAnsi="Times New Roman" w:cs="Times New Roman"/>
                <w:sz w:val="24"/>
                <w:szCs w:val="24"/>
              </w:rPr>
            </w:pPr>
          </w:p>
          <w:p w14:paraId="51FB2FEA" w14:textId="77777777" w:rsidR="00005F7D" w:rsidRPr="00F051FC" w:rsidRDefault="00005F7D" w:rsidP="00CC6B04">
            <w:pPr>
              <w:spacing w:line="240" w:lineRule="auto"/>
              <w:ind w:right="144"/>
              <w:jc w:val="center"/>
              <w:rPr>
                <w:rFonts w:ascii="Times New Roman" w:eastAsia="Times New Roman" w:hAnsi="Times New Roman" w:cs="Times New Roman"/>
                <w:sz w:val="24"/>
                <w:szCs w:val="24"/>
              </w:rPr>
            </w:pPr>
            <w:r w:rsidRPr="00F051FC">
              <w:rPr>
                <w:rFonts w:ascii="Times New Roman" w:eastAsia="Times New Roman" w:hAnsi="Times New Roman" w:cs="Times New Roman"/>
                <w:color w:val="000000"/>
                <w:sz w:val="24"/>
                <w:szCs w:val="24"/>
              </w:rPr>
              <w:t>______________</w:t>
            </w:r>
          </w:p>
        </w:tc>
        <w:tc>
          <w:tcPr>
            <w:tcW w:w="0" w:type="auto"/>
            <w:tcMar>
              <w:top w:w="0" w:type="dxa"/>
              <w:left w:w="108" w:type="dxa"/>
              <w:bottom w:w="0" w:type="dxa"/>
              <w:right w:w="108" w:type="dxa"/>
            </w:tcMar>
            <w:hideMark/>
          </w:tcPr>
          <w:p w14:paraId="2C6A07BD" w14:textId="77777777" w:rsidR="00005F7D" w:rsidRPr="00F051FC" w:rsidRDefault="00005F7D" w:rsidP="00CC6B04">
            <w:pPr>
              <w:spacing w:line="240" w:lineRule="auto"/>
              <w:jc w:val="center"/>
              <w:rPr>
                <w:rFonts w:ascii="Times New Roman" w:eastAsia="Times New Roman" w:hAnsi="Times New Roman" w:cs="Times New Roman"/>
                <w:sz w:val="24"/>
                <w:szCs w:val="24"/>
              </w:rPr>
            </w:pPr>
          </w:p>
          <w:p w14:paraId="7AB7AE6E" w14:textId="7E078879" w:rsidR="00005F7D" w:rsidRPr="00F051FC" w:rsidRDefault="00A87D70" w:rsidP="00CC6B04">
            <w:pPr>
              <w:spacing w:line="240" w:lineRule="auto"/>
              <w:rPr>
                <w:rFonts w:ascii="Times New Roman" w:eastAsia="Times New Roman" w:hAnsi="Times New Roman" w:cs="Times New Roman"/>
                <w:sz w:val="24"/>
                <w:szCs w:val="24"/>
              </w:rPr>
            </w:pPr>
            <w:r w:rsidRPr="00A87D70">
              <w:rPr>
                <w:rFonts w:ascii="Times New Roman" w:eastAsia="Times New Roman" w:hAnsi="Times New Roman" w:cs="Times New Roman"/>
                <w:color w:val="000000"/>
                <w:sz w:val="24"/>
                <w:szCs w:val="24"/>
              </w:rPr>
              <w:t>А.В. Белев</w:t>
            </w:r>
          </w:p>
        </w:tc>
      </w:tr>
    </w:tbl>
    <w:p w14:paraId="1BC513AE" w14:textId="77777777" w:rsidR="00005F7D" w:rsidRPr="00CF6876" w:rsidRDefault="00005F7D" w:rsidP="00005F7D">
      <w:pPr>
        <w:spacing w:after="240" w:line="240" w:lineRule="auto"/>
        <w:jc w:val="center"/>
        <w:rPr>
          <w:rFonts w:ascii="Times New Roman" w:eastAsia="Times New Roman" w:hAnsi="Times New Roman" w:cs="Times New Roman"/>
          <w:sz w:val="24"/>
          <w:szCs w:val="24"/>
          <w:lang w:val="ru-RU"/>
        </w:rPr>
      </w:pPr>
      <w:r w:rsidRPr="00F051FC">
        <w:rPr>
          <w:rFonts w:ascii="Times New Roman" w:eastAsia="Times New Roman" w:hAnsi="Times New Roman" w:cs="Times New Roman"/>
          <w:sz w:val="24"/>
          <w:szCs w:val="24"/>
        </w:rPr>
        <w:br/>
      </w:r>
      <w:r w:rsidRPr="00F051FC">
        <w:rPr>
          <w:rFonts w:ascii="Times New Roman" w:eastAsia="Times New Roman" w:hAnsi="Times New Roman" w:cs="Times New Roman"/>
          <w:sz w:val="24"/>
          <w:szCs w:val="24"/>
        </w:rPr>
        <w:br/>
      </w:r>
      <w:r w:rsidRPr="00F051FC">
        <w:rPr>
          <w:rFonts w:ascii="Times New Roman" w:eastAsia="Times New Roman" w:hAnsi="Times New Roman" w:cs="Times New Roman"/>
          <w:sz w:val="24"/>
          <w:szCs w:val="24"/>
        </w:rPr>
        <w:br/>
      </w:r>
      <w:r w:rsidRPr="00F051FC">
        <w:rPr>
          <w:rFonts w:ascii="Times New Roman" w:eastAsia="Times New Roman" w:hAnsi="Times New Roman" w:cs="Times New Roman"/>
          <w:sz w:val="24"/>
          <w:szCs w:val="24"/>
        </w:rPr>
        <w:br/>
      </w:r>
    </w:p>
    <w:p w14:paraId="7290C882" w14:textId="77777777" w:rsidR="00005F7D" w:rsidRPr="00F051FC" w:rsidRDefault="00005F7D" w:rsidP="00005F7D">
      <w:pPr>
        <w:spacing w:after="240" w:line="240" w:lineRule="auto"/>
        <w:jc w:val="center"/>
        <w:rPr>
          <w:rFonts w:ascii="Times New Roman" w:eastAsia="Times New Roman" w:hAnsi="Times New Roman" w:cs="Times New Roman"/>
          <w:sz w:val="24"/>
          <w:szCs w:val="24"/>
        </w:rPr>
      </w:pPr>
    </w:p>
    <w:p w14:paraId="37691C50" w14:textId="77777777" w:rsidR="00005F7D" w:rsidRDefault="00005F7D" w:rsidP="00005F7D">
      <w:pPr>
        <w:spacing w:line="240" w:lineRule="auto"/>
        <w:jc w:val="center"/>
        <w:rPr>
          <w:rFonts w:ascii="Times New Roman" w:eastAsia="Times New Roman" w:hAnsi="Times New Roman" w:cs="Times New Roman"/>
          <w:color w:val="000000"/>
          <w:sz w:val="24"/>
          <w:szCs w:val="24"/>
          <w:lang w:val="ru-RU"/>
        </w:rPr>
      </w:pPr>
    </w:p>
    <w:p w14:paraId="566FF0EB" w14:textId="77777777" w:rsidR="00005F7D" w:rsidRDefault="00005F7D" w:rsidP="00005F7D">
      <w:pPr>
        <w:spacing w:line="240" w:lineRule="auto"/>
        <w:jc w:val="center"/>
        <w:rPr>
          <w:rFonts w:ascii="Times New Roman" w:eastAsia="Times New Roman" w:hAnsi="Times New Roman" w:cs="Times New Roman"/>
          <w:color w:val="000000"/>
          <w:sz w:val="24"/>
          <w:szCs w:val="24"/>
          <w:lang w:val="ru-RU"/>
        </w:rPr>
      </w:pPr>
    </w:p>
    <w:p w14:paraId="1F7A48A1" w14:textId="77777777" w:rsidR="00005F7D" w:rsidRDefault="00005F7D" w:rsidP="00005F7D">
      <w:pPr>
        <w:spacing w:line="240" w:lineRule="auto"/>
        <w:jc w:val="center"/>
        <w:rPr>
          <w:rFonts w:ascii="Times New Roman" w:eastAsia="Times New Roman" w:hAnsi="Times New Roman" w:cs="Times New Roman"/>
          <w:color w:val="000000"/>
          <w:sz w:val="24"/>
          <w:szCs w:val="24"/>
          <w:lang w:val="ru-RU"/>
        </w:rPr>
      </w:pPr>
    </w:p>
    <w:p w14:paraId="3141197D" w14:textId="77777777" w:rsidR="00005F7D" w:rsidRPr="00483C05" w:rsidRDefault="00005F7D" w:rsidP="00005F7D">
      <w:pPr>
        <w:spacing w:line="240" w:lineRule="auto"/>
        <w:jc w:val="center"/>
        <w:rPr>
          <w:rFonts w:ascii="Times New Roman" w:eastAsia="Times New Roman" w:hAnsi="Times New Roman" w:cs="Times New Roman"/>
          <w:color w:val="000000"/>
          <w:sz w:val="24"/>
          <w:szCs w:val="24"/>
          <w:lang w:val="ru-RU"/>
        </w:rPr>
      </w:pPr>
    </w:p>
    <w:p w14:paraId="7173E184" w14:textId="24B0DFD5" w:rsidR="00005F7D" w:rsidRPr="00005F7D" w:rsidRDefault="00005F7D" w:rsidP="00005F7D">
      <w:pPr>
        <w:spacing w:line="240" w:lineRule="auto"/>
        <w:jc w:val="center"/>
        <w:rPr>
          <w:rFonts w:ascii="Times New Roman" w:eastAsia="Times New Roman" w:hAnsi="Times New Roman" w:cs="Times New Roman"/>
          <w:color w:val="000000"/>
          <w:sz w:val="24"/>
          <w:szCs w:val="24"/>
          <w:lang w:val="ru-RU"/>
        </w:rPr>
      </w:pPr>
      <w:r w:rsidRPr="00F051FC">
        <w:rPr>
          <w:rFonts w:ascii="Times New Roman" w:eastAsia="Times New Roman" w:hAnsi="Times New Roman" w:cs="Times New Roman"/>
          <w:color w:val="000000"/>
          <w:sz w:val="24"/>
          <w:szCs w:val="24"/>
        </w:rPr>
        <w:t>Владивосток 2026</w:t>
      </w:r>
    </w:p>
    <w:sdt>
      <w:sdtPr>
        <w:rPr>
          <w:rFonts w:ascii="Calibri" w:eastAsia="Arial" w:hAnsi="Calibri" w:cs="Arial"/>
          <w:color w:val="000000"/>
          <w:sz w:val="22"/>
          <w:szCs w:val="20"/>
          <w:lang w:val="ru"/>
        </w:rPr>
        <w:id w:val="-1832135171"/>
        <w:docPartObj>
          <w:docPartGallery w:val="Table of Contents"/>
          <w:docPartUnique/>
        </w:docPartObj>
      </w:sdtPr>
      <w:sdtEndPr>
        <w:rPr>
          <w:rFonts w:ascii="Arial" w:hAnsi="Arial"/>
          <w:color w:val="434343"/>
          <w:sz w:val="28"/>
          <w:szCs w:val="28"/>
        </w:rPr>
      </w:sdtEndPr>
      <w:sdtContent>
        <w:bookmarkStart w:id="0" w:name="_Hlk231899668" w:displacedByCustomXml="next"/>
        <w:sdt>
          <w:sdtPr>
            <w:rPr>
              <w:rFonts w:ascii="Calibri" w:eastAsia="Arial" w:hAnsi="Calibri" w:cs="Arial"/>
              <w:color w:val="000000"/>
              <w:sz w:val="22"/>
              <w:szCs w:val="20"/>
              <w:lang w:val="ru"/>
            </w:rPr>
            <w:id w:val="-1944293687"/>
            <w:docPartObj>
              <w:docPartGallery w:val="Table of Contents"/>
              <w:docPartUnique/>
            </w:docPartObj>
          </w:sdtPr>
          <w:sdtEndPr>
            <w:rPr>
              <w:rFonts w:ascii="Arial" w:hAnsi="Arial"/>
              <w:color w:val="434343"/>
              <w:sz w:val="28"/>
              <w:szCs w:val="28"/>
            </w:rPr>
          </w:sdtEndPr>
          <w:sdtContent>
            <w:p w14:paraId="06E903D0" w14:textId="7A3FC91E" w:rsidR="00005F7D" w:rsidRDefault="00005F7D" w:rsidP="00005F7D">
              <w:pPr>
                <w:pStyle w:val="a6"/>
                <w:spacing w:before="0" w:after="120" w:line="240" w:lineRule="auto"/>
                <w:rPr>
                  <w:rFonts w:ascii="Arial" w:hAnsi="Arial" w:cs="Arial"/>
                  <w:color w:val="000000" w:themeColor="text1"/>
                  <w:sz w:val="30"/>
                  <w:szCs w:val="30"/>
                </w:rPr>
              </w:pPr>
              <w:r w:rsidRPr="00005F7D">
                <w:rPr>
                  <w:rFonts w:ascii="Calibri" w:hAnsi="Calibri"/>
                  <w:color w:val="000000"/>
                  <w:sz w:val="22"/>
                  <w:szCs w:val="20"/>
                </w:rPr>
                <w:br w:type="column"/>
              </w:r>
              <w:r>
                <w:rPr>
                  <w:rFonts w:ascii="Arial" w:hAnsi="Arial" w:cs="Arial"/>
                  <w:color w:val="000000" w:themeColor="text1"/>
                  <w:sz w:val="30"/>
                  <w:szCs w:val="30"/>
                </w:rPr>
                <w:lastRenderedPageBreak/>
                <w:t>Содержание</w:t>
              </w:r>
            </w:p>
            <w:p w14:paraId="24E4A325" w14:textId="675C7E11" w:rsidR="00564B14" w:rsidRPr="00564B14" w:rsidRDefault="00564B14" w:rsidP="00564B14">
              <w:pPr>
                <w:pStyle w:val="10"/>
              </w:pPr>
              <w:r>
                <w:tab/>
                <w:t>Аннотация</w:t>
              </w:r>
              <w:r w:rsidRPr="00DE277B">
                <w:ptab w:relativeTo="margin" w:alignment="right" w:leader="dot"/>
              </w:r>
              <w:r w:rsidRPr="00DE277B">
                <w:t xml:space="preserve"> </w:t>
              </w:r>
              <w:r>
                <w:t>3</w:t>
              </w:r>
            </w:p>
            <w:p w14:paraId="3443E45B" w14:textId="7DFF95C2" w:rsidR="00005F7D" w:rsidRPr="00A24905" w:rsidRDefault="00005F7D" w:rsidP="00005F7D">
              <w:pPr>
                <w:pStyle w:val="10"/>
              </w:pPr>
              <w:bookmarkStart w:id="1" w:name="_Hlk232196515"/>
              <w:r w:rsidRPr="00DE277B">
                <w:t>Введение</w:t>
              </w:r>
              <w:bookmarkStart w:id="2" w:name="_Hlk232196501"/>
              <w:r w:rsidRPr="00DE277B">
                <w:ptab w:relativeTo="margin" w:alignment="right" w:leader="dot"/>
              </w:r>
              <w:bookmarkEnd w:id="2"/>
              <w:r w:rsidRPr="00DE277B">
                <w:t xml:space="preserve"> </w:t>
              </w:r>
              <w:r w:rsidR="00564B14">
                <w:t>4</w:t>
              </w:r>
            </w:p>
            <w:bookmarkEnd w:id="1"/>
            <w:p w14:paraId="2B9C4DD4" w14:textId="0201E960" w:rsidR="00005F7D" w:rsidRPr="00A24905" w:rsidRDefault="00005F7D" w:rsidP="00005F7D">
              <w:pPr>
                <w:pStyle w:val="20"/>
                <w:ind w:left="0" w:firstLine="709"/>
                <w:rPr>
                  <w:rFonts w:ascii="Times New Roman" w:hAnsi="Times New Roman"/>
                  <w:color w:val="auto"/>
                  <w:sz w:val="28"/>
                  <w:szCs w:val="28"/>
                </w:rPr>
              </w:pPr>
              <w:r w:rsidRPr="00DE277B">
                <w:rPr>
                  <w:rFonts w:ascii="Times New Roman" w:hAnsi="Times New Roman"/>
                  <w:sz w:val="28"/>
                  <w:szCs w:val="28"/>
                </w:rPr>
                <w:t xml:space="preserve">Глава 1. </w:t>
              </w:r>
              <w:r w:rsidRPr="00966E6A">
                <w:rPr>
                  <w:rFonts w:ascii="Times New Roman" w:hAnsi="Times New Roman"/>
                  <w:sz w:val="28"/>
                  <w:szCs w:val="28"/>
                </w:rPr>
                <w:t xml:space="preserve">Теоретические основы триажа инцидентов информационной безопасности в SOC </w:t>
              </w:r>
              <w:r w:rsidRPr="00DE277B">
                <w:rPr>
                  <w:rFonts w:ascii="Times New Roman" w:hAnsi="Times New Roman"/>
                  <w:sz w:val="28"/>
                  <w:szCs w:val="28"/>
                </w:rPr>
                <w:ptab w:relativeTo="margin" w:alignment="right" w:leader="dot"/>
              </w:r>
              <w:r w:rsidRPr="00DE277B">
                <w:rPr>
                  <w:rFonts w:ascii="Times New Roman" w:hAnsi="Times New Roman"/>
                  <w:sz w:val="28"/>
                  <w:szCs w:val="28"/>
                </w:rPr>
                <w:t xml:space="preserve"> </w:t>
              </w:r>
              <w:r w:rsidR="00564B14">
                <w:rPr>
                  <w:rFonts w:ascii="Times New Roman" w:hAnsi="Times New Roman"/>
                  <w:sz w:val="28"/>
                  <w:szCs w:val="28"/>
                </w:rPr>
                <w:t>5</w:t>
              </w:r>
            </w:p>
            <w:p w14:paraId="26627E88" w14:textId="4CD9DBF2" w:rsidR="00005F7D" w:rsidRPr="00A24905" w:rsidRDefault="00005F7D" w:rsidP="00005F7D">
              <w:pPr>
                <w:pStyle w:val="31"/>
                <w:rPr>
                  <w:rFonts w:ascii="Times New Roman" w:hAnsi="Times New Roman"/>
                  <w:sz w:val="28"/>
                  <w:szCs w:val="28"/>
                </w:rPr>
              </w:pPr>
              <w:r w:rsidRPr="00DE277B">
                <w:rPr>
                  <w:rFonts w:ascii="Times New Roman" w:hAnsi="Times New Roman"/>
                  <w:sz w:val="28"/>
                  <w:szCs w:val="28"/>
                </w:rPr>
                <w:t xml:space="preserve">1.1. </w:t>
              </w:r>
              <w:r>
                <w:rPr>
                  <w:rFonts w:ascii="Times New Roman" w:hAnsi="Times New Roman"/>
                  <w:color w:val="0F1115"/>
                  <w:sz w:val="28"/>
                  <w:szCs w:val="28"/>
                  <w:highlight w:val="white"/>
                </w:rPr>
                <w:t>Понятие и место триажа в процессе управления инцидентами ИБ</w:t>
              </w:r>
              <w:r w:rsidRPr="00DE277B">
                <w:rPr>
                  <w:rFonts w:ascii="Times New Roman" w:hAnsi="Times New Roman"/>
                  <w:sz w:val="28"/>
                  <w:szCs w:val="28"/>
                </w:rPr>
                <w:t xml:space="preserve"> </w:t>
              </w:r>
              <w:r w:rsidRPr="00DE277B">
                <w:rPr>
                  <w:rFonts w:ascii="Times New Roman" w:hAnsi="Times New Roman"/>
                  <w:sz w:val="28"/>
                  <w:szCs w:val="28"/>
                </w:rPr>
                <w:ptab w:relativeTo="margin" w:alignment="right" w:leader="dot"/>
              </w:r>
              <w:r w:rsidRPr="00DE277B">
                <w:rPr>
                  <w:rFonts w:ascii="Times New Roman" w:hAnsi="Times New Roman"/>
                  <w:sz w:val="28"/>
                  <w:szCs w:val="28"/>
                </w:rPr>
                <w:t xml:space="preserve"> </w:t>
              </w:r>
              <w:r w:rsidR="00564B14">
                <w:rPr>
                  <w:rFonts w:ascii="Times New Roman" w:hAnsi="Times New Roman"/>
                  <w:sz w:val="28"/>
                  <w:szCs w:val="28"/>
                </w:rPr>
                <w:t>5</w:t>
              </w:r>
            </w:p>
            <w:p w14:paraId="2B9CE9F2" w14:textId="5B611EE2" w:rsidR="00005F7D" w:rsidRPr="00A24905" w:rsidRDefault="00005F7D" w:rsidP="00005F7D">
              <w:pPr>
                <w:pStyle w:val="31"/>
                <w:rPr>
                  <w:rFonts w:ascii="Times New Roman" w:hAnsi="Times New Roman"/>
                  <w:sz w:val="28"/>
                  <w:szCs w:val="28"/>
                </w:rPr>
              </w:pPr>
              <w:r w:rsidRPr="00DE277B">
                <w:rPr>
                  <w:rFonts w:ascii="Times New Roman" w:hAnsi="Times New Roman"/>
                  <w:sz w:val="28"/>
                  <w:szCs w:val="28"/>
                </w:rPr>
                <w:t xml:space="preserve">1.2. </w:t>
              </w:r>
              <w:r>
                <w:rPr>
                  <w:rFonts w:ascii="Times New Roman" w:hAnsi="Times New Roman"/>
                  <w:color w:val="0F1115"/>
                  <w:sz w:val="28"/>
                  <w:szCs w:val="28"/>
                  <w:highlight w:val="white"/>
                </w:rPr>
                <w:t>Цели, задачи и базовые модели триажа</w:t>
              </w:r>
              <w:r>
                <w:rPr>
                  <w:rFonts w:ascii="Times New Roman" w:hAnsi="Times New Roman"/>
                  <w:sz w:val="28"/>
                  <w:szCs w:val="28"/>
                </w:rPr>
                <w:t xml:space="preserve"> </w:t>
              </w:r>
              <w:r w:rsidRPr="00DE277B">
                <w:rPr>
                  <w:rFonts w:ascii="Times New Roman" w:hAnsi="Times New Roman"/>
                  <w:sz w:val="28"/>
                  <w:szCs w:val="28"/>
                </w:rPr>
                <w:ptab w:relativeTo="margin" w:alignment="right" w:leader="dot"/>
              </w:r>
              <w:r w:rsidR="00564B14">
                <w:rPr>
                  <w:rFonts w:ascii="Times New Roman" w:hAnsi="Times New Roman"/>
                  <w:sz w:val="28"/>
                  <w:szCs w:val="28"/>
                </w:rPr>
                <w:t>7</w:t>
              </w:r>
            </w:p>
            <w:p w14:paraId="3DC7A7C8" w14:textId="0660D739" w:rsidR="00005F7D" w:rsidRPr="00A24905" w:rsidRDefault="00005F7D" w:rsidP="00005F7D">
              <w:pPr>
                <w:pStyle w:val="31"/>
                <w:rPr>
                  <w:rFonts w:ascii="Times New Roman" w:hAnsi="Times New Roman"/>
                  <w:sz w:val="28"/>
                  <w:szCs w:val="28"/>
                </w:rPr>
              </w:pPr>
              <w:r w:rsidRPr="00DE277B">
                <w:rPr>
                  <w:rFonts w:ascii="Times New Roman" w:hAnsi="Times New Roman"/>
                  <w:sz w:val="28"/>
                  <w:szCs w:val="28"/>
                </w:rPr>
                <w:t xml:space="preserve">1.3. </w:t>
              </w:r>
              <w:r>
                <w:rPr>
                  <w:rFonts w:ascii="Times New Roman" w:hAnsi="Times New Roman"/>
                  <w:color w:val="0F1115"/>
                  <w:sz w:val="28"/>
                  <w:szCs w:val="28"/>
                  <w:highlight w:val="white"/>
                </w:rPr>
                <w:t>Нормативно-методическая база, регламентирующая процессы триажа</w:t>
              </w:r>
              <w:r>
                <w:rPr>
                  <w:rFonts w:ascii="Times New Roman" w:hAnsi="Times New Roman"/>
                  <w:sz w:val="28"/>
                  <w:szCs w:val="28"/>
                </w:rPr>
                <w:t xml:space="preserve"> </w:t>
              </w:r>
              <w:r w:rsidRPr="00DE277B">
                <w:rPr>
                  <w:rFonts w:ascii="Times New Roman" w:hAnsi="Times New Roman"/>
                  <w:sz w:val="28"/>
                  <w:szCs w:val="28"/>
                </w:rPr>
                <w:ptab w:relativeTo="margin" w:alignment="right" w:leader="dot"/>
              </w:r>
              <w:r w:rsidRPr="00DE277B">
                <w:rPr>
                  <w:rFonts w:ascii="Times New Roman" w:hAnsi="Times New Roman"/>
                  <w:sz w:val="28"/>
                  <w:szCs w:val="28"/>
                </w:rPr>
                <w:t xml:space="preserve"> </w:t>
              </w:r>
              <w:r w:rsidR="00564B14">
                <w:rPr>
                  <w:rFonts w:ascii="Times New Roman" w:hAnsi="Times New Roman"/>
                  <w:sz w:val="28"/>
                  <w:szCs w:val="28"/>
                </w:rPr>
                <w:t>10</w:t>
              </w:r>
            </w:p>
            <w:p w14:paraId="2F7C6658" w14:textId="426E8D8C" w:rsidR="00005F7D" w:rsidRPr="00A24905" w:rsidRDefault="00005F7D" w:rsidP="00005F7D">
              <w:pPr>
                <w:pStyle w:val="31"/>
                <w:rPr>
                  <w:rFonts w:ascii="Times New Roman" w:hAnsi="Times New Roman"/>
                  <w:sz w:val="28"/>
                  <w:szCs w:val="28"/>
                </w:rPr>
              </w:pPr>
              <w:r w:rsidRPr="00DE277B">
                <w:rPr>
                  <w:rFonts w:ascii="Times New Roman" w:hAnsi="Times New Roman"/>
                  <w:sz w:val="28"/>
                  <w:szCs w:val="28"/>
                </w:rPr>
                <w:t xml:space="preserve">1.4. </w:t>
              </w:r>
              <w:r>
                <w:rPr>
                  <w:rFonts w:ascii="Times New Roman" w:hAnsi="Times New Roman"/>
                  <w:color w:val="0F1115"/>
                  <w:sz w:val="28"/>
                  <w:szCs w:val="28"/>
                </w:rPr>
                <w:t>Специфика целей и правового положения государственных SOC</w:t>
              </w:r>
              <w:r w:rsidRPr="00DE277B">
                <w:rPr>
                  <w:rFonts w:ascii="Times New Roman" w:hAnsi="Times New Roman"/>
                  <w:sz w:val="28"/>
                  <w:szCs w:val="28"/>
                </w:rPr>
                <w:ptab w:relativeTo="margin" w:alignment="right" w:leader="dot"/>
              </w:r>
              <w:r w:rsidRPr="00DE277B">
                <w:rPr>
                  <w:rFonts w:ascii="Times New Roman" w:hAnsi="Times New Roman"/>
                  <w:sz w:val="28"/>
                  <w:szCs w:val="28"/>
                </w:rPr>
                <w:t xml:space="preserve"> </w:t>
              </w:r>
              <w:r w:rsidRPr="00DE277B">
                <w:rPr>
                  <w:rFonts w:ascii="Times New Roman" w:hAnsi="Times New Roman"/>
                  <w:sz w:val="28"/>
                  <w:szCs w:val="28"/>
                </w:rPr>
                <w:ptab w:relativeTo="margin" w:alignment="right" w:leader="dot"/>
              </w:r>
              <w:r w:rsidRPr="00DE277B">
                <w:rPr>
                  <w:rFonts w:ascii="Times New Roman" w:hAnsi="Times New Roman"/>
                  <w:sz w:val="28"/>
                  <w:szCs w:val="28"/>
                </w:rPr>
                <w:t xml:space="preserve"> 1</w:t>
              </w:r>
              <w:r w:rsidR="00564B14">
                <w:rPr>
                  <w:rFonts w:ascii="Times New Roman" w:hAnsi="Times New Roman"/>
                  <w:sz w:val="28"/>
                  <w:szCs w:val="28"/>
                </w:rPr>
                <w:t>4</w:t>
              </w:r>
            </w:p>
            <w:p w14:paraId="526F0AC5" w14:textId="5E78D49E" w:rsidR="00005F7D" w:rsidRPr="00A24905" w:rsidRDefault="00005F7D" w:rsidP="00005F7D">
              <w:pPr>
                <w:pStyle w:val="10"/>
              </w:pPr>
              <w:r w:rsidRPr="00DE277B">
                <w:t xml:space="preserve">Глава 2. </w:t>
              </w:r>
              <w:r w:rsidRPr="00966E6A">
                <w:rPr>
                  <w:color w:val="0F1115"/>
                </w:rPr>
                <w:t>Особенности процессов триажа в коммерческих SOC</w:t>
              </w:r>
              <w:r w:rsidRPr="00DE277B">
                <w:t xml:space="preserve"> </w:t>
              </w:r>
              <w:r w:rsidRPr="00DE277B">
                <w:ptab w:relativeTo="margin" w:alignment="right" w:leader="dot"/>
              </w:r>
              <w:r w:rsidRPr="00DE277B">
                <w:t xml:space="preserve"> </w:t>
              </w:r>
              <w:r w:rsidRPr="00A24905">
                <w:rPr>
                  <w:bCs/>
                </w:rPr>
                <w:t>1</w:t>
              </w:r>
              <w:r w:rsidR="00564B14">
                <w:rPr>
                  <w:bCs/>
                </w:rPr>
                <w:t>9</w:t>
              </w:r>
            </w:p>
            <w:p w14:paraId="08FD0861" w14:textId="710C71BA" w:rsidR="00005F7D" w:rsidRPr="00A24905" w:rsidRDefault="00005F7D" w:rsidP="00005F7D">
              <w:pPr>
                <w:pStyle w:val="20"/>
                <w:ind w:left="0" w:firstLine="709"/>
                <w:rPr>
                  <w:rFonts w:ascii="Times New Roman" w:hAnsi="Times New Roman"/>
                  <w:color w:val="auto"/>
                  <w:sz w:val="28"/>
                  <w:szCs w:val="28"/>
                </w:rPr>
              </w:pPr>
              <w:r w:rsidRPr="00DE277B">
                <w:rPr>
                  <w:rFonts w:ascii="Times New Roman" w:hAnsi="Times New Roman"/>
                  <w:sz w:val="28"/>
                  <w:szCs w:val="28"/>
                </w:rPr>
                <w:t xml:space="preserve">2.1. </w:t>
              </w:r>
              <w:r>
                <w:rPr>
                  <w:rFonts w:ascii="Times New Roman" w:hAnsi="Times New Roman"/>
                  <w:color w:val="0F1115"/>
                  <w:sz w:val="28"/>
                  <w:szCs w:val="28"/>
                </w:rPr>
                <w:t>Целевая функция и бизнес-ориентированные критерии приоритезации</w:t>
              </w:r>
              <w:r w:rsidRPr="00DE277B">
                <w:rPr>
                  <w:rFonts w:ascii="Times New Roman" w:hAnsi="Times New Roman"/>
                  <w:sz w:val="28"/>
                  <w:szCs w:val="28"/>
                </w:rPr>
                <w:t xml:space="preserve"> </w:t>
              </w:r>
              <w:r w:rsidRPr="00DE277B">
                <w:rPr>
                  <w:rFonts w:ascii="Times New Roman" w:hAnsi="Times New Roman"/>
                  <w:sz w:val="28"/>
                  <w:szCs w:val="28"/>
                </w:rPr>
                <w:ptab w:relativeTo="margin" w:alignment="right" w:leader="dot"/>
              </w:r>
              <w:r w:rsidRPr="00DE277B">
                <w:rPr>
                  <w:rFonts w:ascii="Times New Roman" w:hAnsi="Times New Roman"/>
                  <w:sz w:val="28"/>
                  <w:szCs w:val="28"/>
                </w:rPr>
                <w:t xml:space="preserve"> </w:t>
              </w:r>
              <w:r w:rsidRPr="00A24905">
                <w:rPr>
                  <w:rFonts w:ascii="Times New Roman" w:hAnsi="Times New Roman"/>
                  <w:sz w:val="28"/>
                  <w:szCs w:val="28"/>
                </w:rPr>
                <w:t>1</w:t>
              </w:r>
              <w:r w:rsidR="00564B14">
                <w:rPr>
                  <w:rFonts w:ascii="Times New Roman" w:hAnsi="Times New Roman"/>
                  <w:sz w:val="28"/>
                  <w:szCs w:val="28"/>
                </w:rPr>
                <w:t>9</w:t>
              </w:r>
            </w:p>
            <w:p w14:paraId="6E37186C" w14:textId="1191FB41" w:rsidR="00005F7D" w:rsidRPr="00A24905" w:rsidRDefault="00005F7D" w:rsidP="00005F7D">
              <w:pPr>
                <w:pStyle w:val="31"/>
                <w:rPr>
                  <w:rFonts w:ascii="Times New Roman" w:hAnsi="Times New Roman"/>
                  <w:sz w:val="28"/>
                  <w:szCs w:val="28"/>
                </w:rPr>
              </w:pPr>
              <w:r w:rsidRPr="00DE277B">
                <w:rPr>
                  <w:rFonts w:ascii="Times New Roman" w:hAnsi="Times New Roman"/>
                  <w:sz w:val="28"/>
                  <w:szCs w:val="28"/>
                </w:rPr>
                <w:t xml:space="preserve">2.2. </w:t>
              </w:r>
              <w:r>
                <w:rPr>
                  <w:rFonts w:ascii="Times New Roman" w:hAnsi="Times New Roman"/>
                  <w:color w:val="0F1115"/>
                  <w:sz w:val="28"/>
                  <w:szCs w:val="28"/>
                  <w:highlight w:val="white"/>
                </w:rPr>
                <w:t>Организационная структура и инструментальный стек</w:t>
              </w:r>
              <w:r>
                <w:rPr>
                  <w:rFonts w:ascii="Times New Roman" w:hAnsi="Times New Roman"/>
                  <w:sz w:val="28"/>
                  <w:szCs w:val="28"/>
                </w:rPr>
                <w:t xml:space="preserve"> </w:t>
              </w:r>
              <w:r w:rsidRPr="00DE277B">
                <w:rPr>
                  <w:rFonts w:ascii="Times New Roman" w:hAnsi="Times New Roman"/>
                  <w:sz w:val="28"/>
                  <w:szCs w:val="28"/>
                </w:rPr>
                <w:ptab w:relativeTo="margin" w:alignment="right" w:leader="dot"/>
              </w:r>
              <w:r w:rsidRPr="00DE277B">
                <w:rPr>
                  <w:rFonts w:ascii="Times New Roman" w:hAnsi="Times New Roman"/>
                  <w:sz w:val="28"/>
                  <w:szCs w:val="28"/>
                </w:rPr>
                <w:t>2</w:t>
              </w:r>
              <w:r w:rsidR="00564B14">
                <w:rPr>
                  <w:rFonts w:ascii="Times New Roman" w:hAnsi="Times New Roman"/>
                  <w:sz w:val="28"/>
                  <w:szCs w:val="28"/>
                </w:rPr>
                <w:t>5</w:t>
              </w:r>
            </w:p>
            <w:p w14:paraId="52B0E75C" w14:textId="2B4147FA" w:rsidR="00005F7D" w:rsidRPr="0099515A" w:rsidRDefault="00005F7D" w:rsidP="00005F7D">
              <w:pPr>
                <w:pStyle w:val="31"/>
                <w:rPr>
                  <w:rFonts w:ascii="Times New Roman" w:hAnsi="Times New Roman"/>
                  <w:sz w:val="28"/>
                  <w:szCs w:val="28"/>
                </w:rPr>
              </w:pPr>
              <w:r w:rsidRPr="00DE277B">
                <w:rPr>
                  <w:rFonts w:ascii="Times New Roman" w:hAnsi="Times New Roman"/>
                  <w:sz w:val="28"/>
                  <w:szCs w:val="28"/>
                </w:rPr>
                <w:t xml:space="preserve">2.3. </w:t>
              </w:r>
              <w:r>
                <w:rPr>
                  <w:rFonts w:ascii="Times New Roman" w:hAnsi="Times New Roman"/>
                  <w:color w:val="0F1115"/>
                  <w:sz w:val="28"/>
                  <w:szCs w:val="28"/>
                  <w:highlight w:val="white"/>
                </w:rPr>
                <w:t>Нормативное давление и обязательные процедуры триажа</w:t>
              </w:r>
              <w:r>
                <w:rPr>
                  <w:rFonts w:ascii="Times New Roman" w:hAnsi="Times New Roman"/>
                  <w:sz w:val="28"/>
                  <w:szCs w:val="28"/>
                </w:rPr>
                <w:t xml:space="preserve"> </w:t>
              </w:r>
              <w:r w:rsidRPr="00DE277B">
                <w:rPr>
                  <w:rFonts w:ascii="Times New Roman" w:hAnsi="Times New Roman"/>
                  <w:sz w:val="28"/>
                  <w:szCs w:val="28"/>
                </w:rPr>
                <w:ptab w:relativeTo="margin" w:alignment="right" w:leader="dot"/>
              </w:r>
              <w:r w:rsidRPr="0099515A">
                <w:rPr>
                  <w:rFonts w:ascii="Times New Roman" w:hAnsi="Times New Roman"/>
                  <w:sz w:val="28"/>
                  <w:szCs w:val="28"/>
                </w:rPr>
                <w:t>3</w:t>
              </w:r>
              <w:r w:rsidR="00564B14">
                <w:rPr>
                  <w:rFonts w:ascii="Times New Roman" w:hAnsi="Times New Roman"/>
                  <w:sz w:val="28"/>
                  <w:szCs w:val="28"/>
                </w:rPr>
                <w:t>2</w:t>
              </w:r>
            </w:p>
            <w:p w14:paraId="67A8A5A3" w14:textId="41D469E1" w:rsidR="00005F7D" w:rsidRPr="00DE277B" w:rsidRDefault="00005F7D" w:rsidP="00005F7D">
              <w:pPr>
                <w:pStyle w:val="31"/>
                <w:rPr>
                  <w:rFonts w:ascii="Times New Roman" w:hAnsi="Times New Roman"/>
                  <w:sz w:val="28"/>
                  <w:szCs w:val="28"/>
                </w:rPr>
              </w:pPr>
              <w:r w:rsidRPr="00DE277B">
                <w:rPr>
                  <w:rFonts w:ascii="Times New Roman" w:hAnsi="Times New Roman"/>
                  <w:sz w:val="28"/>
                  <w:szCs w:val="28"/>
                </w:rPr>
                <w:t xml:space="preserve">Заключение </w:t>
              </w:r>
              <w:r w:rsidRPr="00DE277B">
                <w:rPr>
                  <w:rFonts w:ascii="Times New Roman" w:hAnsi="Times New Roman"/>
                  <w:sz w:val="28"/>
                  <w:szCs w:val="28"/>
                </w:rPr>
                <w:ptab w:relativeTo="margin" w:alignment="right" w:leader="dot"/>
              </w:r>
              <w:r w:rsidRPr="00DE277B">
                <w:rPr>
                  <w:rFonts w:ascii="Times New Roman" w:hAnsi="Times New Roman"/>
                  <w:sz w:val="28"/>
                  <w:szCs w:val="28"/>
                </w:rPr>
                <w:t>3</w:t>
              </w:r>
              <w:r w:rsidR="00564B14">
                <w:rPr>
                  <w:rFonts w:ascii="Times New Roman" w:hAnsi="Times New Roman"/>
                  <w:sz w:val="28"/>
                  <w:szCs w:val="28"/>
                </w:rPr>
                <w:t>7</w:t>
              </w:r>
            </w:p>
            <w:p w14:paraId="4BE749A9" w14:textId="3C54E970" w:rsidR="00005F7D" w:rsidRDefault="00005F7D" w:rsidP="00005F7D">
              <w:pPr>
                <w:pStyle w:val="3"/>
                <w:keepNext w:val="0"/>
                <w:keepLines w:val="0"/>
                <w:shd w:val="clear" w:color="auto" w:fill="FFFFFF"/>
                <w:spacing w:before="0" w:after="240" w:line="240" w:lineRule="auto"/>
                <w:ind w:left="709"/>
                <w:jc w:val="both"/>
                <w:rPr>
                  <w:rFonts w:eastAsiaTheme="minorHAnsi" w:cstheme="minorBidi"/>
                  <w:color w:val="auto"/>
                  <w:sz w:val="24"/>
                  <w:szCs w:val="24"/>
                </w:rPr>
              </w:pPr>
              <w:r w:rsidRPr="00423E6F">
                <w:rPr>
                  <w:rFonts w:ascii="Times New Roman" w:eastAsia="Calibri" w:hAnsi="Times New Roman"/>
                  <w:color w:val="auto"/>
                </w:rPr>
                <w:t>Список использованных источников</w:t>
              </w:r>
              <w:r w:rsidRPr="00423E6F">
                <w:rPr>
                  <w:rFonts w:ascii="Times New Roman" w:hAnsi="Times New Roman"/>
                  <w:color w:val="auto"/>
                </w:rPr>
                <w:t xml:space="preserve"> </w:t>
              </w:r>
              <w:r w:rsidRPr="00423E6F">
                <w:rPr>
                  <w:rFonts w:ascii="Times New Roman" w:hAnsi="Times New Roman"/>
                  <w:color w:val="auto"/>
                </w:rPr>
                <w:ptab w:relativeTo="margin" w:alignment="right" w:leader="dot"/>
              </w:r>
              <w:r w:rsidR="00564B14">
                <w:rPr>
                  <w:rFonts w:ascii="Times New Roman" w:hAnsi="Times New Roman"/>
                  <w:color w:val="auto"/>
                  <w:lang w:val="ru-RU"/>
                </w:rPr>
                <w:t>40</w:t>
              </w:r>
            </w:p>
          </w:sdtContent>
        </w:sdt>
        <w:bookmarkEnd w:id="0" w:displacedByCustomXml="next"/>
      </w:sdtContent>
    </w:sdt>
    <w:p w14:paraId="40F93EDB" w14:textId="0301C45F" w:rsidR="00005F7D" w:rsidRDefault="00005F7D" w:rsidP="00EB1453">
      <w:pPr>
        <w:pStyle w:val="3"/>
        <w:keepNext w:val="0"/>
        <w:keepLines w:val="0"/>
        <w:shd w:val="clear" w:color="auto" w:fill="FFFFFF"/>
        <w:spacing w:before="0" w:after="240" w:line="240" w:lineRule="auto"/>
        <w:jc w:val="center"/>
        <w:rPr>
          <w:rFonts w:eastAsia="Times New Roman"/>
          <w:color w:val="0F1115"/>
          <w:sz w:val="30"/>
          <w:szCs w:val="30"/>
          <w:lang w:val="ru-RU"/>
        </w:rPr>
      </w:pPr>
    </w:p>
    <w:p w14:paraId="08901E9F" w14:textId="77777777" w:rsidR="00005F7D" w:rsidRDefault="00005F7D" w:rsidP="00EB1453">
      <w:pPr>
        <w:pStyle w:val="3"/>
        <w:keepNext w:val="0"/>
        <w:keepLines w:val="0"/>
        <w:shd w:val="clear" w:color="auto" w:fill="FFFFFF"/>
        <w:spacing w:before="0" w:after="240" w:line="240" w:lineRule="auto"/>
        <w:jc w:val="center"/>
        <w:rPr>
          <w:rFonts w:eastAsia="Times New Roman"/>
          <w:color w:val="0F1115"/>
          <w:sz w:val="30"/>
          <w:szCs w:val="30"/>
          <w:lang w:val="ru-RU"/>
        </w:rPr>
      </w:pPr>
    </w:p>
    <w:p w14:paraId="64B56EB3" w14:textId="77777777" w:rsidR="00005F7D" w:rsidRDefault="00005F7D" w:rsidP="00EB1453">
      <w:pPr>
        <w:pStyle w:val="3"/>
        <w:keepNext w:val="0"/>
        <w:keepLines w:val="0"/>
        <w:shd w:val="clear" w:color="auto" w:fill="FFFFFF"/>
        <w:spacing w:before="0" w:after="240" w:line="240" w:lineRule="auto"/>
        <w:jc w:val="center"/>
        <w:rPr>
          <w:rFonts w:eastAsia="Times New Roman"/>
          <w:color w:val="0F1115"/>
          <w:sz w:val="30"/>
          <w:szCs w:val="30"/>
          <w:lang w:val="ru-RU"/>
        </w:rPr>
      </w:pPr>
    </w:p>
    <w:p w14:paraId="77D955FE" w14:textId="77777777" w:rsidR="00005F7D" w:rsidRDefault="00005F7D" w:rsidP="00EB1453">
      <w:pPr>
        <w:pStyle w:val="3"/>
        <w:keepNext w:val="0"/>
        <w:keepLines w:val="0"/>
        <w:shd w:val="clear" w:color="auto" w:fill="FFFFFF"/>
        <w:spacing w:before="0" w:after="240" w:line="240" w:lineRule="auto"/>
        <w:jc w:val="center"/>
        <w:rPr>
          <w:rFonts w:eastAsia="Times New Roman"/>
          <w:color w:val="0F1115"/>
          <w:sz w:val="30"/>
          <w:szCs w:val="30"/>
          <w:lang w:val="ru-RU"/>
        </w:rPr>
      </w:pPr>
    </w:p>
    <w:p w14:paraId="06CD2563" w14:textId="77777777" w:rsidR="00005F7D" w:rsidRDefault="00005F7D" w:rsidP="00EB1453">
      <w:pPr>
        <w:pStyle w:val="3"/>
        <w:keepNext w:val="0"/>
        <w:keepLines w:val="0"/>
        <w:shd w:val="clear" w:color="auto" w:fill="FFFFFF"/>
        <w:spacing w:before="0" w:after="240" w:line="240" w:lineRule="auto"/>
        <w:jc w:val="center"/>
        <w:rPr>
          <w:rFonts w:eastAsia="Times New Roman"/>
          <w:color w:val="0F1115"/>
          <w:sz w:val="30"/>
          <w:szCs w:val="30"/>
          <w:lang w:val="ru-RU"/>
        </w:rPr>
      </w:pPr>
    </w:p>
    <w:p w14:paraId="722DA355" w14:textId="77777777" w:rsidR="00005F7D" w:rsidRDefault="00005F7D" w:rsidP="00EB1453">
      <w:pPr>
        <w:pStyle w:val="3"/>
        <w:keepNext w:val="0"/>
        <w:keepLines w:val="0"/>
        <w:shd w:val="clear" w:color="auto" w:fill="FFFFFF"/>
        <w:spacing w:before="0" w:after="240" w:line="240" w:lineRule="auto"/>
        <w:jc w:val="center"/>
        <w:rPr>
          <w:rFonts w:eastAsia="Times New Roman"/>
          <w:color w:val="0F1115"/>
          <w:sz w:val="30"/>
          <w:szCs w:val="30"/>
          <w:lang w:val="ru-RU"/>
        </w:rPr>
      </w:pPr>
    </w:p>
    <w:p w14:paraId="09EE0F0B" w14:textId="77777777" w:rsidR="00044A1E" w:rsidRPr="00A87D70" w:rsidRDefault="00044A1E" w:rsidP="00044A1E">
      <w:pPr>
        <w:pStyle w:val="ds-markdown-paragraph"/>
        <w:shd w:val="clear" w:color="auto" w:fill="FFFFFF"/>
        <w:spacing w:before="240" w:beforeAutospacing="0" w:after="240" w:afterAutospacing="0"/>
        <w:rPr>
          <w:color w:val="0F1115"/>
          <w:sz w:val="28"/>
          <w:szCs w:val="28"/>
        </w:rPr>
      </w:pPr>
    </w:p>
    <w:p w14:paraId="2FE16A06" w14:textId="77777777" w:rsidR="00044A1E" w:rsidRPr="00F70ED8" w:rsidRDefault="00044A1E" w:rsidP="00F70ED8">
      <w:pPr>
        <w:pStyle w:val="ds-markdown-paragraph"/>
        <w:shd w:val="clear" w:color="auto" w:fill="FFFFFF"/>
        <w:spacing w:before="240" w:beforeAutospacing="0" w:after="240" w:afterAutospacing="0"/>
        <w:jc w:val="both"/>
        <w:rPr>
          <w:rFonts w:ascii="Arial" w:hAnsi="Arial" w:cs="Arial"/>
          <w:sz w:val="30"/>
          <w:szCs w:val="30"/>
        </w:rPr>
      </w:pPr>
      <w:r w:rsidRPr="00F70ED8">
        <w:rPr>
          <w:rStyle w:val="ab"/>
          <w:rFonts w:ascii="Arial" w:hAnsi="Arial" w:cs="Arial"/>
          <w:b w:val="0"/>
          <w:bCs w:val="0"/>
          <w:sz w:val="30"/>
          <w:szCs w:val="30"/>
        </w:rPr>
        <w:t>Аннотация</w:t>
      </w:r>
    </w:p>
    <w:p w14:paraId="14458BF7" w14:textId="169F0D84" w:rsidR="00044A1E" w:rsidRPr="000C2B86" w:rsidRDefault="00044A1E" w:rsidP="000C2B86">
      <w:pPr>
        <w:spacing w:line="360" w:lineRule="auto"/>
        <w:ind w:firstLine="720"/>
        <w:rPr>
          <w:rFonts w:ascii="Times New Roman" w:hAnsi="Times New Roman" w:cs="Times New Roman"/>
          <w:sz w:val="28"/>
          <w:szCs w:val="28"/>
        </w:rPr>
      </w:pPr>
      <w:r w:rsidRPr="000C2B86">
        <w:rPr>
          <w:rFonts w:ascii="Times New Roman" w:hAnsi="Times New Roman" w:cs="Times New Roman"/>
          <w:sz w:val="28"/>
          <w:szCs w:val="28"/>
        </w:rPr>
        <w:t xml:space="preserve">Тема работы посвящена сравнению процессов триажа (первичной сортировки) инцидентов информационной безопасности в коммерческих и государственных центрах мониторинга </w:t>
      </w:r>
      <w:r w:rsidRPr="000C2B86">
        <w:rPr>
          <w:rFonts w:ascii="Times New Roman" w:hAnsi="Times New Roman" w:cs="Times New Roman"/>
          <w:sz w:val="28"/>
          <w:szCs w:val="28"/>
          <w:lang w:val="ru-RU"/>
        </w:rPr>
        <w:t>-</w:t>
      </w:r>
      <w:r w:rsidRPr="000C2B86">
        <w:rPr>
          <w:rFonts w:ascii="Times New Roman" w:hAnsi="Times New Roman" w:cs="Times New Roman"/>
          <w:sz w:val="28"/>
          <w:szCs w:val="28"/>
        </w:rPr>
        <w:t xml:space="preserve"> SOC. Актуальность обусловлена тем, что от качества триажа напрямую зависят скорость обнаружения атак и эффективность реагирования, а подходы к его организации в бизнесе и госсекторе существенно различаются.</w:t>
      </w:r>
    </w:p>
    <w:p w14:paraId="4B174D82" w14:textId="10214A24" w:rsidR="00044A1E" w:rsidRPr="000C2B86" w:rsidRDefault="00044A1E" w:rsidP="000C2B86">
      <w:pPr>
        <w:spacing w:line="360" w:lineRule="auto"/>
        <w:ind w:firstLine="720"/>
        <w:rPr>
          <w:rFonts w:ascii="Times New Roman" w:hAnsi="Times New Roman" w:cs="Times New Roman"/>
          <w:sz w:val="28"/>
          <w:szCs w:val="28"/>
        </w:rPr>
      </w:pPr>
      <w:r w:rsidRPr="000C2B86">
        <w:rPr>
          <w:rFonts w:ascii="Times New Roman" w:hAnsi="Times New Roman" w:cs="Times New Roman"/>
          <w:sz w:val="28"/>
          <w:szCs w:val="28"/>
        </w:rPr>
        <w:t xml:space="preserve">В ходе исследования раскрыто понятие триажа, его место в жизненном цикле управления инцидентами, рассмотрены нормативные основы (NIST, ISO/IEC 27035, 187-ФЗ, приказы ФСТЭК, регламенты НКЦКИ). Основное внимание уделено сравнительному анализу: определены целевые функции, критерии приоритезации, организационные структуры и инструментальные стеки, характерные для коммерческих и государственных SOC. Выявлено, что коммерческий SOC ориентирован на минимизацию финансовых потерь и соблюдение SLA, тогда как государственный </w:t>
      </w:r>
      <w:r w:rsidRPr="000C2B86">
        <w:rPr>
          <w:rFonts w:ascii="Times New Roman" w:hAnsi="Times New Roman" w:cs="Times New Roman"/>
          <w:sz w:val="28"/>
          <w:szCs w:val="28"/>
          <w:lang w:val="ru-RU"/>
        </w:rPr>
        <w:t>-</w:t>
      </w:r>
      <w:r w:rsidRPr="000C2B86">
        <w:rPr>
          <w:rFonts w:ascii="Times New Roman" w:hAnsi="Times New Roman" w:cs="Times New Roman"/>
          <w:sz w:val="28"/>
          <w:szCs w:val="28"/>
        </w:rPr>
        <w:t xml:space="preserve"> на обеспечение национальной безопасности и жёсткое соблюдение нормативных требований.</w:t>
      </w:r>
    </w:p>
    <w:p w14:paraId="580558B4" w14:textId="77777777" w:rsidR="00044A1E" w:rsidRPr="000C2B86" w:rsidRDefault="00044A1E" w:rsidP="000C2B86">
      <w:pPr>
        <w:spacing w:line="360" w:lineRule="auto"/>
        <w:ind w:firstLine="720"/>
        <w:rPr>
          <w:rFonts w:ascii="Times New Roman" w:hAnsi="Times New Roman" w:cs="Times New Roman"/>
          <w:sz w:val="28"/>
          <w:szCs w:val="28"/>
        </w:rPr>
      </w:pPr>
      <w:r w:rsidRPr="000C2B86">
        <w:rPr>
          <w:rFonts w:ascii="Times New Roman" w:hAnsi="Times New Roman" w:cs="Times New Roman"/>
          <w:sz w:val="28"/>
          <w:szCs w:val="28"/>
        </w:rPr>
        <w:t>На основе сопоставления предложены рекомендации по гармонизации подходов: внедрение элементов SLA-культуры в госсекторе и встраивание процедур обязательного госоповещения в коммерческие SOC. Работа может быть полезна при проектировании процессов триажа в SOC смешанного типа и подготовке аналитиков первой линии.</w:t>
      </w:r>
    </w:p>
    <w:p w14:paraId="5156AF4C" w14:textId="77777777" w:rsidR="00044A1E" w:rsidRPr="00044A1E" w:rsidRDefault="00044A1E" w:rsidP="00F70ED8">
      <w:pPr>
        <w:pStyle w:val="ds-markdown-paragraph"/>
        <w:shd w:val="clear" w:color="auto" w:fill="FFFFFF"/>
        <w:spacing w:before="240" w:beforeAutospacing="0" w:after="240" w:afterAutospacing="0"/>
        <w:jc w:val="both"/>
        <w:rPr>
          <w:color w:val="0F1115"/>
          <w:sz w:val="28"/>
          <w:szCs w:val="28"/>
        </w:rPr>
      </w:pPr>
    </w:p>
    <w:p w14:paraId="7A0014A7" w14:textId="77777777" w:rsidR="00044A1E" w:rsidRPr="00044A1E" w:rsidRDefault="00044A1E" w:rsidP="00F70ED8">
      <w:pPr>
        <w:pStyle w:val="ds-markdown-paragraph"/>
        <w:shd w:val="clear" w:color="auto" w:fill="FFFFFF"/>
        <w:spacing w:before="240" w:beforeAutospacing="0" w:after="240" w:afterAutospacing="0"/>
        <w:jc w:val="both"/>
        <w:rPr>
          <w:color w:val="0F1115"/>
          <w:sz w:val="28"/>
          <w:szCs w:val="28"/>
        </w:rPr>
      </w:pPr>
    </w:p>
    <w:p w14:paraId="5FE473B5" w14:textId="77777777" w:rsidR="00044A1E" w:rsidRPr="00044A1E" w:rsidRDefault="00044A1E" w:rsidP="00F70ED8">
      <w:pPr>
        <w:pStyle w:val="ds-markdown-paragraph"/>
        <w:shd w:val="clear" w:color="auto" w:fill="FFFFFF"/>
        <w:spacing w:before="240" w:beforeAutospacing="0" w:after="240" w:afterAutospacing="0"/>
        <w:jc w:val="both"/>
        <w:rPr>
          <w:color w:val="0F1115"/>
          <w:sz w:val="28"/>
          <w:szCs w:val="28"/>
        </w:rPr>
      </w:pPr>
    </w:p>
    <w:p w14:paraId="7407B712" w14:textId="77777777" w:rsidR="00044A1E" w:rsidRPr="000C2B86" w:rsidRDefault="00044A1E" w:rsidP="00F70ED8">
      <w:pPr>
        <w:pStyle w:val="ds-markdown-paragraph"/>
        <w:shd w:val="clear" w:color="auto" w:fill="FFFFFF"/>
        <w:spacing w:before="240" w:beforeAutospacing="0" w:after="240" w:afterAutospacing="0"/>
        <w:jc w:val="both"/>
        <w:rPr>
          <w:color w:val="0F1115"/>
          <w:sz w:val="28"/>
          <w:szCs w:val="28"/>
        </w:rPr>
      </w:pPr>
    </w:p>
    <w:p w14:paraId="0C91F106" w14:textId="2605ADDD" w:rsidR="00044A1E" w:rsidRPr="00A87D70" w:rsidRDefault="00044A1E" w:rsidP="00F70ED8">
      <w:pPr>
        <w:pStyle w:val="ds-markdown-paragraph"/>
        <w:shd w:val="clear" w:color="auto" w:fill="FFFFFF"/>
        <w:spacing w:before="240" w:beforeAutospacing="0" w:after="240" w:afterAutospacing="0"/>
        <w:jc w:val="both"/>
        <w:rPr>
          <w:rFonts w:ascii="Arial" w:hAnsi="Arial" w:cs="Arial"/>
          <w:color w:val="0F1115"/>
          <w:sz w:val="30"/>
          <w:szCs w:val="30"/>
        </w:rPr>
      </w:pPr>
      <w:r w:rsidRPr="00F70ED8">
        <w:rPr>
          <w:rFonts w:ascii="Arial" w:hAnsi="Arial" w:cs="Arial"/>
          <w:color w:val="0F1115"/>
          <w:sz w:val="30"/>
          <w:szCs w:val="30"/>
        </w:rPr>
        <w:lastRenderedPageBreak/>
        <w:t>Введение</w:t>
      </w:r>
    </w:p>
    <w:p w14:paraId="440AE161" w14:textId="218BD5B3" w:rsidR="00044A1E" w:rsidRPr="000C2B86" w:rsidRDefault="00044A1E" w:rsidP="000C2B86">
      <w:pPr>
        <w:spacing w:line="360" w:lineRule="auto"/>
        <w:ind w:firstLine="720"/>
        <w:jc w:val="both"/>
        <w:rPr>
          <w:rFonts w:ascii="Times New Roman" w:hAnsi="Times New Roman" w:cs="Times New Roman"/>
          <w:sz w:val="28"/>
          <w:szCs w:val="28"/>
        </w:rPr>
      </w:pPr>
      <w:r w:rsidRPr="000C2B86">
        <w:rPr>
          <w:rFonts w:ascii="Times New Roman" w:hAnsi="Times New Roman" w:cs="Times New Roman"/>
          <w:sz w:val="28"/>
          <w:szCs w:val="28"/>
        </w:rPr>
        <w:t>Современный ландшафт киберугроз вынуждает организации независимо от формы собственности выстраивать оперативное обнаружение инцидентов и реагирование на них. Ключевая роль здесь отводится центрам мониторинга информационной безопасности - Security Operation Centers (SOC). Именно в SOC потоки сигналов от средств защиты проходят первичную обработку, от качества которой зависит, будет ли атака своевременно купирована. Эта обработка получила название «триаж» - по аналогии с медицинской сортировкой, где от быстрого решения зависит приоритет оказания помощи.</w:t>
      </w:r>
    </w:p>
    <w:p w14:paraId="7075149C" w14:textId="77777777" w:rsidR="00044A1E" w:rsidRPr="000C2B86" w:rsidRDefault="00044A1E" w:rsidP="000C2B86">
      <w:pPr>
        <w:spacing w:line="360" w:lineRule="auto"/>
        <w:ind w:firstLine="720"/>
        <w:jc w:val="both"/>
        <w:rPr>
          <w:rFonts w:ascii="Times New Roman" w:hAnsi="Times New Roman" w:cs="Times New Roman"/>
          <w:sz w:val="28"/>
          <w:szCs w:val="28"/>
        </w:rPr>
      </w:pPr>
      <w:r w:rsidRPr="000C2B86">
        <w:rPr>
          <w:rFonts w:ascii="Times New Roman" w:hAnsi="Times New Roman" w:cs="Times New Roman"/>
          <w:sz w:val="28"/>
          <w:szCs w:val="28"/>
        </w:rPr>
        <w:t>При внешней технической схожести реальное наполнение триажа кардинально различается в зависимости от того, работает SOC в интересах бизнеса или государства. Коммерческий центр вынужден соизмерять каждый шаг с экономической целесообразностью, контрактными условиями и ожидаемыми финансовыми потерями. Государственный SOC руководствуется императивами национальной безопасности, требованиями законодательства о критической информационной инфраструктуре и жёсткой вертикалью уведомлений. Приоритет в первом случае определяется стоимостью часа простоя бизнес-процесса, во втором - категорией объекта КИИ и предписаниями ФСТЭК. Эти различия носят сущностный характер и влияют на штатную структуру, квалификацию персонала, уровень автоматизации и допустимую долю ложных эскалаций.</w:t>
      </w:r>
    </w:p>
    <w:p w14:paraId="2738DFAB" w14:textId="4C0F20DF" w:rsidR="00044A1E" w:rsidRPr="000C2B86" w:rsidRDefault="00044A1E" w:rsidP="000C2B86">
      <w:pPr>
        <w:spacing w:line="360" w:lineRule="auto"/>
        <w:jc w:val="both"/>
        <w:rPr>
          <w:rFonts w:ascii="Times New Roman" w:eastAsia="Times New Roman" w:hAnsi="Times New Roman" w:cs="Times New Roman"/>
          <w:sz w:val="28"/>
          <w:szCs w:val="28"/>
          <w:lang w:val="ru-RU"/>
        </w:rPr>
      </w:pPr>
      <w:r w:rsidRPr="000C2B86">
        <w:rPr>
          <w:rFonts w:ascii="Times New Roman" w:hAnsi="Times New Roman" w:cs="Times New Roman"/>
          <w:sz w:val="28"/>
          <w:szCs w:val="28"/>
        </w:rPr>
        <w:t>Цель настоящей работы - провести сравнительный анализ процессов триажа в коммерческих и государственных SOC, выявить причины различий и предложить направления гармонизации подходов.</w:t>
      </w:r>
    </w:p>
    <w:p w14:paraId="5280B3AF" w14:textId="77777777" w:rsidR="00044A1E" w:rsidRPr="00A87D70" w:rsidRDefault="00044A1E" w:rsidP="00EB1453">
      <w:pPr>
        <w:pStyle w:val="3"/>
        <w:keepNext w:val="0"/>
        <w:keepLines w:val="0"/>
        <w:shd w:val="clear" w:color="auto" w:fill="FFFFFF"/>
        <w:spacing w:before="0" w:after="240" w:line="240" w:lineRule="auto"/>
        <w:jc w:val="center"/>
        <w:rPr>
          <w:rFonts w:eastAsia="Times New Roman"/>
          <w:color w:val="0F1115"/>
          <w:sz w:val="30"/>
          <w:szCs w:val="30"/>
          <w:lang w:val="ru-RU"/>
        </w:rPr>
      </w:pPr>
    </w:p>
    <w:p w14:paraId="6CA13C4B" w14:textId="77777777" w:rsidR="00044A1E" w:rsidRPr="00A87D70" w:rsidRDefault="00044A1E" w:rsidP="00044A1E">
      <w:pPr>
        <w:rPr>
          <w:lang w:val="ru-RU"/>
        </w:rPr>
      </w:pPr>
    </w:p>
    <w:p w14:paraId="233A79F9" w14:textId="77777777" w:rsidR="00044A1E" w:rsidRPr="00A87D70" w:rsidRDefault="00044A1E" w:rsidP="00044A1E">
      <w:pPr>
        <w:rPr>
          <w:lang w:val="ru-RU"/>
        </w:rPr>
      </w:pPr>
    </w:p>
    <w:p w14:paraId="4F5E6F1F" w14:textId="77777777" w:rsidR="00044A1E" w:rsidRPr="000C2B86" w:rsidRDefault="00044A1E" w:rsidP="000C2B86">
      <w:pPr>
        <w:pStyle w:val="3"/>
        <w:keepNext w:val="0"/>
        <w:keepLines w:val="0"/>
        <w:shd w:val="clear" w:color="auto" w:fill="FFFFFF"/>
        <w:spacing w:before="0" w:after="240" w:line="240" w:lineRule="auto"/>
        <w:rPr>
          <w:rFonts w:eastAsia="Times New Roman"/>
          <w:color w:val="0F1115"/>
          <w:sz w:val="30"/>
          <w:szCs w:val="30"/>
          <w:lang w:val="ru-RU"/>
        </w:rPr>
      </w:pPr>
    </w:p>
    <w:p w14:paraId="302F20E9" w14:textId="679AFA25" w:rsidR="00D5196B" w:rsidRPr="00BC7E96" w:rsidRDefault="00D5196B" w:rsidP="00EB1453">
      <w:pPr>
        <w:pStyle w:val="3"/>
        <w:keepNext w:val="0"/>
        <w:keepLines w:val="0"/>
        <w:shd w:val="clear" w:color="auto" w:fill="FFFFFF"/>
        <w:spacing w:before="0" w:after="240" w:line="240" w:lineRule="auto"/>
        <w:jc w:val="center"/>
        <w:rPr>
          <w:rFonts w:eastAsia="Times New Roman"/>
          <w:color w:val="FF0000"/>
          <w:sz w:val="30"/>
          <w:szCs w:val="30"/>
          <w:lang w:val="ru-RU"/>
        </w:rPr>
      </w:pPr>
      <w:r w:rsidRPr="00D5196B">
        <w:rPr>
          <w:rFonts w:eastAsia="Times New Roman"/>
          <w:color w:val="0F1115"/>
          <w:sz w:val="30"/>
          <w:szCs w:val="30"/>
        </w:rPr>
        <w:lastRenderedPageBreak/>
        <w:t>Глава 1. Теоретические основы триажа инцидентов информационной безопасности в SOC</w:t>
      </w:r>
      <w:r w:rsidR="00BC7E96">
        <w:rPr>
          <w:rFonts w:eastAsia="Times New Roman"/>
          <w:color w:val="0F1115"/>
          <w:sz w:val="30"/>
          <w:szCs w:val="30"/>
          <w:lang w:val="ru-RU"/>
        </w:rPr>
        <w:t xml:space="preserve"> </w:t>
      </w:r>
    </w:p>
    <w:p w14:paraId="47CAA993" w14:textId="04D9BCDD" w:rsidR="001167DF" w:rsidRPr="00044A1E" w:rsidRDefault="001167DF" w:rsidP="00D5196B">
      <w:pPr>
        <w:pStyle w:val="3"/>
        <w:keepNext w:val="0"/>
        <w:keepLines w:val="0"/>
        <w:shd w:val="clear" w:color="auto" w:fill="FFFFFF"/>
        <w:spacing w:before="120" w:after="0" w:line="360" w:lineRule="auto"/>
        <w:ind w:left="709"/>
        <w:jc w:val="both"/>
        <w:rPr>
          <w:rFonts w:eastAsia="Times New Roman"/>
          <w:color w:val="auto"/>
          <w:sz w:val="30"/>
          <w:szCs w:val="30"/>
        </w:rPr>
      </w:pPr>
      <w:r w:rsidRPr="00044A1E">
        <w:rPr>
          <w:rFonts w:ascii="Times New Roman" w:eastAsia="Times New Roman" w:hAnsi="Times New Roman" w:cs="Times New Roman"/>
          <w:color w:val="auto"/>
          <w:lang w:val="ru-RU"/>
        </w:rPr>
        <w:t>1.1. Понятие и место триажа в процессе управления инцидентами ИБ</w:t>
      </w:r>
    </w:p>
    <w:p w14:paraId="69BE5804" w14:textId="4AC28E7B" w:rsidR="00767830" w:rsidRPr="00D5196B" w:rsidRDefault="001167DF"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Термин «триаж» исторически утвердился в военно-полевой медицине и медицине катастроф, где им обозначают процедуру быстрой оценки состояния пострадавших и распределения их на группы по срочности оказания помощи. </w:t>
      </w:r>
    </w:p>
    <w:p w14:paraId="44D841F8" w14:textId="63B8FCAE" w:rsidR="001167DF" w:rsidRPr="00D5196B" w:rsidRDefault="001167DF"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В область информационной безопасности это понятие было перенесено в середине 2000-х годов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по мере того как центры мониторинга и реагирования столкнулись с лавинообразным ростом числа сигналов тревоги, поступающих от средств защиты. Оказалось, что ручная обработка каждого алерта без предварительной фильтрации делает работу аналитиков неэффективной и приводит к пропуску действительно опасных событий на фоне массы ложных срабатываний. Так триаж оформился в самостоятельную и обязательную стадию операционной деятельности SOC.</w:t>
      </w:r>
    </w:p>
    <w:p w14:paraId="2AC82081" w14:textId="77777777" w:rsidR="00D5196B"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Если говорить просто, то триаж в информационной безопасности -это первая «сортировочная» станция, куда попадают абсолютно все сигналы тревоги от средств защиты. Представьте себе конвейер: на входе - поток сырых алертов, а на выходе - уже оформленная заявка, с которой будут разбираться профильные специалисты. Задача триажа - буквально за считанные минуты решить, что перед нами: реальная атака, безобидная легитимная активность или очередное ложное срабатывание. Кроме того, здесь же событию присваивают категорию по внутреннему классификатору, определяют, насколько оно критично, и маршрутизируют дальше - либо передают на углублённый разбор, либо закрывают с обоснованием, почему решили не тратить на него время. Именно на этом рубеже хаотичный поток данных превращается в формализованный инцидент, с которым уже будет работать вторая линия.</w:t>
      </w:r>
    </w:p>
    <w:p w14:paraId="0298D612" w14:textId="2D68DBE1" w:rsidR="00E1291D"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lastRenderedPageBreak/>
        <w:t xml:space="preserve">Чтобы понять, где именно в цепочке находится триаж, удобно опереться на международные модели - NIST SP 800-61 и ISO/IEC 27035. В обеих жизненный цикл инцидента выглядит примерно одинаково: сначала обнаружение и первичное оповещение, затем оценка и принятие решения. </w:t>
      </w:r>
    </w:p>
    <w:p w14:paraId="1E9848CA" w14:textId="3C591E05" w:rsidR="00E1291D"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Организационно триаж практически всегда отдают на откуп первой линии аналитиков. Эти ребята работают с очередями алертов, которые генерируют SIEM-системы, антивирусы, почтовые фильтры, EDR-решения и куча других средств. Их работа строится по заранее прописанным сценариям - плейбукам или стандартным операционным процедурам. В этих инструкциях по шагам расписано, что делать с типовыми событиями: фишингом, попытками подбора паролей, сработками антивируса, подозрительными исходящими соединениями и так далее.</w:t>
      </w:r>
    </w:p>
    <w:p w14:paraId="0712D56C" w14:textId="41E18979" w:rsidR="00E1291D"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По сути, процедура триажа выглядит как быстрая проверка по чек-листу. Первым делом смотрят репутацию IP-адреса или домена по внутренним и внешним базам индикаторов компрометации. Потом выясняют, что за актив затронут и кто его владелец - бухгалтерский компьютер или тестовый стенд. Дальше - беглый анализ контекста и проверка, не было ли похожих алертов в недавнем прошлом. На всё про всё уходят минуты, и по итогам формируется короткое резюме с вердиктом аналитика и, если нужно, рекомендациями для следующей линии.</w:t>
      </w:r>
    </w:p>
    <w:p w14:paraId="1705888B" w14:textId="77777777" w:rsidR="00E1291D"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От того, насколько качественно выстроен триаж, напрямую зависят главные метрики SOC - среднее время обнаружения и среднее время реагирования. Если сортировка буксует и алерты подолгу висят в очереди, MTTD ползёт вверх, а злоумышленник получает лишнее время, чтобы закрепиться в системе. И наоборот: грамотно отлаженный процесс позволяет пропускать через первую линию огромные объёмы сигналов, не раздувая штат аналитиков до бесконечности. Для крупных центров, переваривающих десятки тысяч алертов в сутки, это вообще критично. </w:t>
      </w:r>
    </w:p>
    <w:p w14:paraId="6D6924D8" w14:textId="4D3C69C3" w:rsidR="00E1291D" w:rsidRPr="00CF6876"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lastRenderedPageBreak/>
        <w:t>Собственно, именно поэтому вопросы методического обеспечения и автоматизации триажа в последние годы вышли на передний план - причём одинаково как в коммерческих, так и в государственных SOC. Об этом мы и поговорим дальше.</w:t>
      </w:r>
    </w:p>
    <w:p w14:paraId="3A34A8B9" w14:textId="637728E7" w:rsidR="001167DF" w:rsidRPr="00005F7D" w:rsidRDefault="001167DF" w:rsidP="00D5196B">
      <w:pPr>
        <w:spacing w:line="360" w:lineRule="auto"/>
        <w:ind w:firstLine="709"/>
        <w:jc w:val="both"/>
        <w:rPr>
          <w:rFonts w:ascii="Times New Roman" w:eastAsia="Times New Roman" w:hAnsi="Times New Roman" w:cs="Times New Roman"/>
          <w:sz w:val="28"/>
          <w:szCs w:val="28"/>
          <w:lang w:val="ru-RU"/>
        </w:rPr>
      </w:pPr>
      <w:r w:rsidRPr="00005F7D">
        <w:rPr>
          <w:rFonts w:ascii="Times New Roman" w:eastAsia="Times New Roman" w:hAnsi="Times New Roman" w:cs="Times New Roman"/>
          <w:sz w:val="28"/>
          <w:szCs w:val="28"/>
          <w:lang w:val="ru-RU"/>
        </w:rPr>
        <w:t>1.2. Цели, задачи и базовые модели триажа ИБ</w:t>
      </w:r>
    </w:p>
    <w:p w14:paraId="18098C96" w14:textId="30A04D99" w:rsidR="00767830" w:rsidRPr="00D5196B" w:rsidRDefault="001167DF"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Формулирование целей триажа невозможно в отрыве от общего предназначения SOC </w:t>
      </w:r>
      <w:r w:rsidR="00767830"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обеспечивать непрерывный мониторинг и своевременное реагирование на угрозы при ограниченных человеческих и вычислительных ресурсах. Генеральная цель триажа, таким образом, состоит в том, чтобы за минимально возможное время и с приемлемой точностью определить, какие из поступающих сигналов требуют немедленного внимания, какие могут быть отложены, а какие вовсе не являются инцидентами и должны быть отсеяны. </w:t>
      </w:r>
    </w:p>
    <w:p w14:paraId="11399F8C" w14:textId="41097317" w:rsidR="001167DF" w:rsidRPr="00D5196B" w:rsidRDefault="001167DF"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Эта цель носит двойственный характер: с одной стороны, она ориентирована на ускорение реакции на опасные события, с другой </w:t>
      </w:r>
      <w:r w:rsidR="00767830"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на защиту высококвалифицированных аналитиков от перегрузки рутинной работой по разбору ложноположительных срабатываний. Иными словами, триаж служит фильтром, который не пропускает шум на верхние уровни и одновременно гарантирует, что сквозь него не просочатся незамеченными сигналы, указывающие на реальную атаку.</w:t>
      </w:r>
    </w:p>
    <w:p w14:paraId="50AEFB37" w14:textId="77777777" w:rsidR="00E1291D" w:rsidRPr="00D5196B" w:rsidRDefault="001167DF"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Из генеральной цели вытекает ряд более конкретных задач, решаемых на стадии триажа. Первая и наиболее очевидная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фильтрация ложноположительных срабатываний. Современные средства защиты генерируют огромное количество алертов, значительная часть которых не связана с вредоносной активностью: легитимные обновления программного обеспечения, массовые сканирования, ошибочно настроенные политики аудита и т.п. </w:t>
      </w:r>
    </w:p>
    <w:p w14:paraId="552D66F7" w14:textId="11CBC0C5" w:rsidR="00E1291D" w:rsidRPr="00D5196B" w:rsidRDefault="001167DF"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Умение быстро распознать такие события, не привлекая к их анализу ресурсы второй линии, напрямую влияет на экономическую эффективность </w:t>
      </w:r>
      <w:r w:rsidRPr="00D5196B">
        <w:rPr>
          <w:rFonts w:ascii="Times New Roman" w:eastAsia="Times New Roman" w:hAnsi="Times New Roman" w:cs="Times New Roman"/>
          <w:sz w:val="28"/>
          <w:szCs w:val="28"/>
          <w:lang w:val="ru-RU"/>
        </w:rPr>
        <w:lastRenderedPageBreak/>
        <w:t xml:space="preserve">центра мониторинга. Вторая задача </w:t>
      </w:r>
      <w:r w:rsidR="00E1291D"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первичная корреляция, то есть сопоставление отдельного алерта с уже имеющимися в системе событиями. </w:t>
      </w:r>
    </w:p>
    <w:p w14:paraId="7AB40CFE" w14:textId="21B23476" w:rsidR="00E1291D" w:rsidRPr="00CF6876" w:rsidRDefault="00E1291D" w:rsidP="00D5196B">
      <w:pPr>
        <w:spacing w:line="360" w:lineRule="auto"/>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Опытный аналитик первой линии, увидев одновременно сработку антивируса, подозрительный DNS-запрос и странную аномалию в исходящем трафике с одной и той же машины, не будет рассматривать их по отдельности. Он свяжет эти сигналы в единый эпизод, хотя каждый сам по себе мог бы даже не дотянуть до порога эскалации. Именно такое умение видеть картину целиком позволяет на ранней стадии понять, что атака носит составной характер, и сразу назначить ей повышенный приоритет.</w:t>
      </w:r>
    </w:p>
    <w:p w14:paraId="6863626F" w14:textId="54797361" w:rsidR="00E1291D"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Третья задача - присвоить инциденту вменяемый уровень серьёзности и приоритет. Серьёзность говорит о том, насколько глубоко злоумышленник успел залезть и какой потенциальный ущерб светит, а приоритет - это уже вопрос очерёдности: за что хвататься прямо сейчас, а что может и подождать. Приоритет складывается из серьёзности, ценности затронутого актива и того, насколько вообще загружена смена в данный момент.</w:t>
      </w:r>
    </w:p>
    <w:p w14:paraId="47C42766" w14:textId="77777777" w:rsidR="00E1291D" w:rsidRPr="00D5196B" w:rsidRDefault="00E1291D" w:rsidP="00D5196B">
      <w:pPr>
        <w:spacing w:line="360" w:lineRule="auto"/>
        <w:jc w:val="both"/>
        <w:rPr>
          <w:rFonts w:ascii="Times New Roman" w:eastAsia="Times New Roman" w:hAnsi="Times New Roman" w:cs="Times New Roman"/>
          <w:sz w:val="28"/>
          <w:szCs w:val="28"/>
          <w:lang w:val="ru-RU"/>
        </w:rPr>
      </w:pPr>
    </w:p>
    <w:p w14:paraId="61C018B4" w14:textId="4C934571" w:rsidR="00E1291D" w:rsidRPr="00CF6876" w:rsidRDefault="00E1291D" w:rsidP="00D5196B">
      <w:pPr>
        <w:spacing w:line="360" w:lineRule="auto"/>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Без опоры на заранее утверждённую матрицу рисков тут не обойтись - именно она увязывает типы инцидентов, классы защищённости активов и критичные бизнес-процессы. Если на этом этапе ошибиться, можно запросто задержать реагирование на по-настоящему опасный инцидент или, наоборот, дёрнуть всех по ложной тревоге и отвлечь аналитиков от реально важных событий.</w:t>
      </w:r>
    </w:p>
    <w:p w14:paraId="4D540C1D" w14:textId="77777777" w:rsidR="00D5196B"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Четвёртая задача - маршрутизация. После того как инцидент предварительно квалифицирован, нужно понять, кому его передавать дальше. Если случай явно сложный и требует копания в глубину - заявка идёт на вторую линию. Если выяснилось, что всё дело в известной незакрытой уязвимости - материалы улетают в группу управления уязвимостями. А если первичный анализ намекает на утечку персональных </w:t>
      </w:r>
      <w:r w:rsidRPr="00D5196B">
        <w:rPr>
          <w:rFonts w:ascii="Times New Roman" w:eastAsia="Times New Roman" w:hAnsi="Times New Roman" w:cs="Times New Roman"/>
          <w:sz w:val="28"/>
          <w:szCs w:val="28"/>
          <w:lang w:val="ru-RU"/>
        </w:rPr>
        <w:lastRenderedPageBreak/>
        <w:t>данных и необходимость уведомить регулятора - подключается юридический отдел.</w:t>
      </w:r>
    </w:p>
    <w:p w14:paraId="53FDFF8C" w14:textId="77777777" w:rsidR="00D5196B"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Все перечисленные задачи решаются в рамках какой-то организационной модели триажа, и на практике сложились две крайности и один промежуточный вариант.</w:t>
      </w:r>
    </w:p>
    <w:p w14:paraId="38945301" w14:textId="361B64FD" w:rsidR="00E1291D"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Первую модель называют конвейерной или процедурной. Здесь аналитик первой линии действует строго по плейбукам - у него есть чёткий список проверок для каждого типа алертов. Вся его работа сводится к быстрой верификации индикаторов, сбору минимума контекста и принятию формального решения: закрыть или эскалировать. Такой подход отлично заходит там, где поток алертов большой и однородный - например, у коммерческих MSSP-провайдеров, обслуживающих десятки клиентов с похожими профилями угроз. </w:t>
      </w:r>
    </w:p>
    <w:p w14:paraId="31209A57" w14:textId="21FBF7C0" w:rsidR="00E1291D"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На первую линию можно брать людей без серьёзного опыта, быстро их обучать и добиваться высокой пропускной способности при невысокой стоимости обработки каждого инцидента. Но у конвейера есть слабое место: он буксует на нетипичных и целевых атаках, которые не лезут в стандартные сценарии. Риск пропустить такую атаку остаётся вполне реальным.</w:t>
      </w:r>
    </w:p>
    <w:p w14:paraId="542F1758" w14:textId="6A2E94C5" w:rsidR="00E1291D"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Противоположная крайность - экспертная модель. Здесь каждый алерт с порога оценивает опытный специалист, которому дано право принимать интуитивные решения и отходить от формальных процедур, если того требует ситуация. Такой стиль характерен для небольших SOC, которые работают с организациями с высоким уровнем защищённости и сталкиваются главным образом с продвинутыми постоянными угрозами - теми самыми APT. Когда за сутки приходит не десятки тысяч алертов, а несколько десятков, вполне оправданно каждый из них содержательно прорабатывать силами одного и того же высококвалифицированного аналитика. Слабость модели в том, что она плохо масштабируется: рост </w:t>
      </w:r>
      <w:r w:rsidRPr="00D5196B">
        <w:rPr>
          <w:rFonts w:ascii="Times New Roman" w:eastAsia="Times New Roman" w:hAnsi="Times New Roman" w:cs="Times New Roman"/>
          <w:sz w:val="28"/>
          <w:szCs w:val="28"/>
          <w:lang w:val="ru-RU"/>
        </w:rPr>
        <w:lastRenderedPageBreak/>
        <w:t>числа событий заставляет пропорционально наращивать штат дорогостоящих спецов, а это быстро упирается в кадровый голод и бюджет.</w:t>
      </w:r>
    </w:p>
    <w:p w14:paraId="799C844C" w14:textId="77777777" w:rsidR="00E1291D"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Большинство зрелых SOC на практике строят гибрид, пытаясь совместить скорость конвейера с экспертной глубиной там, где она реально нужна. В такой конструкции первая линия делает быструю сортировку по жёстким правилам, но для заведомо сложных категорий алертов предусмотрена немедленная эскалация на вторую линию - без попыток выяснить всё до конца уже на L1. </w:t>
      </w:r>
    </w:p>
    <w:p w14:paraId="66A880DB" w14:textId="77777777" w:rsidR="00D5196B" w:rsidRPr="00D5196B" w:rsidRDefault="00E1291D"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Сверху это приправляется автоматизацией: SOAR-платформы берут на себя рутину вроде обогащения индикаторов, закрытия типовых ложняков и создания заявок, а человек подключается только в неоднозначных случаях. Насколько хорошо работает такая модель, напрямую зависит от того, как настроены правила маршрутизации и насколько регулярно пересматриваются критерии эскалации. Именно это превращает сам процесс триажа в живой организм, который постоянно допиливают и улучшают.</w:t>
      </w:r>
    </w:p>
    <w:p w14:paraId="13F9EC55" w14:textId="354657F1" w:rsidR="001167DF" w:rsidRPr="00D5196B" w:rsidRDefault="001167DF"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1.3. Нормативно-методическая база, регламентирующая процессы триажа</w:t>
      </w:r>
    </w:p>
    <w:p w14:paraId="608A7BA4" w14:textId="645ABF38"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Какой бы продвинутой ни была техническая сторона триажа, он всё равно не существует в правовом вакууме. Любая процедура сортировки инцидентов жёстко вписана в нормативное поле. Именно законы, стандарты и ведомственные инструкции задают, по каким признакам мы обязаны классифицировать событие, в какие сроки должны отреагировать и кого непременно уведомить по итогам. Поэтому выстроить грамотный триаж, не оглядываясь одновременно на международные стандарты, национальное законодательство и отраслевые подзаконные акты, попросту нереально.</w:t>
      </w:r>
    </w:p>
    <w:p w14:paraId="5E80E81B" w14:textId="77777777" w:rsidR="00D5196B"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На международном уровне основные ориентиры дают два документа. Первый - это руководство NIST SP 800-61 «Computer Security Incident </w:t>
      </w:r>
      <w:r w:rsidRPr="00D5196B">
        <w:rPr>
          <w:rFonts w:ascii="Times New Roman" w:eastAsia="Times New Roman" w:hAnsi="Times New Roman" w:cs="Times New Roman"/>
          <w:sz w:val="28"/>
          <w:szCs w:val="28"/>
          <w:lang w:val="ru-RU"/>
        </w:rPr>
        <w:lastRenderedPageBreak/>
        <w:t>Handling Guide» в его актуальной редакции. Оно не говорит жёстко, сколько минут отводится на сортировку или по какой конкретно шкале мерить серьёзность. Зато там очень толково описана сама логика этапа оценки инцидента и принципы расстановки приоритетов. Главная мысль, которая оттуда пошла гулять по всем корпоративным методичкам: приоритет должен выводиться из комбинации текущего и потенциального ущерба, критичности затронутого ресурса и того, насколько вероятно распространение атаки. Второй</w:t>
      </w:r>
      <w:r w:rsidRPr="00D5196B">
        <w:rPr>
          <w:rFonts w:ascii="Times New Roman" w:eastAsia="Times New Roman" w:hAnsi="Times New Roman" w:cs="Times New Roman"/>
          <w:sz w:val="28"/>
          <w:szCs w:val="28"/>
          <w:lang w:val="en-US"/>
        </w:rPr>
        <w:t xml:space="preserve"> </w:t>
      </w:r>
      <w:r w:rsidRPr="00D5196B">
        <w:rPr>
          <w:rFonts w:ascii="Times New Roman" w:eastAsia="Times New Roman" w:hAnsi="Times New Roman" w:cs="Times New Roman"/>
          <w:sz w:val="28"/>
          <w:szCs w:val="28"/>
          <w:lang w:val="ru-RU"/>
        </w:rPr>
        <w:t>опорный</w:t>
      </w:r>
      <w:r w:rsidRPr="00D5196B">
        <w:rPr>
          <w:rFonts w:ascii="Times New Roman" w:eastAsia="Times New Roman" w:hAnsi="Times New Roman" w:cs="Times New Roman"/>
          <w:sz w:val="28"/>
          <w:szCs w:val="28"/>
          <w:lang w:val="en-US"/>
        </w:rPr>
        <w:t xml:space="preserve"> </w:t>
      </w:r>
      <w:r w:rsidRPr="00D5196B">
        <w:rPr>
          <w:rFonts w:ascii="Times New Roman" w:eastAsia="Times New Roman" w:hAnsi="Times New Roman" w:cs="Times New Roman"/>
          <w:sz w:val="28"/>
          <w:szCs w:val="28"/>
          <w:lang w:val="ru-RU"/>
        </w:rPr>
        <w:t>документ</w:t>
      </w:r>
      <w:r w:rsidRPr="00D5196B">
        <w:rPr>
          <w:rFonts w:ascii="Times New Roman" w:eastAsia="Times New Roman" w:hAnsi="Times New Roman" w:cs="Times New Roman"/>
          <w:sz w:val="28"/>
          <w:szCs w:val="28"/>
          <w:lang w:val="en-US"/>
        </w:rPr>
        <w:t xml:space="preserve"> - </w:t>
      </w:r>
      <w:r w:rsidRPr="00D5196B">
        <w:rPr>
          <w:rFonts w:ascii="Times New Roman" w:eastAsia="Times New Roman" w:hAnsi="Times New Roman" w:cs="Times New Roman"/>
          <w:sz w:val="28"/>
          <w:szCs w:val="28"/>
          <w:lang w:val="ru-RU"/>
        </w:rPr>
        <w:t>комплекс</w:t>
      </w:r>
      <w:r w:rsidRPr="00D5196B">
        <w:rPr>
          <w:rFonts w:ascii="Times New Roman" w:eastAsia="Times New Roman" w:hAnsi="Times New Roman" w:cs="Times New Roman"/>
          <w:sz w:val="28"/>
          <w:szCs w:val="28"/>
          <w:lang w:val="en-US"/>
        </w:rPr>
        <w:t xml:space="preserve"> </w:t>
      </w:r>
      <w:r w:rsidRPr="00D5196B">
        <w:rPr>
          <w:rFonts w:ascii="Times New Roman" w:eastAsia="Times New Roman" w:hAnsi="Times New Roman" w:cs="Times New Roman"/>
          <w:sz w:val="28"/>
          <w:szCs w:val="28"/>
          <w:lang w:val="ru-RU"/>
        </w:rPr>
        <w:t>стандартов</w:t>
      </w:r>
      <w:r w:rsidRPr="00D5196B">
        <w:rPr>
          <w:rFonts w:ascii="Times New Roman" w:eastAsia="Times New Roman" w:hAnsi="Times New Roman" w:cs="Times New Roman"/>
          <w:sz w:val="28"/>
          <w:szCs w:val="28"/>
          <w:lang w:val="en-US"/>
        </w:rPr>
        <w:t xml:space="preserve"> ISO/IEC 27035 «Information security incident management». </w:t>
      </w:r>
      <w:r w:rsidRPr="00D5196B">
        <w:rPr>
          <w:rFonts w:ascii="Times New Roman" w:eastAsia="Times New Roman" w:hAnsi="Times New Roman" w:cs="Times New Roman"/>
          <w:sz w:val="28"/>
          <w:szCs w:val="28"/>
          <w:lang w:val="ru-RU"/>
        </w:rPr>
        <w:t>Первая часть излагает общие принципы, а вторая - уже практическое руководство по реагированию. Сильная сторона ISO/IEC 27035 в том, что он ввёл формальную шкалу серьёзности инцидентов и рекомендации, как привязать её к эскалации. Правда, оба этих источника - и NIST, и ISO - всё-таки рекомендательные. Они оставляют конкретной организации приличную свободу решать, как именно выстраивать операционные процедуры триажа у себя.</w:t>
      </w:r>
    </w:p>
    <w:p w14:paraId="075D1DB6" w14:textId="6D071FFE"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Российская нормативная база устроена иначе. В ней полно обязательных требований, а отраслевая специфика напрямую вторгается в логику сортировки. Настоящий переворот в управлении инцидентами устроил Федеральный закон № 187-ФЗ «О безопасности критической информационной инфраструктуры Российской Федерации». Он впервые ввёл в юридическое поле понятие компьютерной атаки и обязал всех субъектов КИИ незамедлительно информировать об этих атаках уполномоченный орган — Национальный координационный центр по компьютерным инцидентам, или сокращённо НКЦКИ. Для повседневного триажа это означает, что уже оператор на первой линии, едва увидев алерт, вынужден дать событию предварительную правовую квалификацию. Он должен прикинуть: тянет ли это на компьютерную атаку по определению закона? И если да, требует ли случай немедленного оповещения? Так в </w:t>
      </w:r>
      <w:r w:rsidRPr="00D5196B">
        <w:rPr>
          <w:rFonts w:ascii="Times New Roman" w:eastAsia="Times New Roman" w:hAnsi="Times New Roman" w:cs="Times New Roman"/>
          <w:sz w:val="28"/>
          <w:szCs w:val="28"/>
          <w:lang w:val="ru-RU"/>
        </w:rPr>
        <w:lastRenderedPageBreak/>
        <w:t xml:space="preserve">процессе появляется отдельная ось принятия решений </w:t>
      </w:r>
      <w:r w:rsidR="00044A1E">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«уведомлять или не уведомлять», </w:t>
      </w:r>
      <w:r w:rsidR="00044A1E">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которая далеко не всегда совпадает с чисто технической серьёзностью.</w:t>
      </w:r>
    </w:p>
    <w:p w14:paraId="13CA345F" w14:textId="564AF3BD"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Дальнейшая конкретика идёт уже от подзаконных актов ФСТЭК России. Приказ № 235, который устанавливает требования к системам безопасности значимых объектов КИИ, обязывает субъекта обеспечить и мониторинг событий, и реагирование на инциденты. А приказ № 239 чётко определяет, в каком порядке и в каком формате передавать сведения об инцидентах в НКЦКИ. В приложениях к этому приказу даже закреплены категории опасности компьютерных атак, которые фактически становятся государственной шкалой серьёзности. Для государственных SOC и объектов КИИ эта шкала </w:t>
      </w:r>
      <w:r w:rsidR="00044A1E">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обязаловка, а не ориентир. Параллельно с этим приказ ФСТЭК № 17, касающийся государственных информационных систем, требует регистрировать инциденты и анализировать их. Прямо слово «триаж» там, конечно, не написано, но подразумевается именно процедура первичной обработки.</w:t>
      </w:r>
    </w:p>
    <w:p w14:paraId="66B61568" w14:textId="6BC0860B"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Финансовый сектор тоже не остался в стороне. Методическую роль здесь играет ГОСТ Р 57580.1-2017 «Безопасность финансовых операций». Он задаёт уровни защиты и обязывает банки выявлять инциденты, связанные с денежными переводами, и реагировать на них. Соответственно, критерии триажа в банковском SOC приобретают ярко выраженный бизнес-уклон: первоочерёдное внимание - к событиям, которые могут обернуться прямыми финансовыми потерями клиентов или нарушением нормативов Центробанка. </w:t>
      </w:r>
    </w:p>
    <w:p w14:paraId="1545786D" w14:textId="302DC39C"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А ещё стоит упомянуть Методику оценки угроз безопасности информации, утверждённую ФСТЭК в 2021 году. Она сам триаж не регламентирует, зато содержит типовые сценарии действий нарушителей и признаки компьютерных атак. Это отличный ориентир для настройки решающих правил на первой линии.</w:t>
      </w:r>
    </w:p>
    <w:p w14:paraId="48E729A5" w14:textId="4E92EEC8"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lastRenderedPageBreak/>
        <w:t>Отдельный пласт нормативки создаётся документами, которые выпускает непосредственно сам НКЦКИ. Регламенты информационного взаимодействия, утверждаемые центром, прописывают конкретные форматы донесений, перечень обязательных полей и временные рамки, в которые нужно уложиться с первичным уведомлением. На практике это значит, что специалист по триажу в SOC, который подключён к ГосСОПКА, не может просто вынести технический вердикт «да, инцидент подтверждён» и на этом успокоиться. Ему нужно заполнить структурированный формуляр: вписать индикаторы компрометации, предположительный вектор атаки, оценить опасность по шкале ГосСОПКА. И всё это надо успеть собрать в очень сжатые сроки. Отсюда и повышенные требования к автоматизации, и к квалификации персонала первой линии - просто руками такой объём информации быстро не перелопатить.</w:t>
      </w:r>
    </w:p>
    <w:p w14:paraId="33EDBC9C" w14:textId="5AC5F771"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Наконец, нельзя забывать, что нормативная среда здорово влияет и на выбор инструментов для триажа. Курс на импортозамещение и требования по защите гостайны вынуждают государственные и ведомственные центры закупать средства, сертифицированные ФСТЭК России. Это автоматически отрезает возможность использовать многие удобные облачные SOAR-решения и внешние платформы threat intelligence, которые в коммерческом секторе давно стали стандартом. Коммерческие SOC в выборе инструментов посвободнее, но как только они берутся обслуживать клиентов из регулируемых отраслей - банки, оборонку, операторов КИИ, - им приходится встраивать в свои процессы все перечисленные нормативные требования и добиваться совместимости с государственными системами. Иначе заказчика не удержать.</w:t>
      </w:r>
    </w:p>
    <w:p w14:paraId="440DA1B8" w14:textId="77B29F76" w:rsidR="009D538E" w:rsidRPr="00D5196B" w:rsidRDefault="001167DF"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Таким образом, нормативно-методическая база не просто очерчивает допустимые рамки, но и прямо формирует структуру процесса триажа: </w:t>
      </w:r>
      <w:r w:rsidRPr="00D5196B">
        <w:rPr>
          <w:rFonts w:ascii="Times New Roman" w:eastAsia="Times New Roman" w:hAnsi="Times New Roman" w:cs="Times New Roman"/>
          <w:sz w:val="28"/>
          <w:szCs w:val="28"/>
          <w:lang w:val="ru-RU"/>
        </w:rPr>
        <w:lastRenderedPageBreak/>
        <w:t xml:space="preserve">задаёт шкалы приоритетов, перечень обязательных проверок, сроки и форматы внешних коммуникаций. </w:t>
      </w:r>
    </w:p>
    <w:p w14:paraId="6636EFDE" w14:textId="77777777" w:rsidR="00D5196B" w:rsidRPr="00D5196B" w:rsidRDefault="001167DF"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Понимание этих требований необходимо для того, чтобы в следующих главах предметно сопоставить, как имен</w:t>
      </w:r>
      <w:r w:rsidR="009D538E" w:rsidRPr="00D5196B">
        <w:rPr>
          <w:rFonts w:ascii="Times New Roman" w:eastAsia="Times New Roman" w:hAnsi="Times New Roman" w:cs="Times New Roman"/>
          <w:sz w:val="28"/>
          <w:szCs w:val="28"/>
          <w:lang w:val="ru-RU"/>
        </w:rPr>
        <w:t>н</w:t>
      </w:r>
      <w:r w:rsidRPr="00D5196B">
        <w:rPr>
          <w:rFonts w:ascii="Times New Roman" w:eastAsia="Times New Roman" w:hAnsi="Times New Roman" w:cs="Times New Roman"/>
          <w:sz w:val="28"/>
          <w:szCs w:val="28"/>
          <w:lang w:val="ru-RU"/>
        </w:rPr>
        <w:t>о они реализуются в коммерческих и государственных SOC, и какие противоречия возникают при попытке совместить экономическую эффективность с императивами национальной безопасности.</w:t>
      </w:r>
    </w:p>
    <w:p w14:paraId="422FD28E" w14:textId="649CFB9A" w:rsidR="002F7973" w:rsidRPr="00CF6876"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1.4. Специфика целей и правового положения государственных </w:t>
      </w:r>
      <w:r w:rsidRPr="00D5196B">
        <w:rPr>
          <w:rFonts w:ascii="Times New Roman" w:eastAsia="Times New Roman" w:hAnsi="Times New Roman" w:cs="Times New Roman"/>
          <w:sz w:val="28"/>
          <w:szCs w:val="28"/>
          <w:lang w:val="en-US"/>
        </w:rPr>
        <w:t>SOC</w:t>
      </w:r>
    </w:p>
    <w:p w14:paraId="79193C1F" w14:textId="7D16314D" w:rsidR="002F7973"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Если коммерческий </w:t>
      </w:r>
      <w:r w:rsidRPr="00D5196B">
        <w:rPr>
          <w:rFonts w:ascii="Times New Roman" w:eastAsia="Times New Roman" w:hAnsi="Times New Roman" w:cs="Times New Roman"/>
          <w:sz w:val="28"/>
          <w:szCs w:val="28"/>
          <w:lang w:val="en-US"/>
        </w:rPr>
        <w:t>SOC</w:t>
      </w:r>
      <w:r w:rsidRPr="00D5196B">
        <w:rPr>
          <w:rFonts w:ascii="Times New Roman" w:eastAsia="Times New Roman" w:hAnsi="Times New Roman" w:cs="Times New Roman"/>
          <w:sz w:val="28"/>
          <w:szCs w:val="28"/>
          <w:lang w:val="ru-RU"/>
        </w:rPr>
        <w:t xml:space="preserve">, как мы уже разобрались, работает ради того, чтобы бизнес не терял деньги и не получал штрафы за срыв сроков, то у государственного центра мониторинга ориентиры совсем другие. Здесь на первый план выходит не рентабельность и не конкуренция за заказчика, а такие категории, как национальная безопасность, устойчивость государственного управления и защита критической информационной инфраструктуры. Проще говоря, государственный </w:t>
      </w:r>
      <w:r w:rsidRPr="00D5196B">
        <w:rPr>
          <w:rFonts w:ascii="Times New Roman" w:eastAsia="Times New Roman" w:hAnsi="Times New Roman" w:cs="Times New Roman"/>
          <w:sz w:val="28"/>
          <w:szCs w:val="28"/>
          <w:lang w:val="en-US"/>
        </w:rPr>
        <w:t>SOC</w:t>
      </w:r>
      <w:r w:rsidRPr="00D5196B">
        <w:rPr>
          <w:rFonts w:ascii="Times New Roman" w:eastAsia="Times New Roman" w:hAnsi="Times New Roman" w:cs="Times New Roman"/>
          <w:sz w:val="28"/>
          <w:szCs w:val="28"/>
          <w:lang w:val="ru-RU"/>
        </w:rPr>
        <w:t xml:space="preserve"> следит не за тем, упадёт ли выручка интернет-магазина за ближайший час, а за тем, не пытается ли кто-то нарушить работу системы, от которой зависят жизнь и благополучие сотен тысяч людей. Это различие в миссии тянет за собой целый шлейф последствий для того, как именно выстроен триаж.</w:t>
      </w:r>
    </w:p>
    <w:p w14:paraId="3C91AB92" w14:textId="77777777" w:rsidR="009D538E"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Главный документ, который перевернул правила игры для российских государственных </w:t>
      </w:r>
      <w:r w:rsidRPr="00D5196B">
        <w:rPr>
          <w:rFonts w:ascii="Times New Roman" w:eastAsia="Times New Roman" w:hAnsi="Times New Roman" w:cs="Times New Roman"/>
          <w:sz w:val="28"/>
          <w:szCs w:val="28"/>
          <w:lang w:val="en-US"/>
        </w:rPr>
        <w:t>SOC</w:t>
      </w:r>
      <w:r w:rsidRPr="00D5196B">
        <w:rPr>
          <w:rFonts w:ascii="Times New Roman" w:eastAsia="Times New Roman" w:hAnsi="Times New Roman" w:cs="Times New Roman"/>
          <w:sz w:val="28"/>
          <w:szCs w:val="28"/>
          <w:lang w:val="ru-RU"/>
        </w:rPr>
        <w:t xml:space="preserve">, - это Федеральный закон № 187-ФЗ о безопасности критической информационной инфраструктуры. До его появления многие ведомственные центры работали по внутренним регламентам, кто во что горазд. Теперь же появилось чёткое юридическое понятие «компьютерная атака», а вместе с ним - и обязанность для всех субъектов КИИ немедленно сообщать о подобных атаках в Национальный координационный центр по компьютерным инцидентам. </w:t>
      </w:r>
    </w:p>
    <w:p w14:paraId="09F38A77" w14:textId="649B8030" w:rsidR="002F7973"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Для оператора первой линии это означает простую, но очень серьёзную вещь: он больше не может рассматривать алерт просто как </w:t>
      </w:r>
      <w:r w:rsidRPr="00D5196B">
        <w:rPr>
          <w:rFonts w:ascii="Times New Roman" w:eastAsia="Times New Roman" w:hAnsi="Times New Roman" w:cs="Times New Roman"/>
          <w:sz w:val="28"/>
          <w:szCs w:val="28"/>
          <w:lang w:val="ru-RU"/>
        </w:rPr>
        <w:lastRenderedPageBreak/>
        <w:t>технический сбой или потенциально ложное срабатывание и спокойно закрыть его, если явных признаков атаки не видно. Он обязан подвести событие под юридическую квалификацию и решить: тянет ли оно на компьютерную атаку или нет? От этого решения зависит, будет ли запущена целая бюрократическая цепочка уведомлений вплоть до НКЦКИ, а в особо тяжёлых случаях — и до ФСБ.</w:t>
      </w:r>
    </w:p>
    <w:p w14:paraId="2EA23BB3" w14:textId="77777777" w:rsidR="002F7973"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Отсюда вытекает и совершенно иной подход к приоритезации инцидентов. В коммерции, как мы помним, всё упирается в деньги: сколько стоит час простоя, сколько клиентов пострадает, во что обойдётся утечка. В государственном секторе главным мерилом становится категория объекта КИИ или класс защищённости государственной информационной системы. </w:t>
      </w:r>
    </w:p>
    <w:p w14:paraId="116049BB" w14:textId="5CB550BC" w:rsidR="002F7973"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Если инцидент затронул систему из первой, самой высокой категории - например, что-то связанное с оборонкой, атомной энергетикой или управлением транспортной безопасностью, - он автоматически получает критический приоритет. И неважно, что технически это может быть рядовая попытка подбора пароля, которую коммерческий </w:t>
      </w:r>
      <w:r w:rsidRPr="00D5196B">
        <w:rPr>
          <w:rFonts w:ascii="Times New Roman" w:eastAsia="Times New Roman" w:hAnsi="Times New Roman" w:cs="Times New Roman"/>
          <w:sz w:val="28"/>
          <w:szCs w:val="28"/>
          <w:lang w:val="en-US"/>
        </w:rPr>
        <w:t>SOC</w:t>
      </w:r>
      <w:r w:rsidRPr="00D5196B">
        <w:rPr>
          <w:rFonts w:ascii="Times New Roman" w:eastAsia="Times New Roman" w:hAnsi="Times New Roman" w:cs="Times New Roman"/>
          <w:sz w:val="28"/>
          <w:szCs w:val="28"/>
          <w:lang w:val="ru-RU"/>
        </w:rPr>
        <w:t xml:space="preserve"> отложил бы в долгий ящик. Здесь ставки настолько высоки, что перестраховка считается нормой. Более того, аналитик не имеет права сказать: «Сейчас у нас пересменка и перегруз, давайте отложим этот алерт на пару часов». Регламенты такого не допускают - инцидент должен быть обработан немедленно и вне всякой очереди.</w:t>
      </w:r>
    </w:p>
    <w:p w14:paraId="14FE466B" w14:textId="77777777" w:rsidR="002F7973"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Правовое положение государственного </w:t>
      </w:r>
      <w:r w:rsidRPr="00D5196B">
        <w:rPr>
          <w:rFonts w:ascii="Times New Roman" w:eastAsia="Times New Roman" w:hAnsi="Times New Roman" w:cs="Times New Roman"/>
          <w:sz w:val="28"/>
          <w:szCs w:val="28"/>
          <w:lang w:val="en-US"/>
        </w:rPr>
        <w:t>SOC</w:t>
      </w:r>
      <w:r w:rsidRPr="00D5196B">
        <w:rPr>
          <w:rFonts w:ascii="Times New Roman" w:eastAsia="Times New Roman" w:hAnsi="Times New Roman" w:cs="Times New Roman"/>
          <w:sz w:val="28"/>
          <w:szCs w:val="28"/>
          <w:lang w:val="ru-RU"/>
        </w:rPr>
        <w:t xml:space="preserve"> накладывает отпечаток буквально на каждый шаг триажа. Это уже не просто сервисная организация, а по сути часть государственного аппарата со всеми вытекающими плюсами и минусами. </w:t>
      </w:r>
    </w:p>
    <w:p w14:paraId="268EF7F9" w14:textId="77777777" w:rsidR="002F7973"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С одной стороны, сотрудники здесь защищены трудовым законодательством, имеют социальные гарантии, стабильную зарплату и меньше рискуют оказаться на улице из-за того, что уволился крупный клиент. </w:t>
      </w:r>
    </w:p>
    <w:p w14:paraId="35777858" w14:textId="46D14045" w:rsidR="002F7973"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lastRenderedPageBreak/>
        <w:t>С другой - на них распространяются все прелести государственной службы: жёсткая иерархия, необходимость согласовывать любое более-менее серьёзное действие, куча отчётности и, что особенно важно, требования по допускам к государственной тайне. Нельзя просто так взять и нанять толкового студента-самоучку без гражданства или с какими-то проблемами в биографии - служба безопасности его завернёт. Отсюда и кадровый голод в госСОКах стоит даже острее, чем в коммерческих, при том что зарплаты часто уступают рынку.</w:t>
      </w:r>
    </w:p>
    <w:p w14:paraId="1E589177" w14:textId="77777777" w:rsidR="009D538E"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Ещё один важный нюанс п это практически полное отсутствие гибкости в выборе инструментария. Коммерческий </w:t>
      </w:r>
      <w:r w:rsidRPr="00D5196B">
        <w:rPr>
          <w:rFonts w:ascii="Times New Roman" w:eastAsia="Times New Roman" w:hAnsi="Times New Roman" w:cs="Times New Roman"/>
          <w:sz w:val="28"/>
          <w:szCs w:val="28"/>
          <w:lang w:val="en-US"/>
        </w:rPr>
        <w:t>SOC</w:t>
      </w:r>
      <w:r w:rsidRPr="00D5196B">
        <w:rPr>
          <w:rFonts w:ascii="Times New Roman" w:eastAsia="Times New Roman" w:hAnsi="Times New Roman" w:cs="Times New Roman"/>
          <w:sz w:val="28"/>
          <w:szCs w:val="28"/>
          <w:lang w:val="ru-RU"/>
        </w:rPr>
        <w:t xml:space="preserve"> может хоть каждый месяц переезжать на новую версию западного </w:t>
      </w:r>
      <w:r w:rsidRPr="00D5196B">
        <w:rPr>
          <w:rFonts w:ascii="Times New Roman" w:eastAsia="Times New Roman" w:hAnsi="Times New Roman" w:cs="Times New Roman"/>
          <w:sz w:val="28"/>
          <w:szCs w:val="28"/>
          <w:lang w:val="en-US"/>
        </w:rPr>
        <w:t>SIEM</w:t>
      </w:r>
      <w:r w:rsidRPr="00D5196B">
        <w:rPr>
          <w:rFonts w:ascii="Times New Roman" w:eastAsia="Times New Roman" w:hAnsi="Times New Roman" w:cs="Times New Roman"/>
          <w:sz w:val="28"/>
          <w:szCs w:val="28"/>
          <w:lang w:val="ru-RU"/>
        </w:rPr>
        <w:t xml:space="preserve"> или пробовать облачный </w:t>
      </w:r>
      <w:r w:rsidRPr="00D5196B">
        <w:rPr>
          <w:rFonts w:ascii="Times New Roman" w:eastAsia="Times New Roman" w:hAnsi="Times New Roman" w:cs="Times New Roman"/>
          <w:sz w:val="28"/>
          <w:szCs w:val="28"/>
          <w:lang w:val="en-US"/>
        </w:rPr>
        <w:t>SOAR</w:t>
      </w:r>
      <w:r w:rsidRPr="00D5196B">
        <w:rPr>
          <w:rFonts w:ascii="Times New Roman" w:eastAsia="Times New Roman" w:hAnsi="Times New Roman" w:cs="Times New Roman"/>
          <w:sz w:val="28"/>
          <w:szCs w:val="28"/>
          <w:lang w:val="ru-RU"/>
        </w:rPr>
        <w:t xml:space="preserve"> от стартапа из Кремниевой долины. </w:t>
      </w:r>
    </w:p>
    <w:p w14:paraId="0D2CE66B" w14:textId="77777777" w:rsidR="00D5196B" w:rsidRPr="00CF6876"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Государственный </w:t>
      </w:r>
      <w:r w:rsidRPr="00D5196B">
        <w:rPr>
          <w:rFonts w:ascii="Times New Roman" w:eastAsia="Times New Roman" w:hAnsi="Times New Roman" w:cs="Times New Roman"/>
          <w:sz w:val="28"/>
          <w:szCs w:val="28"/>
          <w:lang w:val="en-US"/>
        </w:rPr>
        <w:t>SOC</w:t>
      </w:r>
      <w:r w:rsidRPr="00D5196B">
        <w:rPr>
          <w:rFonts w:ascii="Times New Roman" w:eastAsia="Times New Roman" w:hAnsi="Times New Roman" w:cs="Times New Roman"/>
          <w:sz w:val="28"/>
          <w:szCs w:val="28"/>
          <w:lang w:val="ru-RU"/>
        </w:rPr>
        <w:t xml:space="preserve"> такой роскоши лишён. Все средства защиты должны быть сертифицированы ФСТЭК, а в идеале - ещё и числиться в реестре отечественного ПО. Мало того, для работы с секретными данными требуется, чтобы всё железо и софт прошли проверку на отсутствие «закладок». </w:t>
      </w:r>
    </w:p>
    <w:p w14:paraId="05E9848F" w14:textId="77BC4841" w:rsidR="002F7973"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На практике это означает, что госСОК вынужден работать с продуктами, которые, может быть, и уступают мировым лидерам по удобству и функциональности, зато соответствуют всем требованиям регулятора. Отсюда и меньший процент автоматизации триажа: там, где коммерческий аналитик за две секунды получит автоматически обогащённую карточку инцидента, его коллега из госсектора иногда вынужден вручную перепроверять данные в нескольких разрозненных системах.</w:t>
      </w:r>
    </w:p>
    <w:p w14:paraId="60515177" w14:textId="076C4DA9" w:rsidR="002F7973" w:rsidRPr="00D5196B" w:rsidRDefault="002F7973"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Нельзя не упомянуть и про культуру реагирования. В коммерческом </w:t>
      </w:r>
      <w:r w:rsidRPr="00D5196B">
        <w:rPr>
          <w:rFonts w:ascii="Times New Roman" w:eastAsia="Times New Roman" w:hAnsi="Times New Roman" w:cs="Times New Roman"/>
          <w:sz w:val="28"/>
          <w:szCs w:val="28"/>
          <w:lang w:val="en-US"/>
        </w:rPr>
        <w:t>SOC</w:t>
      </w:r>
      <w:r w:rsidRPr="00D5196B">
        <w:rPr>
          <w:rFonts w:ascii="Times New Roman" w:eastAsia="Times New Roman" w:hAnsi="Times New Roman" w:cs="Times New Roman"/>
          <w:sz w:val="28"/>
          <w:szCs w:val="28"/>
          <w:lang w:val="ru-RU"/>
        </w:rPr>
        <w:t xml:space="preserve"> аналитик замотивирован быстро закрыть алерт и двигаться дальше, потому что его </w:t>
      </w:r>
      <w:r w:rsidRPr="00D5196B">
        <w:rPr>
          <w:rFonts w:ascii="Times New Roman" w:eastAsia="Times New Roman" w:hAnsi="Times New Roman" w:cs="Times New Roman"/>
          <w:sz w:val="28"/>
          <w:szCs w:val="28"/>
          <w:lang w:val="en-US"/>
        </w:rPr>
        <w:t>KPI</w:t>
      </w:r>
      <w:r w:rsidRPr="00D5196B">
        <w:rPr>
          <w:rFonts w:ascii="Times New Roman" w:eastAsia="Times New Roman" w:hAnsi="Times New Roman" w:cs="Times New Roman"/>
          <w:sz w:val="28"/>
          <w:szCs w:val="28"/>
          <w:lang w:val="ru-RU"/>
        </w:rPr>
        <w:t xml:space="preserve"> завязаны на скорость и количество обработанных тикетов. </w:t>
      </w:r>
    </w:p>
    <w:p w14:paraId="25A9F0EC" w14:textId="77777777"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lastRenderedPageBreak/>
        <w:t xml:space="preserve">Если в коммерческом SOC скорость - это один из главных KPI, и каждая лишняя минута разбора алерта бьёт по кошельку, то в государственном ситуация несколько иная. Скорость тут, безусловно, важна, никто не говорит, что можно сидеть сложа руки. Но куда важнее - не ошибиться в квалификации. Потому что цена ошибки совсем другая. Представьте: оператор на первой линии за минуту отмахивается от алерта, уверенно пишет «ложное срабатывание» и закрывает тикет. А через неделю выясняется, что это был не ложняк вовсе, а начальный этап целевой атаки на объект критической информационной инфраструктуры. И уведомление в НКЦКИ, которое по регламенту должно было уйти немедленно, уходит с опозданием на три дня. </w:t>
      </w:r>
    </w:p>
    <w:p w14:paraId="6B84EC31" w14:textId="77777777" w:rsidR="00D5196B" w:rsidRPr="00CF6876"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Такого оператора никто не похвалит за расторопность - наоборот, будут разбираться, почему он поторопился. Именно поэтому на первой линии в госСОКе часто сидят люди с опытом, а не вчерашние студенты после двухмесячных курсов. Их сознательно учат проявлять то, что в профессиональной среде называют «разумной паранойей». </w:t>
      </w:r>
    </w:p>
    <w:p w14:paraId="1C732AEF" w14:textId="51E579F7"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Суть её проста: сомневаешься - эскалируй. Лучше отправить на вторую линию событие, которое после разбора окажется пустышкой, чем пропустить реальную угрозу и потом расхлёбывать последствия. В коммерции за лишние эскалации могут и премию урезать, потому что они тратят время дорогих специалистов. В госсекторе же перестраховка считается меньшим грехом - здесь философия совсем другая.</w:t>
      </w:r>
    </w:p>
    <w:p w14:paraId="0A32B73C" w14:textId="77777777"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Теперь про вертикаль взаимодействия. В государственной системе всё устроено по армейскому принципу - чёткая иерархия, которую не перепрыгнешь. </w:t>
      </w:r>
    </w:p>
    <w:p w14:paraId="3B68AFD8" w14:textId="77777777"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Цепочка выглядит так: ведомственный SOC, оттуда информация уходит в региональный центр ГосСОПКА, а уже оттуда - прямиком в НКЦКИ. И если инцидент дотягивает до определённого уровня опасности, он автоматически идёт наверх. Никто не может остановить этот поток или </w:t>
      </w:r>
      <w:r w:rsidRPr="00D5196B">
        <w:rPr>
          <w:rFonts w:ascii="Times New Roman" w:eastAsia="Times New Roman" w:hAnsi="Times New Roman" w:cs="Times New Roman"/>
          <w:sz w:val="28"/>
          <w:szCs w:val="28"/>
          <w:lang w:val="ru-RU"/>
        </w:rPr>
        <w:lastRenderedPageBreak/>
        <w:t xml:space="preserve">перенаправить его в другое место - регламент есть регламент. Для сравнения: коммерческий SOC, даже если он обслуживает банк или оператора связи и точно так же взаимодействует с ГосСОПКА, смотрит на эту обязанность несколько иначе. </w:t>
      </w:r>
    </w:p>
    <w:p w14:paraId="61D8287B" w14:textId="038C60C2"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Для него передача данных наверх - это дополнительная нагрузка, которую он при первой возможности пытается автоматизировать и минимизировать, чтобы не отвлекать людей от основной работы. Для государственного же центра такая передача - не обуза, а одна из главных уставных задач. Собственно, ради этого центр во многом и существует. И если эту задачу провалить, последует не потеря контракта и не штрафные санкции от заказчика, а административная или, в особо тяжёлых случаях, уголовная ответственность. Разница, как говорится, налицо.</w:t>
      </w:r>
    </w:p>
    <w:p w14:paraId="2EDE9705" w14:textId="77777777"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Вот и получается, что государственный SOC всё время действует в системе координат, где юридические последствия и государственные интересы напрочь перевешивают любые соображения экономической эффективности. Нельзя сказать, что это хорошо или плохо, - это просто другая модель, рождённая другим мандатом. Коммерческому центру важно сберечь деньги бизнеса и не выпасть из рынка.</w:t>
      </w:r>
    </w:p>
    <w:p w14:paraId="5A508DD6" w14:textId="3A2EC23E" w:rsidR="009D538E" w:rsidRPr="00D5196B" w:rsidRDefault="009D538E" w:rsidP="00D5196B">
      <w:pPr>
        <w:spacing w:line="360" w:lineRule="auto"/>
        <w:ind w:firstLine="720"/>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 Государственному - обеспечить устойчивость критической инфраструктуры и вовремя отрапортовать наверх, даже если это неудобно и трудозатратно. Понимание этой разницы - ключ ко всему дальнейшему сравнению. Именно оно поможет в следующих разделах честно посмотреть, где подходы коммерческих и государственных SOC принципиально несовместимы, а где, наоборот, они могут друг у друга поучиться и взаимно обогатить свои процессы.</w:t>
      </w:r>
    </w:p>
    <w:p w14:paraId="1F32DDE8" w14:textId="77777777" w:rsidR="002F7973" w:rsidRPr="009D538E" w:rsidRDefault="002F7973" w:rsidP="001167DF">
      <w:pPr>
        <w:rPr>
          <w:rFonts w:ascii="Times New Roman" w:eastAsia="Times New Roman" w:hAnsi="Times New Roman" w:cs="Times New Roman"/>
          <w:sz w:val="28"/>
          <w:szCs w:val="28"/>
          <w:lang w:val="ru-RU"/>
        </w:rPr>
      </w:pPr>
    </w:p>
    <w:p w14:paraId="4EC0A5A6" w14:textId="77777777" w:rsidR="002F7973" w:rsidRPr="002F7973" w:rsidRDefault="002F7973" w:rsidP="001167DF">
      <w:pPr>
        <w:rPr>
          <w:rFonts w:ascii="Times New Roman" w:eastAsia="Times New Roman" w:hAnsi="Times New Roman" w:cs="Times New Roman"/>
          <w:b/>
          <w:bCs/>
          <w:sz w:val="28"/>
          <w:szCs w:val="28"/>
          <w:lang w:val="ru-RU"/>
        </w:rPr>
      </w:pPr>
    </w:p>
    <w:p w14:paraId="0507D7A0" w14:textId="77777777" w:rsidR="00564B14" w:rsidRDefault="00564B14" w:rsidP="006A63E7">
      <w:pPr>
        <w:pStyle w:val="3"/>
        <w:keepNext w:val="0"/>
        <w:keepLines w:val="0"/>
        <w:shd w:val="clear" w:color="auto" w:fill="FFFFFF"/>
        <w:spacing w:before="0" w:after="240" w:line="240" w:lineRule="auto"/>
        <w:rPr>
          <w:rFonts w:eastAsia="Times New Roman"/>
          <w:color w:val="0F1115"/>
          <w:sz w:val="30"/>
          <w:szCs w:val="30"/>
          <w:lang w:val="ru-RU"/>
        </w:rPr>
      </w:pPr>
    </w:p>
    <w:p w14:paraId="10B0FA7B" w14:textId="77777777" w:rsidR="00564B14" w:rsidRDefault="00564B14" w:rsidP="006A63E7">
      <w:pPr>
        <w:pStyle w:val="3"/>
        <w:keepNext w:val="0"/>
        <w:keepLines w:val="0"/>
        <w:shd w:val="clear" w:color="auto" w:fill="FFFFFF"/>
        <w:spacing w:before="0" w:after="240" w:line="240" w:lineRule="auto"/>
        <w:rPr>
          <w:rFonts w:eastAsia="Times New Roman"/>
          <w:color w:val="0F1115"/>
          <w:sz w:val="30"/>
          <w:szCs w:val="30"/>
          <w:lang w:val="ru-RU"/>
        </w:rPr>
      </w:pPr>
    </w:p>
    <w:p w14:paraId="7E9CAE16" w14:textId="18E7D3B1" w:rsidR="00D5196B" w:rsidRPr="00CF6876" w:rsidRDefault="00D5196B" w:rsidP="006A63E7">
      <w:pPr>
        <w:pStyle w:val="3"/>
        <w:keepNext w:val="0"/>
        <w:keepLines w:val="0"/>
        <w:shd w:val="clear" w:color="auto" w:fill="FFFFFF"/>
        <w:spacing w:before="0" w:after="240" w:line="240" w:lineRule="auto"/>
        <w:rPr>
          <w:rFonts w:eastAsia="Times New Roman"/>
          <w:color w:val="0F1115"/>
          <w:sz w:val="30"/>
          <w:szCs w:val="30"/>
          <w:lang w:val="ru-RU"/>
        </w:rPr>
      </w:pPr>
      <w:r w:rsidRPr="00D5196B">
        <w:rPr>
          <w:rFonts w:eastAsia="Times New Roman"/>
          <w:color w:val="0F1115"/>
          <w:sz w:val="30"/>
          <w:szCs w:val="30"/>
        </w:rPr>
        <w:lastRenderedPageBreak/>
        <w:t>Глава 2. Особенности процессов триажа в коммерческих SOC</w:t>
      </w:r>
    </w:p>
    <w:p w14:paraId="55954254" w14:textId="02908DCD" w:rsidR="001167DF"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2.1. Целевая функция и бизнес-ориентированные критерии приоритезации</w:t>
      </w:r>
    </w:p>
    <w:p w14:paraId="31904C92" w14:textId="77777777" w:rsidR="005C7CBA"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Фундаментальное отличие коммерческого центра мониторинга информационной безопасности от государственного начинается с формулировки его миссии. Если ведомственный SOC решает задачу, поставленную перед ним законом и административным регламентом, то коммерческий SOC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будь то внутреннее подразделение корпорации или внешний провайдер услуг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подчинён экономической логике. </w:t>
      </w:r>
    </w:p>
    <w:p w14:paraId="5A1E6F00" w14:textId="28C53BB5" w:rsidR="001167DF"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Его существование оправдано лишь до тех пор, пока издержки на содержание центра и стоимость пропущенных инцидентов в совокупности остаются ниже того ущерба, который организация понесла бы без него. Из этого прагматичного императива вырастает и целевая функция триажа: распределить ограниченное время аналитиков между конкурирующими сигналами таким образом, чтобы максимизировать предотвращённый ущерб в расчёте на единицу затраченных ресурсов. Триаж перестаёт быть сугубо технической процедурой и превращается в задачу оптимизации инвестиций в киберустойчивость.</w:t>
      </w:r>
    </w:p>
    <w:p w14:paraId="43F8311C" w14:textId="77777777" w:rsidR="005C7CBA"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Экономическая подоплёка триажа становится особенно наглядной, если рассмотреть её через призму предельных издержек. Каждая минута, потраченная аналитиком первой линии на разбор ложноположительного срабатывания, </w:t>
      </w:r>
      <w:r w:rsidR="0076695C"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это минута, отнятая у обработки инцидента, способного принести реальный ущерб. При годовом содержании SOC, исчисляемом десятками миллионов рублей, стоимость человеко-часа оказывается достаточно высока, чтобы сделать неэффективный триаж прямым убытком. </w:t>
      </w:r>
    </w:p>
    <w:p w14:paraId="1DF2248A" w14:textId="1FE4E23D" w:rsidR="005C7CBA" w:rsidRPr="00CF6876"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В коммерческих центрах с большим потоком алертов разница между качественной и некачественной сортировкой измеряется количеством пропущенных критичных инцидентов, каждый из которых способен повлечь за собой многомиллионные потери. Отсюда вытекает </w:t>
      </w:r>
      <w:r w:rsidRPr="00D5196B">
        <w:rPr>
          <w:rFonts w:ascii="Times New Roman" w:eastAsia="Times New Roman" w:hAnsi="Times New Roman" w:cs="Times New Roman"/>
          <w:sz w:val="28"/>
          <w:szCs w:val="28"/>
          <w:lang w:val="ru-RU"/>
        </w:rPr>
        <w:lastRenderedPageBreak/>
        <w:t>прагматичный критерий: инвестиции в автоматизацию триажа и обучение персонала оправданы ровно до того момента, пока дополнительный рубль, вложенный в улучшение показателей MTTD и False Positive Rate, приносит больше одного рубля сокращённого ожидаемого ущерба.</w:t>
      </w:r>
    </w:p>
    <w:p w14:paraId="0E907105" w14:textId="77777777" w:rsidR="005C7CBA"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Переходя от макроэкономической рамки к операционной, мы обнаруживаем, что конкретным воплощением целевой функции коммерческого SOC служит соглашение об уровне обслуживания. Для MSSP SLA </w:t>
      </w:r>
      <w:r w:rsidR="0076695C"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это коммерческий договор, в котором каждому уровню приоритета сопоставлены жёсткие временные нормативы: время подтверждения</w:t>
      </w:r>
      <w:r w:rsidR="0076695C" w:rsidRPr="00D5196B">
        <w:rPr>
          <w:rFonts w:ascii="Times New Roman" w:eastAsia="Times New Roman" w:hAnsi="Times New Roman" w:cs="Times New Roman"/>
          <w:sz w:val="28"/>
          <w:szCs w:val="28"/>
          <w:lang w:val="ru-RU"/>
        </w:rPr>
        <w:t xml:space="preserve">, </w:t>
      </w:r>
      <w:r w:rsidRPr="00D5196B">
        <w:rPr>
          <w:rFonts w:ascii="Times New Roman" w:eastAsia="Times New Roman" w:hAnsi="Times New Roman" w:cs="Times New Roman"/>
          <w:sz w:val="28"/>
          <w:szCs w:val="28"/>
          <w:lang w:val="ru-RU"/>
        </w:rPr>
        <w:t xml:space="preserve">время начала активных действий и предельное время разрешения . </w:t>
      </w:r>
    </w:p>
    <w:p w14:paraId="622DE28B" w14:textId="6D7076F4" w:rsidR="001167DF"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Пропуск контрольных отметок запускает механизм штрафных санкций, вплоть до перерасчёта стоимости месячного сервиса или предоставления бесплатных дополнительных услуг. Внутренние SOC также связаны SLA, хотя и в форме KPI, утверждённых руководством: несоблюдение сроков реагирования фиксируется внутренним аудитом и способно стать основанием для пересмотра бюджета или кадровых решений. Поэтому система приоритезации в коммерческом SOC конструируется не просто для удобства, а как средство гарантированного выполнения договорных обязательств перед лицом неопределённого и пульсирующего потока инцидентов.</w:t>
      </w:r>
    </w:p>
    <w:p w14:paraId="1828DE9C" w14:textId="2C2844D1" w:rsidR="005C7CBA" w:rsidRPr="00CF6876"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Исторически формирование бизнес-ориентированных критериев триажа прошло несколько этапов. На заре становления корпоративных SOC, в начале 2000-х годов, приоритет инцидентам зачастую присваивался на основе технической серьёзности уязвимости или типа вредоносного ПО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чем выше CVSS-балл или чем громче имя вируса в новостях, тем быстрее реагировали. Такой подход приводил к тому, что критически важные для бизнеса системы оказывались без присмотра, пока все силы брошены на громкую, но безопасную для организации атаку. Постепенное осознание </w:t>
      </w:r>
      <w:r w:rsidRPr="00D5196B">
        <w:rPr>
          <w:rFonts w:ascii="Times New Roman" w:eastAsia="Times New Roman" w:hAnsi="Times New Roman" w:cs="Times New Roman"/>
          <w:sz w:val="28"/>
          <w:szCs w:val="28"/>
          <w:lang w:val="ru-RU"/>
        </w:rPr>
        <w:lastRenderedPageBreak/>
        <w:t>этой диспропорции привело к перевороту в методологии: первой в очереди на триаж стала не «наиболее тяжёлая» с технической точки зрения угроза, а угроза, способная нанести максимальный экономический ущерб конкретному предприятию. Эта трансформация совпала с распространением методологии оценки влияния на бизнес (BIA) и её интеграцией в процессы управления инцидентами.</w:t>
      </w:r>
    </w:p>
    <w:p w14:paraId="1C6C2414" w14:textId="77777777" w:rsidR="005C7CBA"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Сегодня BIA служит фундаментом, на котором строится вся система приоритезации. Реестр бизнес-процессов с назначенными им критичностями транслируется в перечень информационных активов, а тот, в свою очередь,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в правила обогащения алертов в SIEM или SOAR. Когда алерт поступает на вход триажа, платформа автоматически сопоставляет IP-адрес, имя хоста или учётную запись с записями в CMDB и определяет, принадлежит ли затронутый ресурс к сегменту критичных систем, входит ли он в платёжный кластер, является ли сервером, обслуживающим клиентские операции. Именно этот контекст, а не тип вредоносной нагрузки, в первую очередь определяет приоритет. </w:t>
      </w:r>
    </w:p>
    <w:p w14:paraId="682FC8DE" w14:textId="47803BCD" w:rsidR="0076695C"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Так, попытка эксплуатации рядовой уязвимости на сервере интернет-банка немедленно возводится в ранг Critical, тогда как сигнал об аналогичной уязвимости на изолированном лабораторном стенде может быть отложен на несколько часов или даже дней, если это допускается внутренними SLA.</w:t>
      </w:r>
    </w:p>
    <w:p w14:paraId="421DD58E" w14:textId="77777777" w:rsidR="005C7CBA"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Вторым по значимости фактором выступает категория инцидента, увязанная с типовой моделью ущерба. Коммерческий SOC оперирует конечным числом категорий, каждая из которых имеет не только техническое описание, но и экономическую проекцию: фишинг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хищение учётных данных и возможные несанкционированные транзакции; шифровальщик </w:t>
      </w:r>
      <w:r w:rsidR="005C7CBA"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полный паралич бизнес-процессов и стоимость восстановления данных; утечка информации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регуляторные штрафы, </w:t>
      </w:r>
      <w:r w:rsidRPr="00D5196B">
        <w:rPr>
          <w:rFonts w:ascii="Times New Roman" w:eastAsia="Times New Roman" w:hAnsi="Times New Roman" w:cs="Times New Roman"/>
          <w:sz w:val="28"/>
          <w:szCs w:val="28"/>
          <w:lang w:val="ru-RU"/>
        </w:rPr>
        <w:lastRenderedPageBreak/>
        <w:t xml:space="preserve">судебные иски и отток клиентов; DDoS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недоступность сервиса и прямые потери выручки, пропорциональные времени простоя. </w:t>
      </w:r>
    </w:p>
    <w:p w14:paraId="0F3D7374" w14:textId="7FD5A4BD" w:rsidR="001167DF"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В зрелых SOC для каждой категории разработаны финансовые модели, позволяющие оценить ожидаемый ущерб как функцию времени развития инцидента. Например, для производственного предприятия простой конвейера обходится в 500 тысяч рублей в час; для онлайн-ритейлера час недоступности витрины в пиковый сезон может стоить несколько миллионов упущенной выручки. </w:t>
      </w:r>
      <w:r w:rsidR="0076695C" w:rsidRPr="00D5196B">
        <w:rPr>
          <w:rFonts w:ascii="Times New Roman" w:eastAsia="Times New Roman" w:hAnsi="Times New Roman" w:cs="Times New Roman"/>
          <w:sz w:val="28"/>
          <w:szCs w:val="28"/>
          <w:lang w:val="ru-RU"/>
        </w:rPr>
        <w:t xml:space="preserve">  </w:t>
      </w:r>
      <w:r w:rsidRPr="00D5196B">
        <w:rPr>
          <w:rFonts w:ascii="Times New Roman" w:eastAsia="Times New Roman" w:hAnsi="Times New Roman" w:cs="Times New Roman"/>
          <w:sz w:val="28"/>
          <w:szCs w:val="28"/>
          <w:lang w:val="ru-RU"/>
        </w:rPr>
        <w:t xml:space="preserve">Эти цифры не остаются абстракцией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они вшиваются в логику приоритезации и влияют на очерёдность эскалации.</w:t>
      </w:r>
    </w:p>
    <w:p w14:paraId="61196CA6" w14:textId="77777777" w:rsidR="005C7CBA"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Особое место в системе критериев занимают отраслевые регуляторные требования, которые в России с каждым годом становятся всё более обязывающими. Для финансовых организаций приказы Банка России предписывают немедленное реагирование на инциденты, связанные с осуществлением переводов денежных средств, и обязывают уведомлять регулятора в установленные сроки. </w:t>
      </w:r>
    </w:p>
    <w:p w14:paraId="299E5DE3" w14:textId="77777777" w:rsidR="005C7CBA"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Это означает, что триаж в банковском SOC не может отложить такой инцидент в долгий ящик, даже если текущий ущерб от него выглядит незначительным: несоблюдение нормативных сроков влечёт административную ответственность и риски для деловой репутации перед регулятором. </w:t>
      </w:r>
    </w:p>
    <w:p w14:paraId="6969C025" w14:textId="77777777" w:rsidR="005C7CBA"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Аналогичным образом, для операторов персональных данных вступает в силу Федеральный закон № 152-ФЗ, а с недавним усилением ответственности за утечки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и оборотные штрафы, исчисляемые от оборота компании. Коммерческий SOC, обслуживающий клиентов из разных отраслей, вынужден поддерживать мультитенантную конфигурацию матрицы приоритетов, в которой для каждого заказчика действует не только собственная шкала критичности активов, но и перечень нормативных триггеров, модифицирующих приоритет. </w:t>
      </w:r>
    </w:p>
    <w:p w14:paraId="4382E4B5" w14:textId="3B849C37" w:rsidR="001167DF"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lastRenderedPageBreak/>
        <w:t>Это резко усложняет архитектуру автоматизации, но одновременно делает её ещё более необходимой: оператор первой линии физически не способен удержать в памяти все нюансы регуляторных требований для десятков организаций.</w:t>
      </w:r>
    </w:p>
    <w:p w14:paraId="04B7ADFE" w14:textId="7DAC0F4D" w:rsidR="0076695C"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Нельзя обойти вниманием и относительно новое явление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влияние киберстрахования на критерии триажа. По мере того как российские компании всё активнее приобретают полисы страхования киберрисков, страховщики начинают предъявлять к ним требования по минимальному набору мер защиты и оперативности реагирования. </w:t>
      </w:r>
    </w:p>
    <w:p w14:paraId="47A5121D" w14:textId="77777777" w:rsidR="005C7CBA"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Условия полиса могут прямо оговаривать, что задержка в реагировании на определённый тип инцидентов сверх оговорённого времени освобождает страховщика от выплаты. Следовательно, SOC, работающий в организации с действующим полисом, встраивает в свою матрицу приоритетов дополнительный вес для инцидентов, релевантных условиям страхования. </w:t>
      </w:r>
    </w:p>
    <w:p w14:paraId="7A262A5E" w14:textId="509EA8DD" w:rsidR="00D31A2E" w:rsidRPr="00CF6876"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Более того, MSSP, обслуживающий застрахованного клиента, может получить от страхователя требования к минимальному времени триажа, невыполнение которых грозит потерей контракта. Так страховой рынок становится ещё одним внешним драйвером, усиливающим бизнес-ориентированность процессов сортировки.</w:t>
      </w:r>
    </w:p>
    <w:p w14:paraId="5A55A159" w14:textId="361C9D13"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В современном коммерческом SOC бизнес-ориентированную приоритезацию просто невозможно представить без сквозной автоматизации. На входе конвейера алерт сразу обогащается данными из CMDB, платформы threat intelligence и базы знаний об уязвимостях. Дальше SOAR-платформа по заранее утверждённой формуле вычисляет числовой приоритет - либо в баллах, либо в деньгах, отражая ожидаемый ущерб.</w:t>
      </w:r>
    </w:p>
    <w:p w14:paraId="1B08C013" w14:textId="02C2B8C0"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Формула эта редко представляет собой простую сумму факторов. В зрелых центрах применяют взвешенные мультипликативные модели: скажем, критичность актива перемножается с коэффициентом </w:t>
      </w:r>
      <w:r w:rsidRPr="00D5196B">
        <w:rPr>
          <w:rFonts w:ascii="Times New Roman" w:eastAsia="Times New Roman" w:hAnsi="Times New Roman" w:cs="Times New Roman"/>
          <w:sz w:val="28"/>
          <w:szCs w:val="28"/>
          <w:lang w:val="ru-RU"/>
        </w:rPr>
        <w:lastRenderedPageBreak/>
        <w:t>достоверности сигнала и с коэффициентом времени, которое прошло с момента обнаружения. Такой динамический расчёт позволяет системе автоматически повышать приоритет алерту по мере его старения в очереди, чтобы «средние» инциденты не откладывались до бесконечности.</w:t>
      </w:r>
    </w:p>
    <w:p w14:paraId="2D3C4184" w14:textId="03363EDF"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Аналитик первой линии работает уже не с сырым сигналом, а с готовой карточкой инцидента, где поле «приоритет» уже заполнено. Его задача - проверить решение системы и, если нужно, подправить его, если у него есть какие-то неформализованные сведения. В хорошо отлаженном SOC доля ручных переопределений обычно не превышает 5-10 %, что говорит о высоком качестве модели. Накопленная статистика корректировок идёт на непрерывное улучшение: если по определённому типу алертов операторы систематически завышают или занижают приоритет, модель переобучается на свежих данных и повышает точность.</w:t>
      </w:r>
    </w:p>
    <w:p w14:paraId="4C0CD0DE" w14:textId="71C0FB40" w:rsidR="00B24AB1" w:rsidRPr="00CF6876"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Зрелость системы бизнес-триажа можно оценить по тому, насколько она учитывает фазу атаки в моделях типа Kill Chain или MITRE ATT&amp;CK. Инциденты на ранних стадиях несут в себе потенциал ущерба, но ещё не нанесли реального вреда. Продвинутая система приоритезации даёт им высокий приоритет не потому, что ущерб уже случился, а потому, что предотвратить атаку на раннем этапе на порядки дешевле, чем разгребать последствия полностью реализованной атаки. Это требует более тонкой настройки: ценность раннего предупреждения нужно явно закладывать в весовые коэффициенты, иначе операторы, задавленные горящими инцидентами, будут откладывать «профилактические» сигналы на потом, а в долгосрочной перспективе это увеличит средний ущерб. Коммерческий SOC, который борется за снижение MTTR, прямо заинтересован во внедрении такой опережающей логики.</w:t>
      </w:r>
    </w:p>
    <w:p w14:paraId="2FE53838" w14:textId="5316AF6E"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Завершая разговор о целевой функции и критериях, нельзя обойти и компромисс между точностью и пропускной способностью триажа - а это уже чисто бизнес-измерение. Если повысить чувствительность правил </w:t>
      </w:r>
      <w:r w:rsidRPr="00D5196B">
        <w:rPr>
          <w:rFonts w:ascii="Times New Roman" w:eastAsia="Times New Roman" w:hAnsi="Times New Roman" w:cs="Times New Roman"/>
          <w:sz w:val="28"/>
          <w:szCs w:val="28"/>
          <w:lang w:val="ru-RU"/>
        </w:rPr>
        <w:lastRenderedPageBreak/>
        <w:t>корреляции, снижается вероятность пропустить опасный инцидент, но одновременно растёт поток ложных срабатываний, первая линия перегружается, операционные расходы ползут вверх. Снизишь чувствительность - сэкономишь труд аналитиков, но возрастёт риск пропуска атаки. Коммерческий SOC решает эту дилемму, опираясь на риск-аппетит организации, который формализован в политике управления рисками. Риск-аппетит определяет допустимый уровень остаточного риска, а от него уже считают допустимые уровни ложных пропусков и ложных срабатываний, которые и задают пороги срабатывания правил. Выходит, что даже настройка технических средств защиты подчинена бизнес-логике, а не является сугубо технической задачей.</w:t>
      </w:r>
    </w:p>
    <w:p w14:paraId="07AA94D6" w14:textId="77777777"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Внутренний корпоративный SOC и внешний MSSP, при всей общей бизнес-ориентированности, по-разному расставляют акценты. MSSP, у которого десятки клиентов, стремится к унификации и стандартизации матриц приоритетов, чтобы снизить издержки на поддержку кучи индивидуальных конфигураций. Его целевая функция смещена в сторону стабильности и предсказуемости операционных затрат, из-за чего заказчикам нередко предлагают несколько типовых профилей обслуживания - с разной глубиной триажа и скоростью реакции. Внутренний SOC, наоборот, может позволить себе глубокую кастомизацию под уникальные риски своей организации и принимать решение об эскалации, исходя не только из контрактных обязательств, но и из долгосрочных стратегических соображений.</w:t>
      </w:r>
    </w:p>
    <w:p w14:paraId="55C9CEBB" w14:textId="2D7F599A" w:rsidR="001167DF"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2.2. Организационная структура и инструментальный стек</w:t>
      </w:r>
    </w:p>
    <w:p w14:paraId="4579359F" w14:textId="18F24E5B" w:rsidR="00C24A72"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В</w:t>
      </w:r>
      <w:r w:rsidR="00C24A72" w:rsidRPr="00D5196B">
        <w:rPr>
          <w:rFonts w:ascii="Times New Roman" w:eastAsia="Times New Roman" w:hAnsi="Times New Roman" w:cs="Times New Roman"/>
          <w:sz w:val="28"/>
          <w:szCs w:val="28"/>
          <w:lang w:val="ru-RU"/>
        </w:rPr>
        <w:t xml:space="preserve"> коммерческом SOC всё крутится вокруг денег, времени и SLA. Но сами по себе правильные цели и критерии приоритезации - это ещё не всё. Чтобы вся эта машина заработала, нужны два взаимосвязанных элемента: чёткая организационная структура, которая разводит потоки алертов по нужным людям, и набор инструментов, которые этим людям дают в руки. </w:t>
      </w:r>
      <w:r w:rsidR="00C24A72" w:rsidRPr="00D5196B">
        <w:rPr>
          <w:rFonts w:ascii="Times New Roman" w:eastAsia="Times New Roman" w:hAnsi="Times New Roman" w:cs="Times New Roman"/>
          <w:sz w:val="28"/>
          <w:szCs w:val="28"/>
          <w:lang w:val="ru-RU"/>
        </w:rPr>
        <w:lastRenderedPageBreak/>
        <w:t>Если целевая функция задаёт направление, а критерии - правила игры, то структура и стек образуют тот самый операционный каркас, в котором решения принимаются и исполняются. И в коммерческой среде, где ошибка бьёт рублём и штрафами, этот каркас проектируют так, чтобы он пропускал через себя огромные объёмы сигналов, работал предсказуемо и как можно меньше зависел от того, насколько уникален тот или иной сотрудник.</w:t>
      </w:r>
    </w:p>
    <w:p w14:paraId="5A73E8A3" w14:textId="77777777" w:rsidR="00C24A72" w:rsidRPr="00D5196B" w:rsidRDefault="00C24A72"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Классическая организационная модель коммерческого SOC досталась нам в наследство от аутсорсинговых ИТ-команд и со временем обросла своей спецификой. Выглядит она как трёхуровневая пирамида. В основании - первая линия анализа, или L1. Именно сюда стекается весь входящий поток алертов, и именно здесь сосредоточен оперативный триаж. Аналитик L1 работает по заранее прописанным сценариям: быстренько сверяет индикаторы компрометации с базами threat intelligence, определяет по CMDB, что за актив затронут, оценивает контекст и либо закрывает алерт как ложное срабатывание, либо эскалирует его наверх. </w:t>
      </w:r>
    </w:p>
    <w:p w14:paraId="1B0DBEEB" w14:textId="77777777" w:rsidR="00D5196B" w:rsidRPr="00D5196B" w:rsidRDefault="00C24A72"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Главное требование к такому сотруднику - не умение копаться в ассемблерном коде, а скорость, внимательность и знание своих плейбуков до автоматизма. Поэтому на первую линию часто берут вчерашних выпускников или людей с минимальным опытом в ИБ, а всё обучение строится вокруг интерфейсов используемых платформ и типовых процедур. Срок вхождения в должность редко превышает пару-тройку месяцев. Для MSSP-провайдера это просто подарок: можно быстро нарастить штат L1 под нового заказчика, не гоняясь за дорогостоящими экспертами, которых на рынке и так кот наплакал.</w:t>
      </w:r>
    </w:p>
    <w:p w14:paraId="0825C64C" w14:textId="5B74632E" w:rsidR="00C24A72" w:rsidRPr="00D5196B" w:rsidRDefault="00C24A72"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Над первой линией надстраивается вторая - L2. Сюда попадают уже эскалированные инциденты, по которым нужно провести нормальное расследование. Если у оператора L1 счёт идёт на минуты, то аналитик L2 может сидеть над одним эпизодом часами, а то и днями. Он восстанавливает </w:t>
      </w:r>
      <w:r w:rsidRPr="00D5196B">
        <w:rPr>
          <w:rFonts w:ascii="Times New Roman" w:eastAsia="Times New Roman" w:hAnsi="Times New Roman" w:cs="Times New Roman"/>
          <w:sz w:val="28"/>
          <w:szCs w:val="28"/>
          <w:lang w:val="ru-RU"/>
        </w:rPr>
        <w:lastRenderedPageBreak/>
        <w:t xml:space="preserve">таймлайн атаки, разбирает дампы трафика, проверяет гипотезы о том, как злоумышленник проник внутрь. </w:t>
      </w:r>
    </w:p>
    <w:p w14:paraId="71C614FE" w14:textId="796203BA" w:rsidR="00C24A72" w:rsidRPr="00CF6876" w:rsidRDefault="00C24A72"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Именно на этом уровне рождается окончательное заключение о масштабах компрометации и рекомендации, что изолировать, что блокировать и как восстанавливаться. Квалификация у этих ребят уже серьёзная - обычно подтверждена вендорскими сертификатами и как минимум парой-тройкой лет реального опыта расследований. Эта линия служит мостиком между быстрым триажем и глубокой экспертизой, и её загрузка напрямую зависит от того, насколько чисто сработала первая линия. Если L1 пропускает слишком много ложняков, L2 быстро захлёбывается, и среднее время расследования начинает неумолимо ползти вверх.</w:t>
      </w:r>
    </w:p>
    <w:p w14:paraId="0C9DD1EF" w14:textId="7E44BE97" w:rsidR="00C24A72" w:rsidRPr="00D5196B" w:rsidRDefault="00C24A72"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Третья линия, или L3, в коммерческом SOC обычно не занимается потоковыми инцидентами. Её удел - проактивный поиск угроз, обратная разработка сложных образцов вредоносного ПО, создание новых правил корреляции и плейбуков, а также общение с вендорами и внешними исследовательскими группами. В контексте триажа роль L3 скорее опосредованная: специалисты этого уровня проектируют те самые сценарии, по которым потом пашет первая линия, и учат коллег с L1 и L2 распознавать новые тактики злоумышленников. В крупных MSSP-провайдерах третью линию часто делают централизованной - одна команда экспертов обслуживает сразу несколько клиентских SOC. Это позволяет экономить на высокооплачиваемых специалистах за счёт эффекта масштаба.</w:t>
      </w:r>
    </w:p>
    <w:p w14:paraId="6F2B2F4E" w14:textId="4035E5EA" w:rsidR="00C24A72" w:rsidRPr="00CF6876" w:rsidRDefault="00C24A72"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Конечно, жизнь не всегда укладывается в стройную трёхуровневую схему. На практике многие центры её модифицируют. Например, некоторые крупные внутренние SOC вводят промежуточный уровень - так называемую линию 1.5. Она забирает на себя алерты средней сложности, </w:t>
      </w:r>
      <w:r w:rsidRPr="00D5196B">
        <w:rPr>
          <w:rFonts w:ascii="Times New Roman" w:eastAsia="Times New Roman" w:hAnsi="Times New Roman" w:cs="Times New Roman"/>
          <w:sz w:val="28"/>
          <w:szCs w:val="28"/>
          <w:lang w:val="ru-RU"/>
        </w:rPr>
        <w:lastRenderedPageBreak/>
        <w:t xml:space="preserve">которые ещё не тянут на полноценную эскалацию на L2, но уже требуют более детального анализа, чем может дать обычный оператор L1. </w:t>
      </w:r>
    </w:p>
    <w:p w14:paraId="084D16BF" w14:textId="66C2C51C" w:rsidR="00C24A72" w:rsidRPr="00D5196B" w:rsidRDefault="00C24A72"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Такой подход помогает разгрузить вторую линию и ускорить реакцию на инциденты, которые иначе могли бы надолго застрять в очереди. В небольших же SOC, особенно тех, что обслуживают одну организацию, уровни и вовсе могут быть свёрнуты до двух. Тогда аналитик первой линии берёт на себя часть обязанностей L2, а чистый L3 отсутствует как штатная единица - его функции при необходимости закрывают внешними подрядчиками.</w:t>
      </w:r>
    </w:p>
    <w:p w14:paraId="390C86E1" w14:textId="77777777" w:rsidR="00D5196B" w:rsidRPr="00D5196B" w:rsidRDefault="00C24A72"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Вся эта красивая пирамида останется бесполезной грудой оргсхем, если не подкрепить её нормальным инструментальным стеком. Инструменты - это то, что позволяет людям на каждом уровне реально работать с потоком событий, а не просто смотреть на бесконечный список логов. Центральным компонентом здесь, без которого триаж в современном коммерческом SOC просто немыслим, является SIEM-система. Если говорить по-простому, SIEM - это такой комбайн, который собирает логи и события со всех уголков инфраструктуры: с межсетевых экранов, серверов аутентификации, конечных точек, почтовых шлюзов, облачных сервисов. Он всё это нормализует, приводит к единому виду и прогоняет через правила корреляции. На выходе мы получаем не сырой поток данных, а уже частично отфильтрованные алерты, которые можно отдавать на растерзание первой линии. Качество этих правил напрямую определяет, утонет ли L1 в море ложных срабатываний или будет работать как хорошо смазанный механизм. Поэтому настройка и постоянная доводка контента SIEM - это одна из главных операционных задач инженерной группы, которая трудится в тесной связке с экспертами L3. Если SIEM - это источник алертов, то следующим ключевым звеном в цепочке становится SOAR-платформа, но об этом мы ещё поговорим дальше</w:t>
      </w:r>
      <w:r w:rsidR="00D5196B" w:rsidRPr="00D5196B">
        <w:rPr>
          <w:rFonts w:ascii="Times New Roman" w:eastAsia="Times New Roman" w:hAnsi="Times New Roman" w:cs="Times New Roman"/>
          <w:sz w:val="28"/>
          <w:szCs w:val="28"/>
          <w:lang w:val="ru-RU"/>
        </w:rPr>
        <w:t>.</w:t>
      </w:r>
    </w:p>
    <w:p w14:paraId="68BF718D" w14:textId="39F69EEF" w:rsidR="00C24A72"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lastRenderedPageBreak/>
        <w:t xml:space="preserve">Она агрегирует логи и события от сотен и тысяч источников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межсетевых экранов, серверов аутентификации, средств защиты конечных точек, почтовых шлюзов, облачных инфраструктур,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нормализует их и применяет правила корреляции, генерируя на выходе поток алертов, уже прошедших первый этап фильтрации. Качество этих правил напрямую определяет входную нагрузку на триаж: если правила написаны слишком агрессивно, первая линия тонет в ложных срабатываниях; если слишком консервативно </w:t>
      </w:r>
      <w:r w:rsidR="00564B14">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возрастает риск пропуска атаки. </w:t>
      </w:r>
    </w:p>
    <w:p w14:paraId="679ED6E4" w14:textId="70D9A5ED" w:rsidR="001167DF"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Поэтому настройка и непрерывная актуализация контента SIEM является одной из главных операционных задач инженерной группы SOC, работающей в тесной связке с L3-аналитиками.</w:t>
      </w:r>
    </w:p>
    <w:p w14:paraId="1607B450" w14:textId="77777777" w:rsidR="00E97365"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Если SIEM выступает источником алертов, то SOAR-</w:t>
      </w:r>
      <w:r w:rsidR="00E97365" w:rsidRPr="00D5196B">
        <w:rPr>
          <w:rFonts w:ascii="Times New Roman" w:eastAsia="Times New Roman" w:hAnsi="Times New Roman" w:cs="Times New Roman"/>
          <w:sz w:val="28"/>
          <w:szCs w:val="28"/>
          <w:lang w:val="ru-RU"/>
        </w:rPr>
        <w:t xml:space="preserve"> </w:t>
      </w:r>
      <w:r w:rsidRPr="00D5196B">
        <w:rPr>
          <w:rFonts w:ascii="Times New Roman" w:eastAsia="Times New Roman" w:hAnsi="Times New Roman" w:cs="Times New Roman"/>
          <w:sz w:val="28"/>
          <w:szCs w:val="28"/>
          <w:lang w:val="ru-RU"/>
        </w:rPr>
        <w:t>платформа</w:t>
      </w:r>
      <w:r w:rsidR="00E97365" w:rsidRPr="00D5196B">
        <w:rPr>
          <w:rFonts w:ascii="Times New Roman" w:eastAsia="Times New Roman" w:hAnsi="Times New Roman" w:cs="Times New Roman"/>
          <w:sz w:val="28"/>
          <w:szCs w:val="28"/>
          <w:lang w:val="ru-RU"/>
        </w:rPr>
        <w:t xml:space="preserve"> </w:t>
      </w:r>
      <w:r w:rsidRPr="00D5196B">
        <w:rPr>
          <w:rFonts w:ascii="Times New Roman" w:eastAsia="Times New Roman" w:hAnsi="Times New Roman" w:cs="Times New Roman"/>
          <w:sz w:val="28"/>
          <w:szCs w:val="28"/>
          <w:lang w:val="ru-RU"/>
        </w:rPr>
        <w:t xml:space="preserve">служит главным инструментом их обработки. Именно в SOAR реализуются плейбуки триажа, которые ведут оператора L1 через цепочку проверок: проверь репутацию IP-адреса в AbuseIPDB или собственном TIP, запроси у EDR информацию о процессах на хосте, сверь владельца актива из CMDB, проверь, не открыта ли по данному хосту связанная заявка в ServiceNow. Многие из этих шагов SOAR выполняет автоматически, без участия человека, и оператор получает уже обогащённую карточку инцидента с предложением решения. </w:t>
      </w:r>
    </w:p>
    <w:p w14:paraId="60F041B7" w14:textId="77777777" w:rsidR="00333923"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В наиболее зрелых конфигурациях SOAR способен самостоятельно закрывать до 70–80 % типовых алертов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например, изолировать хост при подтверждённом фишинговом письме, сбросить скомпрометированную учётную запись и уведомить пользователя, </w:t>
      </w:r>
      <w:r w:rsidR="00E97365"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оставляя аналитику L1 лишь функцию контроля и вмешательство в нестандартных ситуациях. </w:t>
      </w:r>
    </w:p>
    <w:p w14:paraId="667A14AC" w14:textId="4E880F73" w:rsidR="00E97365" w:rsidRPr="00D5196B"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Такой уровень автоматизации не только сокращает нагрузку на персонал, но и резко снижает вариативность решений, обеспечивая соблюдение SLA вне зависимости от того, кто именно находится на смене.</w:t>
      </w:r>
    </w:p>
    <w:p w14:paraId="5F880BA1" w14:textId="309F450C" w:rsidR="00B24AB1" w:rsidRPr="00CF6876"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lastRenderedPageBreak/>
        <w:t>Понятно, что SOAR-платформа сама по себе, без плотной связки с другими средствами защиты, мало что даст. Её эффективность упирается в то, насколько глубоко она интегрирована с остальными элементами стека. В нормальном коммерческом SOC в триаже обязательно участвуют: EDR, который поставляет детальные данные о процессах, сетевых соединениях и файловых операциях на конечных точках; NTA или NDR для выявления аномалий трафика и подозрительных командных центров; платформа Threat Intelligence для обогащения индикаторов компрометации свежими данными о репутации и контексте угроз; и, наконец, CMDB или её упрощённые аналоги, откуда берут информацию о том, к какому бизнес-процессу привязаны конкретные хосты и учётные записи. Когда всё это добро тесно связано через API или общую шину данных, SOAR прямо во время триажа за пару секунд вытягивает полный контекст - тот самый, на который оператор вручную потратил бы минуты.</w:t>
      </w:r>
    </w:p>
    <w:p w14:paraId="206505B5" w14:textId="77777777"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Если говорить про российские коммерческие SOC последних лет, здесь стек всё чаще собирают с оглядкой на импортозамещение и необходимость сертификации под КИИ и госинформсистемы. Когда заказчик подпадает под требования приказов ФСТЭК или работает с персональными данными, SOC'у ничего не остаётся, кроме как переезжать на отечественные решения: MaxPatrol SIEM, Kaspersky Unified Monitoring and Analysis Platform, Ankey ASAP, ViPNet TIAS и другие продукты из реестра отечественного ПО. Это, конечно, создаёт свои проблемы: по зрелости экосистем интеграций и готовых плейбуков российские SOAR-платформы пока уступают глобальным аналогам вроде Splunk Phantom или Palo Alto Cortex XSOAR. </w:t>
      </w:r>
    </w:p>
    <w:p w14:paraId="64051BBF" w14:textId="5E98C6EC"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Из-за этого коммерческим провайдерам приходится дополнительно вкладываться в собственную разработку коннекторов и сценариев. Параллельно рынок коммерческих SOC в России сейчас консолидируется - крупные MSSP создают свои технологические платформы, где под одной </w:t>
      </w:r>
      <w:r w:rsidRPr="00D5196B">
        <w:rPr>
          <w:rFonts w:ascii="Times New Roman" w:eastAsia="Times New Roman" w:hAnsi="Times New Roman" w:cs="Times New Roman"/>
          <w:sz w:val="28"/>
          <w:szCs w:val="28"/>
          <w:lang w:val="ru-RU"/>
        </w:rPr>
        <w:lastRenderedPageBreak/>
        <w:t>крышей собирают функциональность SIEM, SOAR и TIP, затачивая всё это под российскую нормативную среду.</w:t>
      </w:r>
    </w:p>
    <w:p w14:paraId="265684CA" w14:textId="77777777"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Организационная структура и инструментарий, кстати, не живут отдельно - они всё время подстраиваются друг под друга. Появление нового класса средств, например XDR, который сводит данные с конечных точек, сети и облака в единую корреляционную модель, понемногу стирает границу между SIEM и SOAR и предлагает встроенную автоматизацию триажа прямо на уровне детектирования. А это, в свою очередь, меняет требования к персоналу: оператор L1 всё реже скачет между десятком разрозненных консолей и всё чаще сидит в единой панели управления инцидентами. </w:t>
      </w:r>
    </w:p>
    <w:p w14:paraId="143E5D09" w14:textId="6F04CDC2"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С одной стороны, обучение упрощается, с другой - от него теперь ждут более широкого кругозора, который охватывает и сеть, и хосты, и облако. Коммерческие SOC в погоне за контрактами активно экспериментируют с такими архитектурами и стараются сжать время первичного триажа до секунд, а не минут.</w:t>
      </w:r>
    </w:p>
    <w:p w14:paraId="29C4EE46" w14:textId="6928B8FF"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Заканчивая разговор про структуру и стек коммерческого SOC, стоит ещё раз подчеркнуть: и то и другое работает на общую бизнес-логику, о которой шла речь в предыдущем подразделе. </w:t>
      </w:r>
    </w:p>
    <w:p w14:paraId="19FF0FE8" w14:textId="6A99CFC7"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Штатное расписание выстраивают так, чтобы основная масса алертов обрабатывалась на L1 максимально дёшево, а дорогие эксперты L2 и L3 подключались только там, где их квалификация действительно незаменима. Инструменты подбирают и настраивают с той же целью: каждый рубль автоматизации должен вытеснять как можно больше человеко-часов ручной сортировки, но без потери качества.</w:t>
      </w:r>
    </w:p>
    <w:p w14:paraId="34A94698" w14:textId="0987D683" w:rsidR="00B24AB1" w:rsidRPr="00CF6876" w:rsidRDefault="001167DF"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Эта жёсткая экономическая оптимизация составляет сущностную характеристику коммерческого подхода к построению SOC и является тем фоном, на котором в следующей главе будут рассмотрены особенности </w:t>
      </w:r>
      <w:r w:rsidRPr="00D5196B">
        <w:rPr>
          <w:rFonts w:ascii="Times New Roman" w:eastAsia="Times New Roman" w:hAnsi="Times New Roman" w:cs="Times New Roman"/>
          <w:sz w:val="28"/>
          <w:szCs w:val="28"/>
          <w:lang w:val="ru-RU"/>
        </w:rPr>
        <w:lastRenderedPageBreak/>
        <w:t>государственных центров, действующих в принципиально иной системе координат.</w:t>
      </w:r>
    </w:p>
    <w:p w14:paraId="265A985B" w14:textId="3D710A6A" w:rsidR="002B78DD" w:rsidRPr="00D5196B" w:rsidRDefault="00C24A72"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color w:val="0F1115"/>
          <w:sz w:val="28"/>
          <w:szCs w:val="28"/>
          <w:highlight w:val="white"/>
          <w:lang w:val="ru-RU"/>
        </w:rPr>
        <w:t>2</w:t>
      </w:r>
      <w:r w:rsidR="00075C5E" w:rsidRPr="00D5196B">
        <w:rPr>
          <w:rFonts w:ascii="Times New Roman" w:eastAsia="Times New Roman" w:hAnsi="Times New Roman" w:cs="Times New Roman"/>
          <w:color w:val="0F1115"/>
          <w:sz w:val="28"/>
          <w:szCs w:val="28"/>
          <w:highlight w:val="white"/>
        </w:rPr>
        <w:t>.</w:t>
      </w:r>
      <w:r w:rsidR="00075C5E" w:rsidRPr="00D5196B">
        <w:rPr>
          <w:rFonts w:ascii="Times New Roman" w:eastAsia="Times New Roman" w:hAnsi="Times New Roman" w:cs="Times New Roman"/>
          <w:color w:val="0F1115"/>
          <w:sz w:val="28"/>
          <w:szCs w:val="28"/>
          <w:highlight w:val="white"/>
          <w:lang w:val="ru-RU"/>
        </w:rPr>
        <w:t>3</w:t>
      </w:r>
      <w:r w:rsidR="00075C5E" w:rsidRPr="00D5196B">
        <w:rPr>
          <w:rFonts w:ascii="Times New Roman" w:eastAsia="Times New Roman" w:hAnsi="Times New Roman" w:cs="Times New Roman"/>
          <w:color w:val="0F1115"/>
          <w:sz w:val="28"/>
          <w:szCs w:val="28"/>
          <w:highlight w:val="white"/>
        </w:rPr>
        <w:t>. Нормативное давление и обязательные процедуры триажа</w:t>
      </w:r>
      <w:r w:rsidR="00075C5E" w:rsidRPr="00D5196B">
        <w:rPr>
          <w:rFonts w:ascii="Times New Roman" w:eastAsia="Times New Roman" w:hAnsi="Times New Roman" w:cs="Times New Roman"/>
          <w:sz w:val="28"/>
          <w:szCs w:val="28"/>
        </w:rPr>
        <w:t xml:space="preserve"> </w:t>
      </w:r>
    </w:p>
    <w:p w14:paraId="6DAA26E6" w14:textId="641F7865" w:rsidR="00F6073D" w:rsidRPr="00D5196B"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Когда говорят о государственном SOC, слово «давление» - не метафора, а вполне рабочее описание того, в каких условиях приходится действовать аналитикам. В коммерческом центре мониторинга главный стимул не затягивать с триажем - это SLA и деньги заказчика. В государственном - это требования закона, невыполнение которых способно привести к последствиям куда более серьёзным, чем финансовая неустойка. Поэтому нормативная база здесь не просто регулирует деятельность центра на каком-то абстрактном уровне, а буквально диктует, какие кнопки и в какой последовательности должен нажимать оператор первой линии, получив очередной алерт.</w:t>
      </w:r>
    </w:p>
    <w:p w14:paraId="19421A9A" w14:textId="5CE63F27" w:rsidR="00F6073D" w:rsidRPr="00D5196B"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Базовым документом, задающим саму необходимость такого жёсткого подхода, остаётся всё тот же 187-ФЗ о безопасности КИИ. Но в практическую плоскость его требования переводят подзаконные акты ФСТЭК России. Среди них первым номером идёт приказ № 235, устанавливающий требования к системам безопасности значимых объектов КИИ. В нём прямо сказано, что субъект КИИ обязан не просто иметь какой-то там SOC для галочки, а обеспечивать непрерывный мониторинг, выявление инцидентов и реагирование на них. Уже одно это положение заставляет выстраивать триаж не как вспомогательную функцию, а как обязательный элемент системы защиты, за отсутствие которого можно получить вполне конкретное предписание или штраф.</w:t>
      </w:r>
    </w:p>
    <w:p w14:paraId="7814FEDB" w14:textId="77777777" w:rsidR="00F6073D" w:rsidRPr="00D5196B"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Дальше - больше. Приказ ФСТЭК № 239 определяет, как именно и в какие сроки нужно информировать Национальный координационный центр по компьютерным инцидентам. Для процесса триажа это означает появление совершенно новой оси принятия решений, которой нет в коммерческих SOC. Аналитик L1, получив сигнал, должен не просто </w:t>
      </w:r>
      <w:r w:rsidRPr="00D5196B">
        <w:rPr>
          <w:rFonts w:ascii="Times New Roman" w:eastAsia="Times New Roman" w:hAnsi="Times New Roman" w:cs="Times New Roman"/>
          <w:sz w:val="28"/>
          <w:szCs w:val="28"/>
          <w:lang w:val="ru-RU"/>
        </w:rPr>
        <w:lastRenderedPageBreak/>
        <w:t xml:space="preserve">определить, ложный он или нет, и не просто присвоить ему внутренний приоритет. Он обязан сразу же прикинуть, подпадает ли событие под категорию «компьютерная атака» и, если да, то какова степень её опасности по шкале, утверждённой НКЦКИ. </w:t>
      </w:r>
    </w:p>
    <w:p w14:paraId="531723DB" w14:textId="3B3D09A0" w:rsidR="00F6073D" w:rsidRPr="00CF6876"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Шкала эта, к слову, довольно подробная: от первой степени до пятой. И от того, какую степень поставит аналитик на этапе триажа, зависит не только очерёдность эскалации внутри SOC, но и то, через сколько минут или часов донесение должно уйти в вышестоящий центр ГосСОПКА.</w:t>
      </w:r>
    </w:p>
    <w:p w14:paraId="18B76963" w14:textId="77777777" w:rsidR="00D5196B" w:rsidRPr="00CF6876"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Фактически это превращает триаж в государственном SOC в двойную работу. Мало провести технический анализ: проверить индикаторы компрометации, определить затронутые активы, понять, что именно произошло. </w:t>
      </w:r>
      <w:r w:rsidR="00B24AB1" w:rsidRPr="00D5196B">
        <w:rPr>
          <w:rFonts w:ascii="Times New Roman" w:eastAsia="Times New Roman" w:hAnsi="Times New Roman" w:cs="Times New Roman"/>
          <w:sz w:val="28"/>
          <w:szCs w:val="28"/>
          <w:lang w:val="ru-RU"/>
        </w:rPr>
        <w:t>Но это ещё не всё - мало провести технический разбор, нужно облечь результат в юридически грамотную форму. Когда инцидент покидает первую линию, в его карточке должны быть не только технические детали в духе «сработка на троян AgentTesla». Там обязаны присутствовать формальные поля: является ли событие компьютерной атакой по определению 187-ФЗ, какая степень опасности ему присвоена, требуется ли немедленно уведомить НКЦКИ, тянет ли инцидент на критерии значимого для объекта КИИ. И заполнение этих полей - вовсе не факультативная опция «для галочки». Это строго обязательная процедура, прописанная во внутренних инструкциях SOC, а те, в свою очередь, написаны ровно так, как того требует регулятор.</w:t>
      </w:r>
    </w:p>
    <w:p w14:paraId="5FBEF22D" w14:textId="4F52B615" w:rsidR="00B24AB1" w:rsidRPr="00CF6876"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Свою ложку дёгтя в усложнение триажа добавляет и приказ ФСТЭК № 17, который касается государственных информационных систем. Для ГИСов он вводит классы защищённости и подробно расписывает требования к регистрации событий. На практике это оборачивается тем, что оператор госСОКа лишён роскоши игнорировать даже те алерты, которые в коммерческом центре без зазрения совести отправили бы в мусорную корзину. Всё, что угодило в лог и соответствует перечню регистрируемых </w:t>
      </w:r>
      <w:r w:rsidRPr="00D5196B">
        <w:rPr>
          <w:rFonts w:ascii="Times New Roman" w:eastAsia="Times New Roman" w:hAnsi="Times New Roman" w:cs="Times New Roman"/>
          <w:sz w:val="28"/>
          <w:szCs w:val="28"/>
          <w:lang w:val="ru-RU"/>
        </w:rPr>
        <w:lastRenderedPageBreak/>
        <w:t>событий, подлежит обязательной обработке и документированию. Просто так взять и закрыть тикет с короткой пометкой «ложное срабатывание» не выйдет - потребуется развёрнутое обоснование, написанное так, чтобы при гипотетической проверке оно убедило не столько коллегу-технаря, сколько въедливого инспектора ФСТЭК.</w:t>
      </w:r>
    </w:p>
    <w:p w14:paraId="3004CF3F" w14:textId="77777777" w:rsidR="00B24AB1"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Отдельного слова заслуживают регламенты информационного взаимодействия, которые утверждает НКЦКИ. В них скрупулёзно описан формат передачи информации об инцидентах в ГосСОПКА. По существу, это структурированные донесения, куда входят индикаторы компрометации, вектор атаки, характеристика нарушителя - если её удалось установить, - принятые меры по локализации и много чего ещё. И всю эту информацию аналитик должен собрать и оформить уже на этапе триажа, в очень сжатые сроки. </w:t>
      </w:r>
    </w:p>
    <w:p w14:paraId="19321ADF" w14:textId="10F8B357" w:rsidR="00F6073D" w:rsidRPr="00D5196B" w:rsidRDefault="00B24AB1"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Понятно, что без серьёзной автоматизации и чётких шаблонов тут легко захлебнуться, но именно так выглядит реальность государственного SOC, где бумажная работа идёт рука об руку с техническим расследованием.</w:t>
      </w:r>
    </w:p>
    <w:p w14:paraId="60B6E942" w14:textId="438F7808" w:rsidR="002B78DD" w:rsidRPr="00D5196B"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Для аналитика первой линии это выливается в необходимость уже на этапе триажа собирать и оформлять значительную часть этой информации. </w:t>
      </w:r>
    </w:p>
    <w:p w14:paraId="4B9EA081" w14:textId="7AD1E123" w:rsidR="00F6073D" w:rsidRPr="00D5196B"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Причём сделать это нужно быстро - сроки первичного уведомления для критических инцидентов могут исчисляться часами или даже минутами с момента обнаружения. Поэтому в государственных SOC триаж постепенно обрастает готовыми шаблонами и формами, которые оператор заполняет почти как анкету, чтобы ничего не упустить и не сорвать установленный регламентом срок.</w:t>
      </w:r>
    </w:p>
    <w:p w14:paraId="042F263A" w14:textId="77777777" w:rsidR="00B24AB1" w:rsidRPr="00D5196B"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Нельзя сбрасывать со счетов и требования по защите государственной тайны. Если инцидент произошёл в системе, обрабатывающей секретные данные, или если само донесение содержит сведения, которые могут быть </w:t>
      </w:r>
      <w:r w:rsidRPr="00D5196B">
        <w:rPr>
          <w:rFonts w:ascii="Times New Roman" w:eastAsia="Times New Roman" w:hAnsi="Times New Roman" w:cs="Times New Roman"/>
          <w:sz w:val="28"/>
          <w:szCs w:val="28"/>
          <w:lang w:val="ru-RU"/>
        </w:rPr>
        <w:lastRenderedPageBreak/>
        <w:t xml:space="preserve">отнесены к гостайне, процедура триажа должна выполняться исключительно в защищённом контуре. </w:t>
      </w:r>
    </w:p>
    <w:p w14:paraId="1BB39A66" w14:textId="71FCA411" w:rsidR="00F6073D" w:rsidRPr="00D5196B"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Это означает, что оператор физически сидит за отдельной аттестованной машиной, без выхода в интернет, и все инструменты, которыми он пользуется для обогащения алертов (TIP-платформы, базы индикаторов), должны быть либо развёрнуты локально в этом же контуре, либо сертифицированы соответствующим образом. Никаких облачных SOAR, никаких публичных песочниц для прогона подозрительных файлов. Это, конечно, сильно замедляет процесс и накладывает дополнительную ответственность: любое неосторожное действие, нарушающее режим секретности, </w:t>
      </w:r>
      <w:r w:rsidR="002B78DD" w:rsidRPr="00D5196B">
        <w:rPr>
          <w:rFonts w:ascii="Times New Roman" w:eastAsia="Times New Roman" w:hAnsi="Times New Roman" w:cs="Times New Roman"/>
          <w:sz w:val="28"/>
          <w:szCs w:val="28"/>
          <w:lang w:val="ru-RU"/>
        </w:rPr>
        <w:t xml:space="preserve">- </w:t>
      </w:r>
      <w:r w:rsidRPr="00D5196B">
        <w:rPr>
          <w:rFonts w:ascii="Times New Roman" w:eastAsia="Times New Roman" w:hAnsi="Times New Roman" w:cs="Times New Roman"/>
          <w:sz w:val="28"/>
          <w:szCs w:val="28"/>
          <w:lang w:val="ru-RU"/>
        </w:rPr>
        <w:t>это уже не просто рабочая ошибка, а инцидент совсем другого порядка.</w:t>
      </w:r>
    </w:p>
    <w:p w14:paraId="5DC2B3DF" w14:textId="33202988" w:rsidR="00B24AB1" w:rsidRPr="00CF6876"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Любопытный момент состоит ещё и в том, что государственный SOC, в отличие от коммерческого, не может выбирать, о каких инцидентах сообщать наверх, а о каких умолчать. Закон императивен: если событие квалифицировано как компьютерная атака на объект КИИ, информация о нём уходит в НКЦКИ вне зависимости от того, хочет ли этого владелец объекта, удобно ли это по политическим или репутационным соображениям. </w:t>
      </w:r>
    </w:p>
    <w:p w14:paraId="59A911BE" w14:textId="67DE7F33" w:rsidR="00F6073D" w:rsidRPr="00D5196B"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Более того, за сокрытие или несвоевременное оповещение предусмотрена административная, а в особых случаях и уголовная ответственность. Это формирует у аналитиков первой линии особую культуру: лучше десять раз перестраховаться и отправить сомнительный сигнал дальше, чем один раз пропустить. Понятно, что такая установка порождает избыточный поток донесений, но она же страхует от фатальных ошибок.</w:t>
      </w:r>
    </w:p>
    <w:p w14:paraId="13B8E32A" w14:textId="758D713F" w:rsidR="002B78DD" w:rsidRPr="00D5196B"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Подводя черту, можно сказать, что нормативное давление в государственных SOC превращает триаж в процесс, который одновременно является и технической, и юридической процедурой. Оператор L1 здесь </w:t>
      </w:r>
      <w:r w:rsidR="002B78DD"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не </w:t>
      </w:r>
      <w:r w:rsidRPr="00D5196B">
        <w:rPr>
          <w:rFonts w:ascii="Times New Roman" w:eastAsia="Times New Roman" w:hAnsi="Times New Roman" w:cs="Times New Roman"/>
          <w:sz w:val="28"/>
          <w:szCs w:val="28"/>
          <w:lang w:val="ru-RU"/>
        </w:rPr>
        <w:lastRenderedPageBreak/>
        <w:t xml:space="preserve">просто фильтр для ложняков, а своего рода первичный дознаватель, обязанный зафиксировать юридически значимые обстоятельства и принять решение, запускающее всю цепочку государственного реагирования. </w:t>
      </w:r>
    </w:p>
    <w:p w14:paraId="69B9FFBD" w14:textId="77777777" w:rsidR="00D5196B" w:rsidRPr="00CF6876" w:rsidRDefault="00F6073D" w:rsidP="00D5196B">
      <w:pPr>
        <w:spacing w:line="360" w:lineRule="auto"/>
        <w:ind w:firstLine="709"/>
        <w:jc w:val="both"/>
        <w:rPr>
          <w:rFonts w:ascii="Times New Roman" w:eastAsia="Times New Roman" w:hAnsi="Times New Roman" w:cs="Times New Roman"/>
          <w:sz w:val="28"/>
          <w:szCs w:val="28"/>
          <w:lang w:val="ru-RU"/>
        </w:rPr>
      </w:pPr>
      <w:r w:rsidRPr="00D5196B">
        <w:rPr>
          <w:rFonts w:ascii="Times New Roman" w:eastAsia="Times New Roman" w:hAnsi="Times New Roman" w:cs="Times New Roman"/>
          <w:sz w:val="28"/>
          <w:szCs w:val="28"/>
          <w:lang w:val="ru-RU"/>
        </w:rPr>
        <w:t xml:space="preserve">Это коренным образом отличает его от коллеги из коммерческого центра, для которого главное </w:t>
      </w:r>
      <w:r w:rsidR="002B78DD" w:rsidRPr="00D5196B">
        <w:rPr>
          <w:rFonts w:ascii="Times New Roman" w:eastAsia="Times New Roman" w:hAnsi="Times New Roman" w:cs="Times New Roman"/>
          <w:sz w:val="28"/>
          <w:szCs w:val="28"/>
          <w:lang w:val="ru-RU"/>
        </w:rPr>
        <w:t>-</w:t>
      </w:r>
      <w:r w:rsidRPr="00D5196B">
        <w:rPr>
          <w:rFonts w:ascii="Times New Roman" w:eastAsia="Times New Roman" w:hAnsi="Times New Roman" w:cs="Times New Roman"/>
          <w:sz w:val="28"/>
          <w:szCs w:val="28"/>
          <w:lang w:val="ru-RU"/>
        </w:rPr>
        <w:t xml:space="preserve"> быстро понять, насколько инцидент опасен для бизнеса, и не выбиться из графика SLA. В государственном же секторе график тоже есть, но продиктован он не рынком, а статьями законов и сроками, установленными регуляторами. И отставать от этого графика себе дороже.</w:t>
      </w:r>
    </w:p>
    <w:p w14:paraId="49910133" w14:textId="1F94D7D2" w:rsidR="0076695C" w:rsidRPr="00086DC8" w:rsidRDefault="00D5196B" w:rsidP="00086DC8">
      <w:pPr>
        <w:spacing w:after="240" w:line="240" w:lineRule="auto"/>
        <w:ind w:firstLine="709"/>
        <w:jc w:val="center"/>
        <w:rPr>
          <w:rFonts w:eastAsia="Times New Roman"/>
          <w:sz w:val="30"/>
          <w:szCs w:val="30"/>
          <w:lang w:val="ru-RU"/>
        </w:rPr>
      </w:pPr>
      <w:r w:rsidRPr="00CF6876">
        <w:rPr>
          <w:rFonts w:ascii="Times New Roman" w:eastAsia="Times New Roman" w:hAnsi="Times New Roman" w:cs="Times New Roman"/>
          <w:sz w:val="28"/>
          <w:szCs w:val="28"/>
          <w:lang w:val="ru-RU"/>
        </w:rPr>
        <w:br w:type="column"/>
      </w:r>
      <w:r w:rsidR="0076695C" w:rsidRPr="00086DC8">
        <w:rPr>
          <w:rFonts w:eastAsia="Times New Roman"/>
          <w:color w:val="0F1115"/>
          <w:sz w:val="30"/>
          <w:szCs w:val="30"/>
          <w:highlight w:val="white"/>
        </w:rPr>
        <w:lastRenderedPageBreak/>
        <w:t>Вывод</w:t>
      </w:r>
    </w:p>
    <w:p w14:paraId="220ED2C1" w14:textId="6698A501" w:rsidR="001D652A" w:rsidRPr="00086DC8" w:rsidRDefault="001D652A" w:rsidP="00086DC8">
      <w:pPr>
        <w:spacing w:before="120" w:line="360" w:lineRule="auto"/>
        <w:ind w:firstLine="720"/>
        <w:jc w:val="both"/>
        <w:rPr>
          <w:rFonts w:ascii="Times New Roman" w:eastAsia="Times New Roman" w:hAnsi="Times New Roman" w:cs="Times New Roman"/>
          <w:color w:val="0F1115"/>
          <w:sz w:val="28"/>
          <w:szCs w:val="28"/>
          <w:lang w:val="ru-RU"/>
        </w:rPr>
      </w:pPr>
      <w:r w:rsidRPr="00086DC8">
        <w:rPr>
          <w:rFonts w:ascii="Times New Roman" w:eastAsia="Times New Roman" w:hAnsi="Times New Roman" w:cs="Times New Roman"/>
          <w:color w:val="0F1115"/>
          <w:sz w:val="28"/>
          <w:szCs w:val="28"/>
          <w:lang w:val="ru-RU"/>
        </w:rPr>
        <w:t>Подводя итог всему, что было сказано в предыдущих главах, хочется отметить главное: сравнивать коммерческие и государственные SOC напрямую, по принципу «кто лучше», - занятие совершенно бессмысленное. Это всё равно что спорить, что важнее - скорая помощь или пожарная охрана. И те, и другие борются с последствиями происшествий, но у них принципиально разная природа вызова, разные полномочия и разные критерии успеха. Примерно так же обстоит дело и с центрами мониторинга информационной безопасности.</w:t>
      </w:r>
    </w:p>
    <w:p w14:paraId="052E1C64" w14:textId="77777777" w:rsidR="001D652A" w:rsidRPr="00086DC8" w:rsidRDefault="001D652A" w:rsidP="00086DC8">
      <w:pPr>
        <w:spacing w:line="360" w:lineRule="auto"/>
        <w:jc w:val="both"/>
        <w:rPr>
          <w:rFonts w:ascii="Times New Roman" w:eastAsia="Times New Roman" w:hAnsi="Times New Roman" w:cs="Times New Roman"/>
          <w:color w:val="0F1115"/>
          <w:sz w:val="28"/>
          <w:szCs w:val="28"/>
          <w:lang w:val="ru-RU"/>
        </w:rPr>
      </w:pPr>
      <w:r w:rsidRPr="00086DC8">
        <w:rPr>
          <w:rFonts w:ascii="Times New Roman" w:eastAsia="Times New Roman" w:hAnsi="Times New Roman" w:cs="Times New Roman"/>
          <w:color w:val="0F1115"/>
          <w:sz w:val="28"/>
          <w:szCs w:val="28"/>
          <w:lang w:val="ru-RU"/>
        </w:rPr>
        <w:t xml:space="preserve">Коммерческий SOC, как мы выяснили, живёт в парадигме «время - деньги». </w:t>
      </w:r>
    </w:p>
    <w:p w14:paraId="07F5A494" w14:textId="551441D3" w:rsidR="001D652A" w:rsidRPr="00086DC8" w:rsidRDefault="001D652A" w:rsidP="00086DC8">
      <w:pPr>
        <w:spacing w:line="360" w:lineRule="auto"/>
        <w:ind w:firstLine="720"/>
        <w:jc w:val="both"/>
        <w:rPr>
          <w:rFonts w:ascii="Times New Roman" w:eastAsia="Times New Roman" w:hAnsi="Times New Roman" w:cs="Times New Roman"/>
          <w:color w:val="0F1115"/>
          <w:sz w:val="28"/>
          <w:szCs w:val="28"/>
          <w:lang w:val="ru-RU"/>
        </w:rPr>
      </w:pPr>
      <w:r w:rsidRPr="00086DC8">
        <w:rPr>
          <w:rFonts w:ascii="Times New Roman" w:eastAsia="Times New Roman" w:hAnsi="Times New Roman" w:cs="Times New Roman"/>
          <w:color w:val="0F1115"/>
          <w:sz w:val="28"/>
          <w:szCs w:val="28"/>
          <w:lang w:val="ru-RU"/>
        </w:rPr>
        <w:t>Каждая минута, потраченная на разбор алерта, имеет вполне конкретную стоимость, а каждый пропущенный или задержанный инцидент грозит убытками и штрафами за срыв SLA. Отсюда и вся архитектура триажа: конвейерная обработка, максимальная автоматизация, чёткие плейбуки, операторы первой линии, обученные действовать быстро и по шаблону. Здесь во главе угла стоят экономическая эффективность и предсказуемость результата. Если удалось снизить долю ложных срабатываний на первой линии и ускорить эскалацию реальных угроз на вторую - значит, система работает хорошо. А если ради этого пришлось пожертвовать глубиной анализа на начальном этапе - не страшно, для этого есть старшие аналитики, время которых стоит дороже, но и используется оно под действительно серьёзные инциденты.</w:t>
      </w:r>
    </w:p>
    <w:p w14:paraId="0D3180BF" w14:textId="77777777" w:rsidR="001D652A" w:rsidRPr="00086DC8" w:rsidRDefault="001D652A" w:rsidP="00086DC8">
      <w:pPr>
        <w:spacing w:line="360" w:lineRule="auto"/>
        <w:ind w:firstLine="720"/>
        <w:jc w:val="both"/>
        <w:rPr>
          <w:rFonts w:ascii="Times New Roman" w:eastAsia="Times New Roman" w:hAnsi="Times New Roman" w:cs="Times New Roman"/>
          <w:color w:val="0F1115"/>
          <w:sz w:val="28"/>
          <w:szCs w:val="28"/>
          <w:lang w:val="ru-RU"/>
        </w:rPr>
      </w:pPr>
      <w:r w:rsidRPr="00086DC8">
        <w:rPr>
          <w:rFonts w:ascii="Times New Roman" w:eastAsia="Times New Roman" w:hAnsi="Times New Roman" w:cs="Times New Roman"/>
          <w:color w:val="0F1115"/>
          <w:sz w:val="28"/>
          <w:szCs w:val="28"/>
          <w:lang w:val="ru-RU"/>
        </w:rPr>
        <w:t xml:space="preserve">Государственный SOC играет совсем по другим правилам. Для него главное - не упустить событие, которое может оказаться частью целевой атаки на критическую инфраструктуру, даже если внешне оно выглядит незначительным. Здесь цена ошибки измеряется не в рублях, а в возможных последствиях для национальной безопасности, и это заставляет выстраивать триаж совершенно иначе. Приоритеты диктуются не бизнес-импактом, а категорией защищаемого объекта и требованиями закона. </w:t>
      </w:r>
    </w:p>
    <w:p w14:paraId="182B3371" w14:textId="5B506E6B" w:rsidR="001D652A" w:rsidRPr="00CF6876" w:rsidRDefault="001D652A" w:rsidP="00086DC8">
      <w:pPr>
        <w:spacing w:line="360" w:lineRule="auto"/>
        <w:ind w:firstLine="720"/>
        <w:jc w:val="both"/>
        <w:rPr>
          <w:rFonts w:ascii="Times New Roman" w:eastAsia="Times New Roman" w:hAnsi="Times New Roman" w:cs="Times New Roman"/>
          <w:color w:val="0F1115"/>
          <w:sz w:val="28"/>
          <w:szCs w:val="28"/>
          <w:lang w:val="ru-RU"/>
        </w:rPr>
      </w:pPr>
      <w:r w:rsidRPr="00086DC8">
        <w:rPr>
          <w:rFonts w:ascii="Times New Roman" w:eastAsia="Times New Roman" w:hAnsi="Times New Roman" w:cs="Times New Roman"/>
          <w:color w:val="0F1115"/>
          <w:sz w:val="28"/>
          <w:szCs w:val="28"/>
          <w:lang w:val="ru-RU"/>
        </w:rPr>
        <w:lastRenderedPageBreak/>
        <w:t>Аналитик на первой линии вынужден не просто отсеивать ложняки, но и давать юридическую квалификацию произошедшему, заполнять обязательные поля для донесений в НКЦКИ и помнить о том, что любое его решение может впоследствии проверяться регулятором.</w:t>
      </w:r>
    </w:p>
    <w:p w14:paraId="4934D2AD" w14:textId="22453BCF" w:rsidR="001D652A" w:rsidRPr="00086DC8" w:rsidRDefault="001D652A" w:rsidP="00086DC8">
      <w:pPr>
        <w:spacing w:line="360" w:lineRule="auto"/>
        <w:ind w:firstLine="720"/>
        <w:jc w:val="both"/>
        <w:rPr>
          <w:rFonts w:ascii="Times New Roman" w:eastAsia="Times New Roman" w:hAnsi="Times New Roman" w:cs="Times New Roman"/>
          <w:color w:val="0F1115"/>
          <w:sz w:val="28"/>
          <w:szCs w:val="28"/>
          <w:lang w:val="ru-RU"/>
        </w:rPr>
      </w:pPr>
      <w:r w:rsidRPr="00086DC8">
        <w:rPr>
          <w:rFonts w:ascii="Times New Roman" w:eastAsia="Times New Roman" w:hAnsi="Times New Roman" w:cs="Times New Roman"/>
          <w:color w:val="0F1115"/>
          <w:sz w:val="28"/>
          <w:szCs w:val="28"/>
          <w:lang w:val="ru-RU"/>
        </w:rPr>
        <w:t>Из этого вытекает важный практический вывод: слепое копирование подходов из одного сектора в другой без учёта контекста - путь к провалу. Попытка заставить государственный SOC работать с той же скоростью и экономической эффективностью, что и коммерческий MSSP, неизбежно натолкнётся на стену нормативных ограничений и особенностей кадрового состава. И наоборот, если коммерческий центр, обслуживающий условный интернет-магазин, начнёт по каждому алерту оформлять донесения по форме ГосСОПКА и эскалировать сомнительные события «на всякий случай», он просто разорится на штрафах за сорванные SLA и потеряет клиентов.</w:t>
      </w:r>
    </w:p>
    <w:p w14:paraId="6254B3E6" w14:textId="6B6EFFF1" w:rsidR="001D652A" w:rsidRPr="00086DC8" w:rsidRDefault="001D652A" w:rsidP="00086DC8">
      <w:pPr>
        <w:spacing w:line="360" w:lineRule="auto"/>
        <w:jc w:val="both"/>
        <w:rPr>
          <w:rFonts w:ascii="Times New Roman" w:eastAsia="Times New Roman" w:hAnsi="Times New Roman" w:cs="Times New Roman"/>
          <w:color w:val="0F1115"/>
          <w:sz w:val="28"/>
          <w:szCs w:val="28"/>
          <w:lang w:val="ru-RU"/>
        </w:rPr>
      </w:pPr>
      <w:r w:rsidRPr="00086DC8">
        <w:rPr>
          <w:rFonts w:ascii="Times New Roman" w:eastAsia="Times New Roman" w:hAnsi="Times New Roman" w:cs="Times New Roman"/>
          <w:color w:val="0F1115"/>
          <w:sz w:val="28"/>
          <w:szCs w:val="28"/>
          <w:lang w:val="ru-RU"/>
        </w:rPr>
        <w:t xml:space="preserve"> </w:t>
      </w:r>
      <w:r w:rsidRPr="00086DC8">
        <w:rPr>
          <w:rFonts w:ascii="Times New Roman" w:eastAsia="Times New Roman" w:hAnsi="Times New Roman" w:cs="Times New Roman"/>
          <w:color w:val="0F1115"/>
          <w:sz w:val="28"/>
          <w:szCs w:val="28"/>
          <w:lang w:val="ru-RU"/>
        </w:rPr>
        <w:tab/>
        <w:t>Однако это не значит, что двум мирам нечему учиться друг у друга. Как раз наоборот. Государственные SOC вполне могли бы перенять у коммерческих коллег культуру внутренних SLA и хотя бы частичную автоматизацию рутинных проверок, высвобождающую время для реально содержательного анализа. Рынок российских сертифицированных SOAR-платформ пусть и не так развит, как западный, но он движется, и это движение стоит поддержать. Коммерческим же SOC, особенно тем, кто работает с объектами КИИ и финансовым сектором, есть смысл встраивать в свои плейбуки готовые шаблоны донесений для ГосСОПКА и учитывать требования 187-ФЗ ещё на этапе триажа - это снизит риск проблем с регулятором и избавит от необходимости переквалифицировать инцидент задним числом.</w:t>
      </w:r>
    </w:p>
    <w:p w14:paraId="4CB09745" w14:textId="77777777" w:rsidR="001D652A" w:rsidRPr="00086DC8" w:rsidRDefault="001D652A" w:rsidP="00086DC8">
      <w:pPr>
        <w:spacing w:line="360" w:lineRule="auto"/>
        <w:ind w:firstLine="720"/>
        <w:jc w:val="both"/>
        <w:rPr>
          <w:rFonts w:ascii="Times New Roman" w:eastAsia="Times New Roman" w:hAnsi="Times New Roman" w:cs="Times New Roman"/>
          <w:color w:val="0F1115"/>
          <w:sz w:val="28"/>
          <w:szCs w:val="28"/>
          <w:lang w:val="ru-RU"/>
        </w:rPr>
      </w:pPr>
      <w:r w:rsidRPr="00086DC8">
        <w:rPr>
          <w:rFonts w:ascii="Times New Roman" w:eastAsia="Times New Roman" w:hAnsi="Times New Roman" w:cs="Times New Roman"/>
          <w:color w:val="0F1115"/>
          <w:sz w:val="28"/>
          <w:szCs w:val="28"/>
          <w:lang w:val="ru-RU"/>
        </w:rPr>
        <w:t xml:space="preserve">В конечном счёте проведённый анализ показывает, что триаж инцидентов - это не просто техническая процедура, а зеркало, в котором отражаются все базовые приоритеты организации, будь то получение </w:t>
      </w:r>
      <w:r w:rsidRPr="00086DC8">
        <w:rPr>
          <w:rFonts w:ascii="Times New Roman" w:eastAsia="Times New Roman" w:hAnsi="Times New Roman" w:cs="Times New Roman"/>
          <w:color w:val="0F1115"/>
          <w:sz w:val="28"/>
          <w:szCs w:val="28"/>
          <w:lang w:val="ru-RU"/>
        </w:rPr>
        <w:lastRenderedPageBreak/>
        <w:t xml:space="preserve">прибыли или обеспечение государственной безопасности. Понимание этой разницы, умение её артикулировать и, что ещё важнее, грамотно использовать лучшие практики из обеих моделей - вот что может дать реальный выигрыш и конкретному предприятию, и государственной системе обнаружения атак в целом. </w:t>
      </w:r>
    </w:p>
    <w:p w14:paraId="122C99DC" w14:textId="77777777" w:rsidR="00086DC8" w:rsidRPr="00086DC8" w:rsidRDefault="001D652A" w:rsidP="00086DC8">
      <w:pPr>
        <w:spacing w:line="360" w:lineRule="auto"/>
        <w:ind w:firstLine="720"/>
        <w:jc w:val="both"/>
        <w:rPr>
          <w:rFonts w:ascii="Times New Roman" w:eastAsia="Times New Roman" w:hAnsi="Times New Roman" w:cs="Times New Roman"/>
          <w:color w:val="0F1115"/>
          <w:sz w:val="28"/>
          <w:szCs w:val="28"/>
          <w:lang w:val="ru-RU"/>
        </w:rPr>
      </w:pPr>
      <w:r w:rsidRPr="00086DC8">
        <w:rPr>
          <w:rFonts w:ascii="Times New Roman" w:eastAsia="Times New Roman" w:hAnsi="Times New Roman" w:cs="Times New Roman"/>
          <w:color w:val="0F1115"/>
          <w:sz w:val="28"/>
          <w:szCs w:val="28"/>
          <w:lang w:val="ru-RU"/>
        </w:rPr>
        <w:t>Именно на такой гибридный подход, сочетающий экономическую рациональность с нормативной дисциплиной, и стоит, на мой взгляд, ориентироваться при проектировании SOC будущего, независимо от формы собственности.</w:t>
      </w:r>
    </w:p>
    <w:p w14:paraId="77AA0C59" w14:textId="54174A5D" w:rsidR="001D652A" w:rsidRPr="00086DC8" w:rsidRDefault="00086DC8" w:rsidP="00086DC8">
      <w:pPr>
        <w:spacing w:after="240" w:line="240" w:lineRule="auto"/>
        <w:ind w:firstLine="720"/>
        <w:jc w:val="center"/>
        <w:rPr>
          <w:rFonts w:eastAsia="Times New Roman"/>
          <w:color w:val="0F1115"/>
          <w:sz w:val="30"/>
          <w:szCs w:val="30"/>
          <w:lang w:val="ru-RU"/>
        </w:rPr>
      </w:pPr>
      <w:r>
        <w:rPr>
          <w:rFonts w:ascii="Times New Roman" w:eastAsia="Times New Roman" w:hAnsi="Times New Roman" w:cs="Times New Roman"/>
          <w:color w:val="0F1115"/>
          <w:sz w:val="28"/>
          <w:szCs w:val="28"/>
          <w:lang w:val="ru-RU"/>
        </w:rPr>
        <w:br w:type="column"/>
      </w:r>
      <w:r w:rsidR="001D652A" w:rsidRPr="00086DC8">
        <w:rPr>
          <w:rFonts w:eastAsia="Times New Roman"/>
          <w:sz w:val="30"/>
          <w:szCs w:val="30"/>
          <w:lang w:val="ru-RU"/>
        </w:rPr>
        <w:lastRenderedPageBreak/>
        <w:t>Список использованных источников</w:t>
      </w:r>
    </w:p>
    <w:p w14:paraId="58E5B82D" w14:textId="45D4F5BC" w:rsidR="001D652A" w:rsidRPr="00086DC8" w:rsidRDefault="001D652A" w:rsidP="00966E6A">
      <w:pPr>
        <w:pStyle w:val="a5"/>
        <w:numPr>
          <w:ilvl w:val="0"/>
          <w:numId w:val="1"/>
        </w:numPr>
        <w:spacing w:before="120" w:line="360" w:lineRule="auto"/>
        <w:ind w:left="0" w:firstLine="709"/>
        <w:jc w:val="both"/>
        <w:rPr>
          <w:rFonts w:ascii="Times New Roman" w:eastAsia="Times New Roman" w:hAnsi="Times New Roman" w:cs="Times New Roman"/>
          <w:sz w:val="28"/>
          <w:szCs w:val="28"/>
          <w:lang w:val="ru-RU"/>
        </w:rPr>
      </w:pPr>
      <w:r w:rsidRPr="00086DC8">
        <w:rPr>
          <w:rFonts w:ascii="Times New Roman" w:eastAsia="Times New Roman" w:hAnsi="Times New Roman" w:cs="Times New Roman"/>
          <w:sz w:val="28"/>
          <w:szCs w:val="28"/>
          <w:lang w:val="ru-RU"/>
        </w:rPr>
        <w:t>Федеральный закон от 26.07.2017 № 187-ФЗ «О безопасности критической информационной инфраструктуры Российской Федерации» // Собрание законодательства РФ. – 2017. – № 31 (ч. I). – Ст. 4736.</w:t>
      </w:r>
    </w:p>
    <w:p w14:paraId="600CD44E" w14:textId="19EFE275" w:rsidR="001D652A" w:rsidRPr="00086DC8" w:rsidRDefault="001D652A" w:rsidP="00086DC8">
      <w:pPr>
        <w:pStyle w:val="a5"/>
        <w:numPr>
          <w:ilvl w:val="0"/>
          <w:numId w:val="1"/>
        </w:numPr>
        <w:spacing w:line="360" w:lineRule="auto"/>
        <w:ind w:left="0" w:firstLine="709"/>
        <w:jc w:val="both"/>
        <w:rPr>
          <w:rFonts w:ascii="Times New Roman" w:eastAsia="Times New Roman" w:hAnsi="Times New Roman" w:cs="Times New Roman"/>
          <w:sz w:val="28"/>
          <w:szCs w:val="28"/>
          <w:lang w:val="ru-RU"/>
        </w:rPr>
      </w:pPr>
      <w:r w:rsidRPr="00086DC8">
        <w:rPr>
          <w:rFonts w:ascii="Times New Roman" w:eastAsia="Times New Roman" w:hAnsi="Times New Roman" w:cs="Times New Roman"/>
          <w:sz w:val="28"/>
          <w:szCs w:val="28"/>
          <w:lang w:val="ru-RU"/>
        </w:rPr>
        <w:t>Федеральный закон от 27.07.2006 № 152-ФЗ «О персональных данных» // Собрание законодательства РФ. – 2006. – № 31 (ч. I). – Ст. 3451.</w:t>
      </w:r>
    </w:p>
    <w:p w14:paraId="265DC288" w14:textId="0C00E09A" w:rsidR="001D652A" w:rsidRPr="00086DC8" w:rsidRDefault="001D652A" w:rsidP="00086DC8">
      <w:pPr>
        <w:pStyle w:val="a5"/>
        <w:numPr>
          <w:ilvl w:val="0"/>
          <w:numId w:val="1"/>
        </w:numPr>
        <w:spacing w:line="360" w:lineRule="auto"/>
        <w:ind w:left="0" w:firstLine="709"/>
        <w:jc w:val="both"/>
        <w:rPr>
          <w:rFonts w:ascii="Times New Roman" w:eastAsia="Times New Roman" w:hAnsi="Times New Roman" w:cs="Times New Roman"/>
          <w:sz w:val="28"/>
          <w:szCs w:val="28"/>
          <w:lang w:val="ru-RU"/>
        </w:rPr>
      </w:pPr>
      <w:r w:rsidRPr="00086DC8">
        <w:rPr>
          <w:rFonts w:ascii="Times New Roman" w:eastAsia="Times New Roman" w:hAnsi="Times New Roman" w:cs="Times New Roman"/>
          <w:sz w:val="28"/>
          <w:szCs w:val="28"/>
          <w:lang w:val="ru-RU"/>
        </w:rPr>
        <w:t xml:space="preserve">Приказ ФСТЭК России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 (зарегистрирован в Минюсте России 31.05.2013 № 28608) </w:t>
      </w:r>
    </w:p>
    <w:p w14:paraId="75839FF3" w14:textId="792C21EC" w:rsidR="001D652A" w:rsidRPr="00086DC8" w:rsidRDefault="001D652A" w:rsidP="00086DC8">
      <w:pPr>
        <w:pStyle w:val="a5"/>
        <w:numPr>
          <w:ilvl w:val="0"/>
          <w:numId w:val="1"/>
        </w:numPr>
        <w:spacing w:line="360" w:lineRule="auto"/>
        <w:ind w:left="0" w:firstLine="709"/>
        <w:jc w:val="both"/>
        <w:rPr>
          <w:rFonts w:ascii="Times New Roman" w:eastAsia="Times New Roman" w:hAnsi="Times New Roman" w:cs="Times New Roman"/>
          <w:sz w:val="28"/>
          <w:szCs w:val="28"/>
          <w:lang w:val="ru-RU"/>
        </w:rPr>
      </w:pPr>
      <w:r w:rsidRPr="00086DC8">
        <w:rPr>
          <w:rFonts w:ascii="Times New Roman" w:eastAsia="Times New Roman" w:hAnsi="Times New Roman" w:cs="Times New Roman"/>
          <w:sz w:val="28"/>
          <w:szCs w:val="28"/>
          <w:lang w:val="ru-RU"/>
        </w:rPr>
        <w:t xml:space="preserve">Приказ ФСТЭК России от 21.12.2017 № 235 «Об утверждении Требований к созданию систем безопасности значимых объектов критической информационной инфраструктуры и обеспечению их функционирования» (зарегистрирован в Минюсте России 22.02.2018 № 50124) </w:t>
      </w:r>
    </w:p>
    <w:p w14:paraId="646F8F15" w14:textId="330E58E1" w:rsidR="001D652A" w:rsidRPr="00086DC8" w:rsidRDefault="001D652A" w:rsidP="00086DC8">
      <w:pPr>
        <w:pStyle w:val="a5"/>
        <w:numPr>
          <w:ilvl w:val="0"/>
          <w:numId w:val="1"/>
        </w:numPr>
        <w:spacing w:line="360" w:lineRule="auto"/>
        <w:ind w:left="0" w:firstLine="709"/>
        <w:jc w:val="both"/>
        <w:rPr>
          <w:rFonts w:ascii="Times New Roman" w:eastAsia="Times New Roman" w:hAnsi="Times New Roman" w:cs="Times New Roman"/>
          <w:sz w:val="28"/>
          <w:szCs w:val="28"/>
          <w:lang w:val="ru-RU"/>
        </w:rPr>
      </w:pPr>
      <w:r w:rsidRPr="00086DC8">
        <w:rPr>
          <w:rFonts w:ascii="Times New Roman" w:eastAsia="Times New Roman" w:hAnsi="Times New Roman" w:cs="Times New Roman"/>
          <w:sz w:val="28"/>
          <w:szCs w:val="28"/>
          <w:lang w:val="ru-RU"/>
        </w:rPr>
        <w:t xml:space="preserve">Приказ ФСТЭК России от 25.12.2017 № 239 «Об утверждении Порядка информирования ФСТЭК России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(зарегистрирован в Минюсте России 26.03.2018 № 50515) </w:t>
      </w:r>
    </w:p>
    <w:p w14:paraId="3C42B11D" w14:textId="33A30497" w:rsidR="001D652A" w:rsidRPr="00812EC7" w:rsidRDefault="001D652A" w:rsidP="00812EC7">
      <w:pPr>
        <w:pStyle w:val="a5"/>
        <w:numPr>
          <w:ilvl w:val="0"/>
          <w:numId w:val="1"/>
        </w:numPr>
        <w:spacing w:line="360" w:lineRule="auto"/>
        <w:ind w:left="0" w:firstLine="709"/>
        <w:jc w:val="both"/>
        <w:rPr>
          <w:rFonts w:ascii="Times New Roman" w:eastAsia="Times New Roman" w:hAnsi="Times New Roman" w:cs="Times New Roman"/>
          <w:sz w:val="28"/>
          <w:szCs w:val="28"/>
          <w:lang w:val="ru-RU"/>
        </w:rPr>
      </w:pPr>
      <w:r w:rsidRPr="00086DC8">
        <w:rPr>
          <w:rFonts w:ascii="Times New Roman" w:eastAsia="Times New Roman" w:hAnsi="Times New Roman" w:cs="Times New Roman"/>
          <w:sz w:val="28"/>
          <w:szCs w:val="28"/>
          <w:lang w:val="ru-RU"/>
        </w:rPr>
        <w:t>Методика оценки угроз безопасности информации (утв. ФСТЭК России 05.02.2021). – Доступ из справ.-правовой системы «КонсультантПлюс».</w:t>
      </w:r>
    </w:p>
    <w:p w14:paraId="1B8823C3" w14:textId="6B63DF79" w:rsidR="001D652A" w:rsidRPr="00086DC8" w:rsidRDefault="001D652A" w:rsidP="00086DC8">
      <w:pPr>
        <w:pStyle w:val="a5"/>
        <w:numPr>
          <w:ilvl w:val="0"/>
          <w:numId w:val="1"/>
        </w:numPr>
        <w:spacing w:line="360" w:lineRule="auto"/>
        <w:ind w:left="0" w:firstLine="709"/>
        <w:jc w:val="both"/>
        <w:rPr>
          <w:rFonts w:ascii="Times New Roman" w:eastAsia="Times New Roman" w:hAnsi="Times New Roman" w:cs="Times New Roman"/>
          <w:sz w:val="28"/>
          <w:szCs w:val="28"/>
          <w:lang w:val="ru-RU"/>
        </w:rPr>
      </w:pPr>
      <w:r w:rsidRPr="00086DC8">
        <w:rPr>
          <w:rFonts w:ascii="Times New Roman" w:eastAsia="Times New Roman" w:hAnsi="Times New Roman" w:cs="Times New Roman"/>
          <w:sz w:val="28"/>
          <w:szCs w:val="28"/>
          <w:lang w:val="ru-RU"/>
        </w:rPr>
        <w:t>ГОСТ Р 57580.1-2017. Безопасность финансовых (банковских) операций. Защита информации. Базовый состав организационных и технических мер. – Москва : Стандартинформ, 2017. – IV, 27 с.</w:t>
      </w:r>
    </w:p>
    <w:p w14:paraId="7DBDDBB2" w14:textId="76AA28AD" w:rsidR="0076695C" w:rsidRPr="00086DC8" w:rsidRDefault="0076695C" w:rsidP="00564B14">
      <w:pPr>
        <w:pStyle w:val="a5"/>
        <w:spacing w:line="360" w:lineRule="auto"/>
        <w:ind w:left="709"/>
        <w:jc w:val="both"/>
        <w:rPr>
          <w:rFonts w:ascii="Times New Roman" w:eastAsia="Times New Roman" w:hAnsi="Times New Roman" w:cs="Times New Roman"/>
          <w:sz w:val="28"/>
          <w:szCs w:val="28"/>
          <w:lang w:val="ru-RU"/>
        </w:rPr>
      </w:pPr>
    </w:p>
    <w:sectPr w:rsidR="0076695C" w:rsidRPr="00086DC8" w:rsidSect="00A24905">
      <w:headerReference w:type="default" r:id="rId7"/>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B5FD8" w14:textId="77777777" w:rsidR="004927B7" w:rsidRDefault="004927B7" w:rsidP="00A24905">
      <w:pPr>
        <w:spacing w:line="240" w:lineRule="auto"/>
      </w:pPr>
      <w:r>
        <w:separator/>
      </w:r>
    </w:p>
  </w:endnote>
  <w:endnote w:type="continuationSeparator" w:id="0">
    <w:p w14:paraId="15988F0A" w14:textId="77777777" w:rsidR="004927B7" w:rsidRDefault="004927B7" w:rsidP="00A249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embedRegular r:id="rId1" w:fontKey="{06A0770F-B131-4F52-9BCD-B926D3F1B46A}"/>
  </w:font>
  <w:font w:name="Calibri">
    <w:panose1 w:val="020F0502020204030204"/>
    <w:charset w:val="CC"/>
    <w:family w:val="swiss"/>
    <w:pitch w:val="variable"/>
    <w:sig w:usb0="E4002EFF" w:usb1="C200247B" w:usb2="00000009" w:usb3="00000000" w:csb0="000001FF" w:csb1="00000000"/>
    <w:embedRegular r:id="rId2" w:fontKey="{11B7ABEB-E6E2-4907-9D4B-D5C89248AC81}"/>
  </w:font>
  <w:font w:name="Cambria">
    <w:panose1 w:val="02040503050406030204"/>
    <w:charset w:val="CC"/>
    <w:family w:val="roman"/>
    <w:pitch w:val="variable"/>
    <w:sig w:usb0="E00006FF" w:usb1="420024FF" w:usb2="02000000" w:usb3="00000000" w:csb0="0000019F" w:csb1="00000000"/>
    <w:embedRegular r:id="rId3" w:fontKey="{1CC60244-5E53-4FC1-ADD2-B459643750B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E5699" w14:textId="77777777" w:rsidR="004927B7" w:rsidRDefault="004927B7" w:rsidP="00A24905">
      <w:pPr>
        <w:spacing w:line="240" w:lineRule="auto"/>
      </w:pPr>
      <w:r>
        <w:separator/>
      </w:r>
    </w:p>
  </w:footnote>
  <w:footnote w:type="continuationSeparator" w:id="0">
    <w:p w14:paraId="74FE2B0D" w14:textId="77777777" w:rsidR="004927B7" w:rsidRDefault="004927B7" w:rsidP="00A249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906159"/>
      <w:docPartObj>
        <w:docPartGallery w:val="Page Numbers (Top of Page)"/>
        <w:docPartUnique/>
      </w:docPartObj>
    </w:sdtPr>
    <w:sdtContent>
      <w:p w14:paraId="381F285D" w14:textId="6D21AD9F" w:rsidR="00A24905" w:rsidRDefault="00A24905">
        <w:pPr>
          <w:pStyle w:val="a7"/>
          <w:jc w:val="right"/>
        </w:pPr>
        <w:r>
          <w:fldChar w:fldCharType="begin"/>
        </w:r>
        <w:r>
          <w:instrText>PAGE   \* MERGEFORMAT</w:instrText>
        </w:r>
        <w:r>
          <w:fldChar w:fldCharType="separate"/>
        </w:r>
        <w:r>
          <w:rPr>
            <w:lang w:val="ru-RU"/>
          </w:rPr>
          <w:t>2</w:t>
        </w:r>
        <w:r>
          <w:fldChar w:fldCharType="end"/>
        </w:r>
      </w:p>
    </w:sdtContent>
  </w:sdt>
  <w:p w14:paraId="07B043CF" w14:textId="77777777" w:rsidR="00A24905" w:rsidRDefault="00A2490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05CDD"/>
    <w:multiLevelType w:val="hybridMultilevel"/>
    <w:tmpl w:val="7A628AF0"/>
    <w:lvl w:ilvl="0" w:tplc="48904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45767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03A"/>
    <w:rsid w:val="00005F7D"/>
    <w:rsid w:val="0002693D"/>
    <w:rsid w:val="00041031"/>
    <w:rsid w:val="00044A1E"/>
    <w:rsid w:val="00067005"/>
    <w:rsid w:val="00075C5E"/>
    <w:rsid w:val="00086DC8"/>
    <w:rsid w:val="000C2B86"/>
    <w:rsid w:val="000D784B"/>
    <w:rsid w:val="001167DF"/>
    <w:rsid w:val="001A50C2"/>
    <w:rsid w:val="001D652A"/>
    <w:rsid w:val="001D7DBC"/>
    <w:rsid w:val="002B78DD"/>
    <w:rsid w:val="002F7973"/>
    <w:rsid w:val="00333923"/>
    <w:rsid w:val="003F1AA2"/>
    <w:rsid w:val="00423E6F"/>
    <w:rsid w:val="004927B7"/>
    <w:rsid w:val="004E33C4"/>
    <w:rsid w:val="00564B14"/>
    <w:rsid w:val="005A0582"/>
    <w:rsid w:val="005C7CBA"/>
    <w:rsid w:val="00663193"/>
    <w:rsid w:val="006A63E7"/>
    <w:rsid w:val="0076695C"/>
    <w:rsid w:val="00767830"/>
    <w:rsid w:val="007D2DF0"/>
    <w:rsid w:val="007E303B"/>
    <w:rsid w:val="00812EC7"/>
    <w:rsid w:val="00840DAB"/>
    <w:rsid w:val="0089721C"/>
    <w:rsid w:val="00934124"/>
    <w:rsid w:val="00966E6A"/>
    <w:rsid w:val="00976515"/>
    <w:rsid w:val="0099515A"/>
    <w:rsid w:val="009D23B3"/>
    <w:rsid w:val="009D538E"/>
    <w:rsid w:val="009E08B3"/>
    <w:rsid w:val="00A24905"/>
    <w:rsid w:val="00A87D70"/>
    <w:rsid w:val="00AF4A1E"/>
    <w:rsid w:val="00B24AB1"/>
    <w:rsid w:val="00B6542A"/>
    <w:rsid w:val="00B7403A"/>
    <w:rsid w:val="00BC7E96"/>
    <w:rsid w:val="00BD4F57"/>
    <w:rsid w:val="00C24A72"/>
    <w:rsid w:val="00C55284"/>
    <w:rsid w:val="00CD2EDB"/>
    <w:rsid w:val="00CF6876"/>
    <w:rsid w:val="00D15B0F"/>
    <w:rsid w:val="00D31A2E"/>
    <w:rsid w:val="00D5196B"/>
    <w:rsid w:val="00D85A2D"/>
    <w:rsid w:val="00DA5E65"/>
    <w:rsid w:val="00DC032A"/>
    <w:rsid w:val="00DE27F7"/>
    <w:rsid w:val="00E018CF"/>
    <w:rsid w:val="00E1291D"/>
    <w:rsid w:val="00E97365"/>
    <w:rsid w:val="00EB1453"/>
    <w:rsid w:val="00F531F1"/>
    <w:rsid w:val="00F6073D"/>
    <w:rsid w:val="00F70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12CE6"/>
  <w15:docId w15:val="{16C4B60F-7F31-4E20-8435-7CE98E921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2323"/>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link w:val="30"/>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List Paragraph"/>
    <w:basedOn w:val="a"/>
    <w:uiPriority w:val="34"/>
    <w:qFormat/>
    <w:rsid w:val="00086DC8"/>
    <w:pPr>
      <w:ind w:left="720"/>
      <w:contextualSpacing/>
    </w:pPr>
  </w:style>
  <w:style w:type="paragraph" w:styleId="a6">
    <w:name w:val="TOC Heading"/>
    <w:basedOn w:val="1"/>
    <w:next w:val="a"/>
    <w:uiPriority w:val="39"/>
    <w:unhideWhenUsed/>
    <w:qFormat/>
    <w:rsid w:val="00966E6A"/>
    <w:pPr>
      <w:spacing w:before="240" w:after="0" w:line="256" w:lineRule="auto"/>
      <w:outlineLvl w:val="9"/>
    </w:pPr>
    <w:rPr>
      <w:rFonts w:ascii="Calibri Light" w:eastAsia="Times New Roman" w:hAnsi="Calibri Light" w:cs="Times New Roman"/>
      <w:color w:val="365F91" w:themeColor="accent1" w:themeShade="BF"/>
      <w:sz w:val="32"/>
      <w:szCs w:val="32"/>
      <w:lang w:val="ru-RU"/>
    </w:rPr>
  </w:style>
  <w:style w:type="paragraph" w:styleId="10">
    <w:name w:val="toc 1"/>
    <w:basedOn w:val="a"/>
    <w:next w:val="a"/>
    <w:autoRedefine/>
    <w:uiPriority w:val="39"/>
    <w:unhideWhenUsed/>
    <w:rsid w:val="00966E6A"/>
    <w:pPr>
      <w:spacing w:before="120" w:line="360" w:lineRule="auto"/>
      <w:ind w:firstLine="709"/>
    </w:pPr>
    <w:rPr>
      <w:rFonts w:ascii="Times New Roman" w:eastAsia="Times New Roman" w:hAnsi="Times New Roman" w:cs="Times New Roman"/>
      <w:color w:val="000000"/>
      <w:sz w:val="28"/>
      <w:szCs w:val="28"/>
      <w:lang w:val="ru-RU"/>
    </w:rPr>
  </w:style>
  <w:style w:type="paragraph" w:styleId="20">
    <w:name w:val="toc 2"/>
    <w:basedOn w:val="a"/>
    <w:next w:val="a"/>
    <w:autoRedefine/>
    <w:uiPriority w:val="39"/>
    <w:unhideWhenUsed/>
    <w:rsid w:val="00966E6A"/>
    <w:pPr>
      <w:spacing w:after="100" w:line="360" w:lineRule="auto"/>
      <w:ind w:left="220" w:firstLine="64"/>
    </w:pPr>
    <w:rPr>
      <w:rFonts w:ascii="Calibri" w:eastAsia="Times New Roman" w:hAnsi="Calibri" w:cs="Times New Roman"/>
      <w:color w:val="000000"/>
      <w:szCs w:val="20"/>
      <w:lang w:val="ru-RU"/>
    </w:rPr>
  </w:style>
  <w:style w:type="paragraph" w:styleId="31">
    <w:name w:val="toc 3"/>
    <w:basedOn w:val="a"/>
    <w:next w:val="a"/>
    <w:autoRedefine/>
    <w:uiPriority w:val="39"/>
    <w:unhideWhenUsed/>
    <w:rsid w:val="00966E6A"/>
    <w:pPr>
      <w:spacing w:after="100" w:line="360" w:lineRule="auto"/>
      <w:ind w:firstLine="709"/>
    </w:pPr>
    <w:rPr>
      <w:rFonts w:ascii="Calibri" w:eastAsia="Times New Roman" w:hAnsi="Calibri" w:cs="Times New Roman"/>
      <w:color w:val="000000"/>
      <w:szCs w:val="20"/>
      <w:lang w:val="ru-RU"/>
    </w:rPr>
  </w:style>
  <w:style w:type="paragraph" w:styleId="a7">
    <w:name w:val="header"/>
    <w:basedOn w:val="a"/>
    <w:link w:val="a8"/>
    <w:uiPriority w:val="99"/>
    <w:unhideWhenUsed/>
    <w:rsid w:val="00A24905"/>
    <w:pPr>
      <w:tabs>
        <w:tab w:val="center" w:pos="4677"/>
        <w:tab w:val="right" w:pos="9355"/>
      </w:tabs>
      <w:spacing w:line="240" w:lineRule="auto"/>
    </w:pPr>
  </w:style>
  <w:style w:type="character" w:customStyle="1" w:styleId="a8">
    <w:name w:val="Верхний колонтитул Знак"/>
    <w:basedOn w:val="a0"/>
    <w:link w:val="a7"/>
    <w:uiPriority w:val="99"/>
    <w:rsid w:val="00A24905"/>
  </w:style>
  <w:style w:type="paragraph" w:styleId="a9">
    <w:name w:val="footer"/>
    <w:basedOn w:val="a"/>
    <w:link w:val="aa"/>
    <w:uiPriority w:val="99"/>
    <w:unhideWhenUsed/>
    <w:rsid w:val="00A24905"/>
    <w:pPr>
      <w:tabs>
        <w:tab w:val="center" w:pos="4677"/>
        <w:tab w:val="right" w:pos="9355"/>
      </w:tabs>
      <w:spacing w:line="240" w:lineRule="auto"/>
    </w:pPr>
  </w:style>
  <w:style w:type="character" w:customStyle="1" w:styleId="aa">
    <w:name w:val="Нижний колонтитул Знак"/>
    <w:basedOn w:val="a0"/>
    <w:link w:val="a9"/>
    <w:uiPriority w:val="99"/>
    <w:rsid w:val="00A24905"/>
  </w:style>
  <w:style w:type="character" w:customStyle="1" w:styleId="30">
    <w:name w:val="Заголовок 3 Знак"/>
    <w:basedOn w:val="a0"/>
    <w:link w:val="3"/>
    <w:uiPriority w:val="9"/>
    <w:rsid w:val="00005F7D"/>
    <w:rPr>
      <w:color w:val="434343"/>
      <w:sz w:val="28"/>
      <w:szCs w:val="28"/>
    </w:rPr>
  </w:style>
  <w:style w:type="paragraph" w:customStyle="1" w:styleId="ds-markdown-paragraph">
    <w:name w:val="ds-markdown-paragraph"/>
    <w:basedOn w:val="a"/>
    <w:rsid w:val="00044A1E"/>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b">
    <w:name w:val="Strong"/>
    <w:basedOn w:val="a0"/>
    <w:uiPriority w:val="22"/>
    <w:qFormat/>
    <w:rsid w:val="00044A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40</Pages>
  <Words>9699</Words>
  <Characters>55290</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PK</cp:lastModifiedBy>
  <cp:revision>33</cp:revision>
  <dcterms:created xsi:type="dcterms:W3CDTF">2026-06-11T11:17:00Z</dcterms:created>
  <dcterms:modified xsi:type="dcterms:W3CDTF">2026-06-19T09:40:00Z</dcterms:modified>
</cp:coreProperties>
</file>