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1CE9A" w14:textId="77777777" w:rsidR="00ED62C1" w:rsidRPr="00B11690" w:rsidRDefault="00000000" w:rsidP="00B11690">
      <w:pPr>
        <w:pStyle w:val="aa"/>
        <w:rPr>
          <w:lang w:val="ru-RU"/>
        </w:rPr>
      </w:pPr>
      <w:r w:rsidRPr="00B11690">
        <w:rPr>
          <w:lang w:val="ru-RU"/>
        </w:rPr>
        <w:t>УДК 656.6.073</w:t>
      </w:r>
      <w:r w:rsidR="00EC5459">
        <w:rPr>
          <w:rFonts w:hint="cs"/>
          <w:rtl/>
        </w:rPr>
        <w:t xml:space="preserve"> </w:t>
      </w:r>
    </w:p>
    <w:p w14:paraId="17DE76D7" w14:textId="71387458" w:rsidR="00B11690" w:rsidRPr="00B11690" w:rsidRDefault="00B11690" w:rsidP="00B116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>Северный морской путь в новой конфигурации евразийской логистики: ограничения, риски и управленческие решения</w:t>
      </w:r>
    </w:p>
    <w:p w14:paraId="02FFCC8E" w14:textId="6BEDABA3" w:rsidR="00ED62C1" w:rsidRPr="00B11690" w:rsidRDefault="00000000" w:rsidP="00B11690">
      <w:pPr>
        <w:spacing w:after="0" w:line="360" w:lineRule="auto"/>
        <w:jc w:val="right"/>
        <w:rPr>
          <w:rFonts w:ascii="Times New Roman" w:hAnsi="Times New Roman" w:cs="Times New Roman"/>
          <w:b/>
          <w:bCs/>
          <w:i/>
          <w:iCs/>
          <w:lang w:val="ru-RU"/>
        </w:rPr>
      </w:pPr>
      <w:r w:rsidRPr="00B11690">
        <w:rPr>
          <w:rFonts w:ascii="Times New Roman" w:hAnsi="Times New Roman" w:cs="Times New Roman"/>
          <w:b/>
          <w:bCs/>
          <w:i/>
          <w:iCs/>
          <w:sz w:val="24"/>
          <w:lang w:val="ru-RU"/>
        </w:rPr>
        <w:t>Винокурова Виктория Дмитриевна</w:t>
      </w:r>
    </w:p>
    <w:p w14:paraId="4E2DA75D" w14:textId="6BD0E604" w:rsidR="00B11690" w:rsidRDefault="00B11690" w:rsidP="00B11690">
      <w:pPr>
        <w:spacing w:after="0" w:line="360" w:lineRule="auto"/>
        <w:jc w:val="right"/>
        <w:rPr>
          <w:rFonts w:ascii="Times New Roman" w:hAnsi="Times New Roman" w:cs="Times New Roman"/>
          <w:b/>
          <w:bCs/>
          <w:i/>
          <w:iCs/>
          <w:sz w:val="24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lang w:val="ru-RU"/>
        </w:rPr>
        <w:t xml:space="preserve">Студент, </w:t>
      </w:r>
      <w:r w:rsidR="00000000" w:rsidRPr="00B11690">
        <w:rPr>
          <w:rFonts w:ascii="Times New Roman" w:hAnsi="Times New Roman" w:cs="Times New Roman"/>
          <w:b/>
          <w:bCs/>
          <w:i/>
          <w:iCs/>
          <w:sz w:val="24"/>
          <w:lang w:val="ru-RU"/>
        </w:rPr>
        <w:t xml:space="preserve">Владивостокский государственный университет, </w:t>
      </w:r>
    </w:p>
    <w:p w14:paraId="2A571890" w14:textId="05E0DCFB" w:rsidR="00ED62C1" w:rsidRPr="00B11690" w:rsidRDefault="00000000" w:rsidP="00B11690">
      <w:pPr>
        <w:spacing w:after="0" w:line="360" w:lineRule="auto"/>
        <w:jc w:val="right"/>
        <w:rPr>
          <w:rFonts w:ascii="Times New Roman" w:hAnsi="Times New Roman" w:cs="Times New Roman"/>
          <w:b/>
          <w:bCs/>
          <w:i/>
          <w:iCs/>
          <w:lang w:val="ru-RU"/>
        </w:rPr>
      </w:pPr>
      <w:r w:rsidRPr="00B11690">
        <w:rPr>
          <w:rFonts w:ascii="Times New Roman" w:hAnsi="Times New Roman" w:cs="Times New Roman"/>
          <w:b/>
          <w:bCs/>
          <w:i/>
          <w:iCs/>
          <w:sz w:val="24"/>
          <w:lang w:val="ru-RU"/>
        </w:rPr>
        <w:t>Россия,</w:t>
      </w:r>
      <w:r w:rsidR="00B11690">
        <w:rPr>
          <w:rFonts w:ascii="Times New Roman" w:hAnsi="Times New Roman" w:cs="Times New Roman"/>
          <w:b/>
          <w:bCs/>
          <w:i/>
          <w:iCs/>
          <w:sz w:val="24"/>
          <w:lang w:val="ru-RU"/>
        </w:rPr>
        <w:t xml:space="preserve"> г. </w:t>
      </w:r>
      <w:r w:rsidRPr="00B11690">
        <w:rPr>
          <w:rFonts w:ascii="Times New Roman" w:hAnsi="Times New Roman" w:cs="Times New Roman"/>
          <w:b/>
          <w:bCs/>
          <w:i/>
          <w:iCs/>
          <w:sz w:val="24"/>
          <w:lang w:val="ru-RU"/>
        </w:rPr>
        <w:t>Владивосток</w:t>
      </w:r>
    </w:p>
    <w:p w14:paraId="3B7DEB44" w14:textId="77777777" w:rsidR="00ED62C1" w:rsidRPr="00B11690" w:rsidRDefault="00ED62C1" w:rsidP="00B11690">
      <w:pPr>
        <w:spacing w:line="360" w:lineRule="auto"/>
        <w:jc w:val="right"/>
        <w:rPr>
          <w:rFonts w:ascii="Times New Roman" w:hAnsi="Times New Roman" w:cs="Times New Roman"/>
          <w:b/>
          <w:bCs/>
          <w:i/>
          <w:iCs/>
          <w:lang w:val="ru-RU"/>
        </w:rPr>
      </w:pPr>
    </w:p>
    <w:p w14:paraId="5E4D8E32" w14:textId="77777777" w:rsidR="00ED62C1" w:rsidRPr="00B11690" w:rsidRDefault="00000000" w:rsidP="00B1169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В статье рассматривается Северный морской путь (СМП) как элемент национальной транспортной системы и практический инструмент перестройки внешнеторговых и внутренних логистических цепочек в условиях изменения маршрутизации грузопотоков. Цель исследования — выделить ограничения и риски функционирования СМП с точки зрения сервиса (предсказуемости сроков, надежности и стоимости владения логистической цепью) и предложить управленческие решения, повышающие экономическую привлекательность маршрута для грузоотправителей. Методологическая база включает анализ официальной статистики грузопотока, нормативных документов и логистическую декомпозицию сквозной цепи поставок на арктическом направлении. Показано, что рост объемов перевозок не устраняет системные барьеры: сезонность, дефицит специализированного флота, инфраструктурные разрывы и страховые ограничения. Сформулирован набор мер, ориентированных на повышение надежности расписаний, цифровизацию планирования ледокольной проводки и развитие узловой портово-складской инфраструктуры.</w:t>
      </w:r>
    </w:p>
    <w:p w14:paraId="60550A79" w14:textId="77777777" w:rsidR="00ED62C1" w:rsidRPr="00B11690" w:rsidRDefault="00000000" w:rsidP="009F326C">
      <w:pPr>
        <w:spacing w:after="0" w:line="360" w:lineRule="auto"/>
        <w:ind w:firstLine="720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Ключевые слова: Северный морской путь, арктическая логистика, ледокольная проводка, портовая инфраструктура, риск-менеджмент, страхование, транзит, цифровизация</w:t>
      </w:r>
    </w:p>
    <w:p w14:paraId="397FBCE4" w14:textId="77777777" w:rsidR="002579C9" w:rsidRPr="009F326C" w:rsidRDefault="00000000" w:rsidP="00B11690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b/>
          <w:bCs/>
          <w:sz w:val="28"/>
          <w:szCs w:val="28"/>
          <w:lang w:val="ru-RU"/>
        </w:rPr>
        <w:t>Введение.</w:t>
      </w:r>
    </w:p>
    <w:p w14:paraId="747E571C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lastRenderedPageBreak/>
        <w:t>Интенсивное развитие СМП как высокоширотного транспортного коридора совпало по времени с перестройкой мировой торговли и изменением географии грузопотоков. В результате на рынке усилился спрос на маршруты, которые позволяют сократить зависимость от узких мест традиционных направлений и обеспечить устойчивость поставок при неблагоприятных внешних условиях. Вместе с тем, для логистики решающее значение имеет не сам факт наличия альтернативного пути, а качество сервиса: насколько прогнозируемы сроки доставки, насколько управляемы риски и какова совокупная стоимость владения цепью поставок.</w:t>
      </w:r>
    </w:p>
    <w:p w14:paraId="4F22FE8D" w14:textId="77777777" w:rsidR="009F326C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Цель исследования — оценить СМП как логистический продукт и определить набор управленческих решений, которые переводят маршрут из статуса «разового проекта» в устойчивый сервис для грузоотправителей. Задачи включают: </w:t>
      </w:r>
    </w:p>
    <w:p w14:paraId="7B0D9B77" w14:textId="2B4B42DC" w:rsidR="009F326C" w:rsidRPr="009F326C" w:rsidRDefault="00000000" w:rsidP="009F326C">
      <w:pPr>
        <w:pStyle w:val="ae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 xml:space="preserve">анализ факторов роста грузопотока и структуры перевозок; </w:t>
      </w:r>
    </w:p>
    <w:p w14:paraId="55D6160A" w14:textId="7CFDDECC" w:rsidR="009F326C" w:rsidRPr="009F326C" w:rsidRDefault="00000000" w:rsidP="009F326C">
      <w:pPr>
        <w:pStyle w:val="ae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 xml:space="preserve">систематизацию ограничений на уровне флота, инфраструктуры и </w:t>
      </w:r>
      <w:proofErr w:type="spellStart"/>
      <w:r w:rsidRPr="009F326C">
        <w:rPr>
          <w:rFonts w:ascii="Times New Roman" w:hAnsi="Times New Roman" w:cs="Times New Roman"/>
          <w:sz w:val="28"/>
          <w:szCs w:val="28"/>
          <w:lang w:val="ru-RU"/>
        </w:rPr>
        <w:t>регуляторики</w:t>
      </w:r>
      <w:proofErr w:type="spellEnd"/>
      <w:r w:rsidRPr="009F326C">
        <w:rPr>
          <w:rFonts w:ascii="Times New Roman" w:hAnsi="Times New Roman" w:cs="Times New Roman"/>
          <w:sz w:val="28"/>
          <w:szCs w:val="28"/>
          <w:lang w:val="ru-RU"/>
        </w:rPr>
        <w:t xml:space="preserve">; </w:t>
      </w:r>
    </w:p>
    <w:p w14:paraId="6C903DC2" w14:textId="6ACEEB89" w:rsidR="009F326C" w:rsidRPr="009F326C" w:rsidRDefault="00000000" w:rsidP="009F326C">
      <w:pPr>
        <w:pStyle w:val="ae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 xml:space="preserve">выделение рисков, которые формируют вариативность транзита; </w:t>
      </w:r>
    </w:p>
    <w:p w14:paraId="2DE0B6AC" w14:textId="7338F6A2" w:rsidR="00ED62C1" w:rsidRPr="009F326C" w:rsidRDefault="00000000" w:rsidP="009F326C">
      <w:pPr>
        <w:pStyle w:val="ae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>формирование предложений по повышению надежности и экономической эффективности.</w:t>
      </w:r>
    </w:p>
    <w:p w14:paraId="20CCB4BC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Методы исследования включают сравнительный анализ (СМП и альтернативные маршруты), логистическую декомпозицию сквозной цепи (порт — море — порт) и риск-анализ, ориентированный на последствия для совокупной стоимости владения (ССВ) и уровня сервиса. Информационную основу составили официальные сообщения о грузопотоке по СМП за 2024 год, а также государственные документы, задающие рамку развития инфраструктуры до 2035 года [1; 2].</w:t>
      </w:r>
    </w:p>
    <w:p w14:paraId="683E5860" w14:textId="77777777" w:rsidR="002579C9" w:rsidRPr="00B11690" w:rsidRDefault="00000000" w:rsidP="009F326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eastAsia="Times New Roman" w:hAnsi="Times New Roman" w:cs="Times New Roman"/>
          <w:sz w:val="28"/>
          <w:szCs w:val="28"/>
          <w:lang w:val="ru-RU"/>
        </w:rPr>
        <w:t>Теоретические основы рассмотрения СМП как логистического коридора.</w:t>
      </w:r>
    </w:p>
    <w:p w14:paraId="3AD1510A" w14:textId="77777777" w:rsidR="002579C9" w:rsidRPr="00B11690" w:rsidRDefault="00000000" w:rsidP="009F326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логистической теории транспортный коридор трактуется не как географическая линия движения, а как интегрированная система узлов, </w:t>
      </w:r>
      <w:r w:rsidRPr="00B11690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маршрутов, правил доступа и сервисных функций, обеспечивающих перемещение материальных потоков с заданными параметрами качества. Следовательно, Северный морской путь целесообразно описывать как «логистический продукт», в котором потребительская ценность формируется совокупностью услуг: разрешительной и диспетчерской координацией, ледокольной проводкой, портово-складской обработкой, агентированием, информационным сопровождением и механизмами финансового обеспечения перевозки.</w:t>
      </w:r>
    </w:p>
    <w:p w14:paraId="0B1EB145" w14:textId="77777777" w:rsidR="002579C9" w:rsidRPr="00B11690" w:rsidRDefault="00000000" w:rsidP="009F326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Для сопоставления альтернативных маршрутов применимы базовые категории управления цепями поставок. Во-первых, совокупная стоимость владения (ССВ) отражает не только фрахт и тарифы, но и затраты на запасы в пути, оборотный капитал, простои, страхование, требования к упаковке и подготовке груза, а также расходы на обеспечение устойчивости поставки. Во-вторых, показатель надежности сроков характеризует вариативность времени доставки и вероятность соблюдения графика, что напрямую влияет на уровень сервиса и способность планирования производства и продаж. В-третьих, устойчивость описывает способность цепи сохранять работоспособность при шоках и быстро восстанавливаться за счет резервирования мощностей, альтернативных схем маршрутизации и прозрачности управления.</w:t>
      </w:r>
    </w:p>
    <w:p w14:paraId="3383663B" w14:textId="77777777" w:rsidR="002579C9" w:rsidRPr="00B11690" w:rsidRDefault="00000000" w:rsidP="009F326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eastAsia="Times New Roman" w:hAnsi="Times New Roman" w:cs="Times New Roman"/>
          <w:sz w:val="28"/>
          <w:szCs w:val="28"/>
          <w:lang w:val="ru-RU"/>
        </w:rPr>
        <w:t>В условиях арктических перевозок особенно актуален риск-ориентированный подход, где решения принимаются с учетом вероятности и последствий событий, влияющих на сроки и затраты. Логистические риски СМП целесообразно разделять на природно-климатические, инфраструктурные, операционные и регуляторные. Управление ими строится через стандартизацию процедур, контрактное закрепление ответственности и условий сервиса, а также через механизмы распределения и трансфера рисков (в частности, страхование). При этом страховой контур выступает не внешним дополнением, а элементом экономики маршрута, поскольку определяет условия допуска, требования к флоту и итоговую цену логистического решения.</w:t>
      </w:r>
    </w:p>
    <w:p w14:paraId="15A9D37A" w14:textId="77777777" w:rsidR="009F326C" w:rsidRDefault="00000000" w:rsidP="009F326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Таким образом, теоретическая рамка оценки СМП сводится к проверке трех взаимосвязанных компонентов: </w:t>
      </w:r>
    </w:p>
    <w:p w14:paraId="484FB625" w14:textId="60E25D39" w:rsidR="009F326C" w:rsidRPr="009F326C" w:rsidRDefault="00000000" w:rsidP="009F326C">
      <w:pPr>
        <w:pStyle w:val="ae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 xml:space="preserve">сервисная предсказуемость и управляемость сроков, </w:t>
      </w:r>
    </w:p>
    <w:p w14:paraId="61D17AFE" w14:textId="48791105" w:rsidR="009F326C" w:rsidRPr="009F326C" w:rsidRDefault="00000000" w:rsidP="009F326C">
      <w:pPr>
        <w:pStyle w:val="ae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>структура ССВ и чувствительность затрат к неопределенности,</w:t>
      </w:r>
    </w:p>
    <w:p w14:paraId="278CA5CD" w14:textId="2720EADC" w:rsidR="009F326C" w:rsidRPr="009F326C" w:rsidRDefault="00000000" w:rsidP="009F326C">
      <w:pPr>
        <w:pStyle w:val="ae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>зрелость механизмов управления рисками и устойчивостью цепи.</w:t>
      </w:r>
    </w:p>
    <w:p w14:paraId="52F5A7D2" w14:textId="385B7462" w:rsidR="002579C9" w:rsidRPr="009F326C" w:rsidRDefault="00000000" w:rsidP="009F326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sz w:val="28"/>
          <w:szCs w:val="28"/>
          <w:lang w:val="ru-RU"/>
        </w:rPr>
        <w:t>Такая логика позволяет корректно интерпретировать статистику грузопотока и результаты сравнительного анализа маршрутов, а также обосновывать управленческие решения по развитию узлов, цифровизации планирования и повышению надежности логистического сервиса на СМП.</w:t>
      </w:r>
    </w:p>
    <w:p w14:paraId="3533FA95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Динамика грузопотока отражает устойчивый спрос на арктическое направление. По итогам 2024 года объем перевозок по СМП составил 37 893 531,9 т, превысив предыдущий рекорд более чем на 1,6 млн т [1]. Однако увеличение тоннажа само по себе не означает зрелости логистического продукта: для регулярных перевозок важнее не средний транзит, а вариативность — разброс фактических сроков. В арктических условиях именно вариативность превращается в ключевой источник дополнительных затрат: простоев, штрафов, «буферных» запасов и необходимости поддерживать резервные схемы доставки.</w:t>
      </w:r>
    </w:p>
    <w:p w14:paraId="2620F10F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rtl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С точки зрения логистики СМП следует рассматривать как систему взаимосвязанных услуг: (а) разрешительная и диспетчерская инфраструктура, (б) ледокольная проводка и ледовая информация, (в) портовые операции и накопление грузов, (г) наличие флота требуемого ледового класса, (д) страховая и финансовая обвязка. Слабость любого элемента «разрывает» сквозную цепь. Поэтому при оценке конкурентоспособности маршрута корректно сопоставлять не только километры или расчетное время хода, но и набор сервисных условий, влияющих на прогнозируемость (табл. 1).</w:t>
      </w:r>
    </w:p>
    <w:p w14:paraId="58CC9880" w14:textId="77777777" w:rsidR="00AA0813" w:rsidRPr="00B11690" w:rsidRDefault="00AA0813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rtl/>
        </w:rPr>
      </w:pPr>
    </w:p>
    <w:p w14:paraId="19BCE114" w14:textId="77777777" w:rsidR="009F326C" w:rsidRPr="009F326C" w:rsidRDefault="00000000" w:rsidP="009F326C">
      <w:pPr>
        <w:spacing w:after="0" w:line="360" w:lineRule="auto"/>
        <w:jc w:val="right"/>
        <w:rPr>
          <w:rFonts w:ascii="Times New Roman" w:hAnsi="Times New Roman" w:cs="Times New Roman"/>
          <w:b/>
          <w:i/>
          <w:iCs/>
          <w:sz w:val="28"/>
          <w:szCs w:val="28"/>
          <w:lang w:val="ru-RU"/>
        </w:rPr>
      </w:pPr>
      <w:r w:rsidRPr="009F326C">
        <w:rPr>
          <w:rFonts w:ascii="Times New Roman" w:hAnsi="Times New Roman" w:cs="Times New Roman"/>
          <w:b/>
          <w:i/>
          <w:iCs/>
          <w:sz w:val="28"/>
          <w:szCs w:val="28"/>
          <w:lang w:val="ru-RU"/>
        </w:rPr>
        <w:t xml:space="preserve">Таблица 1 </w:t>
      </w:r>
    </w:p>
    <w:p w14:paraId="3C034E5A" w14:textId="4CB8066B" w:rsidR="00ED62C1" w:rsidRPr="00B11690" w:rsidRDefault="00000000" w:rsidP="00B1169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>Сравнительная оценка СМП и альтернативных морских маршрутов (логистический ракурс)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2407"/>
        <w:gridCol w:w="2408"/>
        <w:gridCol w:w="2408"/>
        <w:gridCol w:w="2405"/>
      </w:tblGrid>
      <w:tr w:rsidR="00ED62C1" w:rsidRPr="00B11690" w14:paraId="0473490E" w14:textId="77777777">
        <w:tc>
          <w:tcPr>
            <w:tcW w:w="2409" w:type="dxa"/>
          </w:tcPr>
          <w:p w14:paraId="65E1A317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Показатель</w:t>
            </w:r>
            <w:proofErr w:type="spellEnd"/>
          </w:p>
        </w:tc>
        <w:tc>
          <w:tcPr>
            <w:tcW w:w="2409" w:type="dxa"/>
          </w:tcPr>
          <w:p w14:paraId="1C3AA5BD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СМП</w:t>
            </w:r>
          </w:p>
        </w:tc>
        <w:tc>
          <w:tcPr>
            <w:tcW w:w="2409" w:type="dxa"/>
          </w:tcPr>
          <w:p w14:paraId="10F50B38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Южные маршруты (Суэц/Индийский океан)</w:t>
            </w:r>
          </w:p>
        </w:tc>
        <w:tc>
          <w:tcPr>
            <w:tcW w:w="2409" w:type="dxa"/>
          </w:tcPr>
          <w:p w14:paraId="23BC28BB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Логистическое</w:t>
            </w:r>
            <w:proofErr w:type="spellEnd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следствие</w:t>
            </w:r>
            <w:proofErr w:type="spellEnd"/>
          </w:p>
        </w:tc>
      </w:tr>
      <w:tr w:rsidR="00ED62C1" w:rsidRPr="00B11690" w14:paraId="173547AC" w14:textId="77777777">
        <w:tc>
          <w:tcPr>
            <w:tcW w:w="2409" w:type="dxa"/>
          </w:tcPr>
          <w:p w14:paraId="55C65DA0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Навигационная предсказуемость</w:t>
            </w:r>
          </w:p>
        </w:tc>
        <w:tc>
          <w:tcPr>
            <w:tcW w:w="2409" w:type="dxa"/>
          </w:tcPr>
          <w:p w14:paraId="36029E2A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409" w:type="dxa"/>
          </w:tcPr>
          <w:p w14:paraId="1D7A7F56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Высокая</w:t>
            </w:r>
          </w:p>
        </w:tc>
        <w:tc>
          <w:tcPr>
            <w:tcW w:w="2409" w:type="dxa"/>
          </w:tcPr>
          <w:p w14:paraId="7F73C40E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Определяет потребность в запасах и резервных схемах</w:t>
            </w:r>
          </w:p>
        </w:tc>
      </w:tr>
      <w:tr w:rsidR="00ED62C1" w:rsidRPr="00B11690" w14:paraId="775A144F" w14:textId="77777777">
        <w:tc>
          <w:tcPr>
            <w:tcW w:w="2409" w:type="dxa"/>
          </w:tcPr>
          <w:p w14:paraId="720B4B40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Сезонность</w:t>
            </w:r>
            <w:proofErr w:type="spellEnd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ледовые</w:t>
            </w:r>
            <w:proofErr w:type="spellEnd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ограничения</w:t>
            </w:r>
            <w:proofErr w:type="spellEnd"/>
          </w:p>
        </w:tc>
        <w:tc>
          <w:tcPr>
            <w:tcW w:w="2409" w:type="dxa"/>
          </w:tcPr>
          <w:p w14:paraId="3652D82D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Выражены</w:t>
            </w:r>
          </w:p>
        </w:tc>
        <w:tc>
          <w:tcPr>
            <w:tcW w:w="2409" w:type="dxa"/>
          </w:tcPr>
          <w:p w14:paraId="233C0EFD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Минимальны</w:t>
            </w:r>
          </w:p>
        </w:tc>
        <w:tc>
          <w:tcPr>
            <w:tcW w:w="2409" w:type="dxa"/>
          </w:tcPr>
          <w:p w14:paraId="5217D52E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Увеличивает вариативность и требования к планированию</w:t>
            </w:r>
          </w:p>
        </w:tc>
      </w:tr>
      <w:tr w:rsidR="00ED62C1" w:rsidRPr="00B11690" w14:paraId="5DE18292" w14:textId="77777777">
        <w:tc>
          <w:tcPr>
            <w:tcW w:w="2409" w:type="dxa"/>
          </w:tcPr>
          <w:p w14:paraId="55CA094B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Требования</w:t>
            </w:r>
            <w:proofErr w:type="spellEnd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 xml:space="preserve"> к </w:t>
            </w: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флоту</w:t>
            </w:r>
            <w:proofErr w:type="spellEnd"/>
          </w:p>
        </w:tc>
        <w:tc>
          <w:tcPr>
            <w:tcW w:w="2409" w:type="dxa"/>
          </w:tcPr>
          <w:p w14:paraId="42D35FFB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Ледовый класс, ограничения по осадке/прочности</w:t>
            </w:r>
          </w:p>
        </w:tc>
        <w:tc>
          <w:tcPr>
            <w:tcW w:w="2409" w:type="dxa"/>
          </w:tcPr>
          <w:p w14:paraId="421602F0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Стандартные</w:t>
            </w:r>
            <w:proofErr w:type="spellEnd"/>
          </w:p>
        </w:tc>
        <w:tc>
          <w:tcPr>
            <w:tcW w:w="2409" w:type="dxa"/>
          </w:tcPr>
          <w:p w14:paraId="617B9A76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Ограничивает доступность судов и емкость рынка</w:t>
            </w:r>
          </w:p>
        </w:tc>
      </w:tr>
      <w:tr w:rsidR="00ED62C1" w:rsidRPr="00B11690" w14:paraId="6B2EEBBF" w14:textId="77777777">
        <w:tc>
          <w:tcPr>
            <w:tcW w:w="2409" w:type="dxa"/>
          </w:tcPr>
          <w:p w14:paraId="2F5B15D9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Страховой</w:t>
            </w:r>
            <w:proofErr w:type="spellEnd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  <w:proofErr w:type="spellEnd"/>
          </w:p>
        </w:tc>
        <w:tc>
          <w:tcPr>
            <w:tcW w:w="2409" w:type="dxa"/>
          </w:tcPr>
          <w:p w14:paraId="5461F481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Повышенный, зависит от условий проводки</w:t>
            </w:r>
          </w:p>
        </w:tc>
        <w:tc>
          <w:tcPr>
            <w:tcW w:w="2409" w:type="dxa"/>
          </w:tcPr>
          <w:p w14:paraId="4CEDEE6D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1690">
              <w:rPr>
                <w:rFonts w:ascii="Times New Roman" w:hAnsi="Times New Roman" w:cs="Times New Roman"/>
                <w:sz w:val="28"/>
                <w:szCs w:val="28"/>
              </w:rPr>
              <w:t>Базовый</w:t>
            </w:r>
            <w:proofErr w:type="spellEnd"/>
          </w:p>
        </w:tc>
        <w:tc>
          <w:tcPr>
            <w:tcW w:w="2409" w:type="dxa"/>
          </w:tcPr>
          <w:p w14:paraId="5EE0A536" w14:textId="77777777" w:rsidR="00ED62C1" w:rsidRPr="00B11690" w:rsidRDefault="00000000" w:rsidP="00B1169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1169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Влияет на ставку фрахта и порог рентабельности</w:t>
            </w:r>
          </w:p>
        </w:tc>
      </w:tr>
    </w:tbl>
    <w:p w14:paraId="0216E425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Ключевые ограничения СМП для логистики можно сгруппировать в четыре блока.</w:t>
      </w:r>
    </w:p>
    <w:p w14:paraId="433B0654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 xml:space="preserve">1.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t>Инфраструктура и узлы.</w:t>
      </w:r>
    </w:p>
    <w:p w14:paraId="4A6EA8C6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Даже при наличии современных ледоколов узким местом остаются портовые операции и накопление партий. Для регулярных линий необходимы мощности перевалки, хранения и обработки генеральных и контейнерных грузов, а также ремонтная база и аварийно-спасательная готовность. Без этого СМП сохраняет специализацию на ограниченной номенклатуре грузов и не формирует устойчивую сетевую структуру.</w:t>
      </w:r>
    </w:p>
    <w:p w14:paraId="124D7FC3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 xml:space="preserve">2.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t>Флот и производственная база.</w:t>
      </w:r>
    </w:p>
    <w:p w14:paraId="422B086C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lastRenderedPageBreak/>
        <w:t>Дефицит судов ледового класса для разных типов грузов сдерживает диверсификацию перевозок. Для грузоотправителя это выражается в ограниченном выборе перевозчика, невозможности закрепить график на год вперед и повышенной цене судового ресурса. В терминах ССВ это повышает стоимость логистической цепи и делает маршрут чувствительным к любому отклонению от плана.</w:t>
      </w:r>
    </w:p>
    <w:p w14:paraId="07EEF400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t>Организация проводки и цифровая управляемость.</w:t>
      </w:r>
    </w:p>
    <w:p w14:paraId="75135287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Ледокольная проводка — не только физическое сопровождение, но и система планирования окон, приоритетов и графиков. Практически важен переход к управлению надежностью: публикация понятных правил приоритизации, измерение фактического уровня (доля рейсов в срок) и внедрение сквозного информационного контура (план-факт, прогноз льда, готовность портов). Это снижает неопределенность и упрощает решение грузовладельца о выборе маршрута.</w:t>
      </w:r>
    </w:p>
    <w:p w14:paraId="0151FD88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 xml:space="preserve">4.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t>Финансы и страхование.</w:t>
      </w:r>
    </w:p>
    <w:p w14:paraId="417800E1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В арктических перевозках страховой блок влияет на конечную экономику так же сильно, как и портовые тарифы. Повышенная аварийность и специфические риски (ледовые повреждения, задержки, ограниченная доступность помощи) приводят к росту страховой компоненты и, соответственно, ставки фрахта. На практике важны стандартизация риск-профиля и развитие национальных инструментов страховой защиты ответственности и корпуса/машин судна, что уменьшает зависимость от внешних ограничений [3].</w:t>
      </w:r>
    </w:p>
    <w:p w14:paraId="33C6939A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Вывод о конкурентоспособности СМП следует формулировать аккуратно. С точки зрения времени «по паспорту маршрута» СМП может давать выигрыш относительно южных направлений, однако для грузоотправителя ключевой вопрос — не средний транзит, а его разброс. Чем выше разброс, тем выше требуемые резервы на складе и в производстве. Следовательно, управленческая цель развития СМП — уменьшение вариативности за счет сервиса: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предсказуемых графиков, прозрачных правил проводки и надежных портовых узлов.</w:t>
      </w:r>
    </w:p>
    <w:p w14:paraId="64195468" w14:textId="77777777" w:rsidR="00ED62C1" w:rsidRPr="00B11690" w:rsidRDefault="00000000" w:rsidP="00B1169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Практические решения целесообразно строить вокруг трех взаимосвязанных направлений. Во-первых, переход к управлению сервисом через измеримые метрики (доля рейсов в срок, длительность простоев, доля рейсов без внеплановых задержек) и «единое окно» коммуникаций для судоходных компаний и грузовладельцев. Во-вторых, развитие узловой инфраструктуры и ремонтно-спасательных возможностей, обеспечивающих устойчивость операций. В-третьих, унификация финансово-страховой обвязки: прозрачные тарифы, стандартизированные требования к судну/грузу и механизмы компенсации части затрат для приоритетных номенклатур при соблюдении показателей надежности [2; 3].</w:t>
      </w:r>
    </w:p>
    <w:p w14:paraId="3AC81557" w14:textId="77777777" w:rsidR="002579C9" w:rsidRPr="00B11690" w:rsidRDefault="00000000" w:rsidP="00B11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Обсуждение результатов и практические импликации.</w:t>
      </w:r>
    </w:p>
    <w:p w14:paraId="28E7723D" w14:textId="76B941A0" w:rsidR="002579C9" w:rsidRPr="00B11690" w:rsidRDefault="00000000" w:rsidP="00B116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Ограничения исследования связаны с опорой на агрегированные публичные данные и нормативные документы. Более точная оценка эффектов требует </w:t>
      </w:r>
      <w:proofErr w:type="spellStart"/>
      <w:r w:rsidRPr="00B11690">
        <w:rPr>
          <w:rFonts w:ascii="Times New Roman" w:hAnsi="Times New Roman" w:cs="Times New Roman"/>
          <w:sz w:val="28"/>
          <w:szCs w:val="28"/>
          <w:lang w:val="ru-RU"/>
        </w:rPr>
        <w:t>микроданных</w:t>
      </w:r>
      <w:proofErr w:type="spellEnd"/>
      <w:r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 по фактическим задержкам, структуре затрат перевозчиков и страховых премий по типам грузов и классу судна. Перспективным направлением дальнейших работ является построение модели чувствительности совокупной стоимости владения к вариативности транзита и разработка оптимальных правил приоритизации проводки, обеспечивающих баланс между загрузкой инфраструктуры и уровнем сервиса.</w:t>
      </w:r>
    </w:p>
    <w:p w14:paraId="52165A83" w14:textId="77777777" w:rsidR="002579C9" w:rsidRPr="00B11690" w:rsidRDefault="00000000" w:rsidP="00B116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СМП также требует адаптации сетевого дизайна: приоритет получают схемы с консолидацией грузов в опорных узлах и с оптимизацией партии под доступный ледовый класс судна. Для промышленной логистики оправдано комбинирование морского плеча с железнодорожными и речными участками, а также использование буферных складских мощностей в ключевых точках для сглаживания сезонности и вариативности сроков.</w:t>
      </w:r>
    </w:p>
    <w:p w14:paraId="3E9B30F3" w14:textId="77777777" w:rsidR="002579C9" w:rsidRPr="00B11690" w:rsidRDefault="00000000" w:rsidP="00B116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Важной предпосылкой для сервисной модели является развитие цифрового управления: единый информационный контур «план—факт—прогноз» с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lastRenderedPageBreak/>
        <w:t>доступом к данным о ледовой обстановке, готовности портовой инфраструктуры и статусе флота. Для логистики это означает снижение асимметрии информации и возможность предварительного перерасчета графиков, что напрямую влияет на устойчивость цепей и на совокупную стоимость владения.</w:t>
      </w:r>
    </w:p>
    <w:p w14:paraId="62B1C08D" w14:textId="77777777" w:rsidR="002579C9" w:rsidRPr="00B11690" w:rsidRDefault="00000000" w:rsidP="00B116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С практической точки зрения ключевым инструментом повышения конкурентоспособности СМП выступают соглашения об уровне сервиса между участниками цепи: фиксация целевых показателей по доле рейсов в срок, длительности стоянок и максимально допустимым внеплановым задержкам. Указанные параметры должны быть связаны с тарифными коэффициентами и механизмами компенсации, что переводит взаимодействие из режима разовых согласований в управляемый контрактный контур.</w:t>
      </w:r>
    </w:p>
    <w:p w14:paraId="5834DF1A" w14:textId="77777777" w:rsidR="002579C9" w:rsidRPr="00B11690" w:rsidRDefault="00000000" w:rsidP="00B116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>Полученные выводы целесообразно интерпретировать через призму проектирования цепей поставок и управления сервисом. Для грузовладельца выбор СМП оправдан тогда, когда обеспечены (а) формализованный график движения и понятные правила планирования проводки, (б) готовность узлов «порт—склад—флот» к обработке партий без накапливающих простоев, (в) прозрачная модель распределения рисков между участниками перевозки. В противном случае выигрыш по длине маршрута нивелируется затратами на резервирование запасов и на страховую/финансовую защиту.</w:t>
      </w:r>
    </w:p>
    <w:p w14:paraId="7F5FC846" w14:textId="77777777" w:rsidR="00ED62C1" w:rsidRPr="00B11690" w:rsidRDefault="00000000" w:rsidP="009F326C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Заключение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1EC1497" w14:textId="34DEC800" w:rsidR="00AA0813" w:rsidRPr="009F326C" w:rsidRDefault="00000000" w:rsidP="009F32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Рекордный грузопоток 2024 года (37,9 млн т) подтверждает востребованность СМП в национальной экономике [1]. Вместе с тем устойчивость маршрута как логистического сервиса определяется не объемом, а качеством управления: предсказуемостью сроков, управляемостью рисков и наличием инфраструктуры, обеспечивающей сквозные цепи поставок. Реализация плана развития до 2035 года создает институциональную основу [2], однако практический эффект будет достигнут при фокусе мероприятий на снижении вариативности транзита и формировании сервисной модели. Именно такой подход позволяет СМП занять устойчивую нишу в евразийской логистике </w:t>
      </w:r>
      <w:r w:rsidRPr="00B11690">
        <w:rPr>
          <w:rFonts w:ascii="Times New Roman" w:hAnsi="Times New Roman" w:cs="Times New Roman"/>
          <w:sz w:val="28"/>
          <w:szCs w:val="28"/>
          <w:lang w:val="ru-RU"/>
        </w:rPr>
        <w:lastRenderedPageBreak/>
        <w:t>и стать инструментом повышения надежности поставок в условиях изменяющейся внешней среды.</w:t>
      </w:r>
    </w:p>
    <w:p w14:paraId="70126377" w14:textId="77777777" w:rsidR="00B11690" w:rsidRDefault="00B11690" w:rsidP="00B1169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38DEDEFD" w14:textId="3C179741" w:rsidR="00ED62C1" w:rsidRPr="00B11690" w:rsidRDefault="00000000" w:rsidP="00B1169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B11690">
        <w:rPr>
          <w:rFonts w:ascii="Times New Roman" w:hAnsi="Times New Roman" w:cs="Times New Roman"/>
          <w:b/>
          <w:sz w:val="28"/>
          <w:szCs w:val="28"/>
          <w:lang w:val="ru-RU"/>
        </w:rPr>
        <w:t>Список литературы</w:t>
      </w:r>
    </w:p>
    <w:p w14:paraId="591D6C98" w14:textId="600F3541" w:rsidR="00ED62C1" w:rsidRPr="00B11690" w:rsidRDefault="00B11690" w:rsidP="00B116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</w:t>
      </w:r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 АО «</w:t>
      </w:r>
      <w:proofErr w:type="spellStart"/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>Росатомфлот</w:t>
      </w:r>
      <w:proofErr w:type="spellEnd"/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>». Объем грузоперевозок по Северному морскому пути установил рекорд (итоги грузопотока за 2024 год</w:t>
      </w:r>
      <w:proofErr w:type="gramStart"/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>) :</w:t>
      </w:r>
      <w:proofErr w:type="gramEnd"/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 сообщение от 09.01.2025 // Официальные материалы предприятия (дата обращения: 16.01.2026).</w:t>
      </w:r>
    </w:p>
    <w:p w14:paraId="58DBF782" w14:textId="75288F59" w:rsidR="00ED62C1" w:rsidRPr="00B11690" w:rsidRDefault="00B11690" w:rsidP="00B116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 xml:space="preserve"> Правительство Российской Федерации. Распоряжение от 01.08.2022 № 2115-р «Об утверждении плана развития Северного морского пути на период до 2035 года» // Официальные документы. 04.08.2022 (дата обращения: 16.01.2026).</w:t>
      </w:r>
    </w:p>
    <w:p w14:paraId="09B30C79" w14:textId="1002179F" w:rsidR="00ED62C1" w:rsidRPr="00B11690" w:rsidRDefault="00B11690" w:rsidP="00B116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000000" w:rsidRPr="00B11690">
        <w:rPr>
          <w:rFonts w:ascii="Times New Roman" w:hAnsi="Times New Roman" w:cs="Times New Roman"/>
          <w:sz w:val="28"/>
          <w:szCs w:val="28"/>
          <w:lang w:val="ru-RU"/>
        </w:rPr>
        <w:t>Белоусова Т.А., Фисенко А. Проблемы и перспективы страхования рисков транспортировки по Северному морскому пути // Креативная экономика. 2025. Т. 19. № 3. С. 695–716.</w:t>
      </w:r>
    </w:p>
    <w:p w14:paraId="34F2340E" w14:textId="77777777" w:rsidR="002579C9" w:rsidRPr="00B11690" w:rsidRDefault="002579C9" w:rsidP="00B1169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579C9" w:rsidRPr="00B11690" w:rsidSect="00034616">
      <w:footerReference w:type="default" r:id="rId8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3FA1E" w14:textId="77777777" w:rsidR="00ED4657" w:rsidRDefault="00ED4657" w:rsidP="00AA0813">
      <w:pPr>
        <w:spacing w:after="0" w:line="240" w:lineRule="auto"/>
      </w:pPr>
      <w:r>
        <w:separator/>
      </w:r>
    </w:p>
  </w:endnote>
  <w:endnote w:type="continuationSeparator" w:id="0">
    <w:p w14:paraId="7E2791D7" w14:textId="77777777" w:rsidR="00ED4657" w:rsidRDefault="00ED4657" w:rsidP="00AA0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376387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89F684" w14:textId="38EAF327" w:rsidR="0099631C" w:rsidRDefault="0099631C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1C35B7" w14:textId="77777777" w:rsidR="0099631C" w:rsidRDefault="0099631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207EF" w14:textId="77777777" w:rsidR="00ED4657" w:rsidRDefault="00ED4657" w:rsidP="00AA0813">
      <w:pPr>
        <w:spacing w:after="0" w:line="240" w:lineRule="auto"/>
      </w:pPr>
      <w:r>
        <w:separator/>
      </w:r>
    </w:p>
  </w:footnote>
  <w:footnote w:type="continuationSeparator" w:id="0">
    <w:p w14:paraId="76B260EB" w14:textId="77777777" w:rsidR="00ED4657" w:rsidRDefault="00ED4657" w:rsidP="00AA08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FCC195A"/>
    <w:multiLevelType w:val="hybridMultilevel"/>
    <w:tmpl w:val="B9207A16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 w15:restartNumberingAfterBreak="0">
    <w:nsid w:val="614E4852"/>
    <w:multiLevelType w:val="hybridMultilevel"/>
    <w:tmpl w:val="B330EBB4"/>
    <w:lvl w:ilvl="0" w:tplc="0419000F">
      <w:start w:val="1"/>
      <w:numFmt w:val="decimal"/>
      <w:lvlText w:val="%1."/>
      <w:lvlJc w:val="left"/>
      <w:pPr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num w:numId="1" w16cid:durableId="1737778349">
    <w:abstractNumId w:val="8"/>
  </w:num>
  <w:num w:numId="2" w16cid:durableId="2116826461">
    <w:abstractNumId w:val="6"/>
  </w:num>
  <w:num w:numId="3" w16cid:durableId="1406149392">
    <w:abstractNumId w:val="5"/>
  </w:num>
  <w:num w:numId="4" w16cid:durableId="1667050321">
    <w:abstractNumId w:val="4"/>
  </w:num>
  <w:num w:numId="5" w16cid:durableId="719790515">
    <w:abstractNumId w:val="7"/>
  </w:num>
  <w:num w:numId="6" w16cid:durableId="1117914695">
    <w:abstractNumId w:val="3"/>
  </w:num>
  <w:num w:numId="7" w16cid:durableId="1230313341">
    <w:abstractNumId w:val="2"/>
  </w:num>
  <w:num w:numId="8" w16cid:durableId="1194927776">
    <w:abstractNumId w:val="1"/>
  </w:num>
  <w:num w:numId="9" w16cid:durableId="2079935340">
    <w:abstractNumId w:val="0"/>
  </w:num>
  <w:num w:numId="10" w16cid:durableId="372733088">
    <w:abstractNumId w:val="10"/>
  </w:num>
  <w:num w:numId="11" w16cid:durableId="3847653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6408"/>
    <w:rsid w:val="00034616"/>
    <w:rsid w:val="0006063C"/>
    <w:rsid w:val="000F22C2"/>
    <w:rsid w:val="0015074B"/>
    <w:rsid w:val="00195052"/>
    <w:rsid w:val="00246283"/>
    <w:rsid w:val="002579C9"/>
    <w:rsid w:val="0029639D"/>
    <w:rsid w:val="00326F90"/>
    <w:rsid w:val="00521DBA"/>
    <w:rsid w:val="005376CA"/>
    <w:rsid w:val="005E46A5"/>
    <w:rsid w:val="00734BE7"/>
    <w:rsid w:val="0099631C"/>
    <w:rsid w:val="009D7C12"/>
    <w:rsid w:val="009F326C"/>
    <w:rsid w:val="00A209D4"/>
    <w:rsid w:val="00AA0813"/>
    <w:rsid w:val="00AA1D8D"/>
    <w:rsid w:val="00AC565F"/>
    <w:rsid w:val="00B11690"/>
    <w:rsid w:val="00B47730"/>
    <w:rsid w:val="00CB0664"/>
    <w:rsid w:val="00EC5459"/>
    <w:rsid w:val="00ED4657"/>
    <w:rsid w:val="00ED62C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C03AF0"/>
  <w14:defaultImageDpi w14:val="330"/>
  <w15:docId w15:val="{73CA7E7B-0989-4DC1-A5F4-12EC00B39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11690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B7EB0E-2F4F-48AB-B32D-07D0EEE9E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2108</Words>
  <Characters>12021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14101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 Винокурова</dc:creator>
  <cp:keywords/>
  <dc:description/>
  <cp:lastModifiedBy>Вика Винокурова</cp:lastModifiedBy>
  <cp:revision>2</cp:revision>
  <dcterms:created xsi:type="dcterms:W3CDTF">2026-01-19T04:24:00Z</dcterms:created>
  <dcterms:modified xsi:type="dcterms:W3CDTF">2026-01-19T04:24:00Z</dcterms:modified>
  <cp:category/>
</cp:coreProperties>
</file>