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xlsx" ContentType="application/vnd.openxmlformats-officedocument.spreadsheetml.shee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harts/chart1.xml" ContentType="application/vnd.openxmlformats-officedocument.drawingml.chart+xml"/>
  <Override PartName="/word/charts/style1.xml" ContentType="application/vnd.ms-office.chartstyle+xml"/>
  <Override PartName="/word/charts/colors1.xml" ContentType="application/vnd.ms-office.chartcolorstyle+xml"/>
  <Override PartName="/word/charts/chart2.xml" ContentType="application/vnd.openxmlformats-officedocument.drawingml.chart+xml"/>
  <Override PartName="/word/charts/style2.xml" ContentType="application/vnd.ms-office.chartstyle+xml"/>
  <Override PartName="/word/charts/colors2.xml" ContentType="application/vnd.ms-office.chartcolorstyle+xml"/>
  <Override PartName="/word/charts/chart3.xml" ContentType="application/vnd.openxmlformats-officedocument.drawingml.chart+xml"/>
  <Override PartName="/word/charts/style3.xml" ContentType="application/vnd.ms-office.chartstyle+xml"/>
  <Override PartName="/word/charts/colors3.xml" ContentType="application/vnd.ms-office.chartcolorstyle+xml"/>
  <Override PartName="/word/charts/chart4.xml" ContentType="application/vnd.openxmlformats-officedocument.drawingml.chart+xml"/>
  <Override PartName="/word/charts/style4.xml" ContentType="application/vnd.ms-office.chartstyle+xml"/>
  <Override PartName="/word/charts/colors4.xml" ContentType="application/vnd.ms-office.chartcolorstyle+xml"/>
  <Override PartName="/word/charts/chart5.xml" ContentType="application/vnd.openxmlformats-officedocument.drawingml.chart+xml"/>
  <Override PartName="/word/charts/style5.xml" ContentType="application/vnd.ms-office.chartstyle+xml"/>
  <Override PartName="/word/charts/colors5.xml" ContentType="application/vnd.ms-office.chartcolorstyle+xml"/>
  <Override PartName="/word/charts/chart6.xml" ContentType="application/vnd.openxmlformats-officedocument.drawingml.chart+xml"/>
  <Override PartName="/word/charts/style6.xml" ContentType="application/vnd.ms-office.chartstyle+xml"/>
  <Override PartName="/word/charts/colors6.xml" ContentType="application/vnd.ms-office.chartcolorstyle+xml"/>
  <Override PartName="/word/charts/chart7.xml" ContentType="application/vnd.openxmlformats-officedocument.drawingml.chart+xml"/>
  <Override PartName="/word/charts/style7.xml" ContentType="application/vnd.ms-office.chartstyle+xml"/>
  <Override PartName="/word/charts/colors7.xml" ContentType="application/vnd.ms-office.chartcolorstyle+xml"/>
  <Override PartName="/word/charts/chart8.xml" ContentType="application/vnd.openxmlformats-officedocument.drawingml.chart+xml"/>
  <Override PartName="/word/charts/style8.xml" ContentType="application/vnd.ms-office.chartstyle+xml"/>
  <Override PartName="/word/charts/colors8.xml" ContentType="application/vnd.ms-office.chartcolorstyle+xml"/>
  <Override PartName="/word/charts/chart9.xml" ContentType="application/vnd.openxmlformats-officedocument.drawingml.chart+xml"/>
  <Override PartName="/word/charts/style9.xml" ContentType="application/vnd.ms-office.chartstyle+xml"/>
  <Override PartName="/word/charts/colors9.xml" ContentType="application/vnd.ms-office.chartcolorstyle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1B48129A" w14:textId="77777777" w:rsidR="00AC16CD" w:rsidRPr="00841949" w:rsidRDefault="00AC16CD" w:rsidP="00AC16CD">
      <w:pPr>
        <w:spacing w:line="360" w:lineRule="auto"/>
        <w:jc w:val="center"/>
        <w:rPr>
          <w:rFonts w:ascii="Times New Roman" w:hAnsi="Times New Roman" w:cs="Times New Roman"/>
          <w:b/>
          <w:spacing w:val="-6"/>
          <w:sz w:val="28"/>
          <w:szCs w:val="28"/>
        </w:rPr>
      </w:pPr>
      <w:r w:rsidRPr="00841949">
        <w:rPr>
          <w:rFonts w:ascii="Times New Roman" w:hAnsi="Times New Roman" w:cs="Times New Roman"/>
          <w:b/>
          <w:spacing w:val="-6"/>
          <w:sz w:val="28"/>
          <w:szCs w:val="28"/>
        </w:rPr>
        <w:t>Международный конкурс научно-исследовательских работ молодых ученых и студентов</w:t>
      </w:r>
    </w:p>
    <w:p w14:paraId="36FE4CED" w14:textId="77777777" w:rsidR="00AC16CD" w:rsidRPr="00841949" w:rsidRDefault="00AC16CD" w:rsidP="00AC16CD">
      <w:pPr>
        <w:spacing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841949">
        <w:rPr>
          <w:rFonts w:ascii="Times New Roman" w:hAnsi="Times New Roman" w:cs="Times New Roman"/>
          <w:b/>
          <w:sz w:val="28"/>
          <w:szCs w:val="28"/>
        </w:rPr>
        <w:t xml:space="preserve">«Конкурентоспособность территорий» </w:t>
      </w:r>
    </w:p>
    <w:p w14:paraId="48B2653B" w14:textId="3BC80E46" w:rsidR="00AC16CD" w:rsidRDefault="00AC16CD" w:rsidP="00AC16CD">
      <w:pPr>
        <w:spacing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7EE2668A" w14:textId="77777777" w:rsidR="00AC16CD" w:rsidRPr="00841949" w:rsidRDefault="00AC16CD" w:rsidP="00AC16CD">
      <w:pPr>
        <w:spacing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841949">
        <w:rPr>
          <w:rFonts w:ascii="Times New Roman" w:hAnsi="Times New Roman" w:cs="Times New Roman"/>
          <w:b/>
          <w:sz w:val="28"/>
          <w:szCs w:val="28"/>
        </w:rPr>
        <w:t xml:space="preserve">Конкурсная работа </w:t>
      </w:r>
    </w:p>
    <w:p w14:paraId="4E84C1BB" w14:textId="77777777" w:rsidR="00AC16CD" w:rsidRPr="007D15AE" w:rsidRDefault="00AC16CD" w:rsidP="00AC16CD">
      <w:pPr>
        <w:spacing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31129266" w14:textId="5ED919B6" w:rsidR="00AC16CD" w:rsidRPr="007D15AE" w:rsidRDefault="00AF0B9D" w:rsidP="00AC16CD">
      <w:pPr>
        <w:pBdr>
          <w:bottom w:val="single" w:sz="4" w:space="1" w:color="auto"/>
        </w:pBdr>
        <w:spacing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Ключевые элементы у</w:t>
      </w:r>
      <w:r w:rsidR="007D15AE" w:rsidRPr="007D15AE">
        <w:rPr>
          <w:rFonts w:ascii="Times New Roman" w:hAnsi="Times New Roman" w:cs="Times New Roman"/>
          <w:b/>
          <w:sz w:val="28"/>
          <w:szCs w:val="28"/>
        </w:rPr>
        <w:t>правлени</w:t>
      </w:r>
      <w:r>
        <w:rPr>
          <w:rFonts w:ascii="Times New Roman" w:hAnsi="Times New Roman" w:cs="Times New Roman"/>
          <w:b/>
          <w:sz w:val="28"/>
          <w:szCs w:val="28"/>
        </w:rPr>
        <w:t>я</w:t>
      </w:r>
      <w:r w:rsidR="007D15AE" w:rsidRPr="007D15AE">
        <w:rPr>
          <w:rFonts w:ascii="Times New Roman" w:hAnsi="Times New Roman" w:cs="Times New Roman"/>
          <w:b/>
          <w:sz w:val="28"/>
          <w:szCs w:val="28"/>
        </w:rPr>
        <w:t xml:space="preserve"> талантами организаци</w:t>
      </w:r>
      <w:r w:rsidR="007D15AE">
        <w:rPr>
          <w:rFonts w:ascii="Times New Roman" w:hAnsi="Times New Roman" w:cs="Times New Roman"/>
          <w:b/>
          <w:sz w:val="28"/>
          <w:szCs w:val="28"/>
        </w:rPr>
        <w:t>й</w:t>
      </w:r>
      <w:r w:rsidR="00EC1C4D">
        <w:rPr>
          <w:rFonts w:ascii="Times New Roman" w:hAnsi="Times New Roman" w:cs="Times New Roman"/>
          <w:b/>
          <w:sz w:val="28"/>
          <w:szCs w:val="28"/>
        </w:rPr>
        <w:t xml:space="preserve"> в Приморском крае </w:t>
      </w:r>
    </w:p>
    <w:p w14:paraId="308711C5" w14:textId="77777777" w:rsidR="00AC16CD" w:rsidRPr="00841949" w:rsidRDefault="00AC16CD" w:rsidP="00AC16CD">
      <w:pPr>
        <w:spacing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bookmarkStart w:id="0" w:name="_GoBack"/>
      <w:bookmarkEnd w:id="0"/>
    </w:p>
    <w:p w14:paraId="48C18DAE" w14:textId="682F8B01" w:rsidR="00AC16CD" w:rsidRPr="00841949" w:rsidRDefault="00AC16CD" w:rsidP="00AC16CD">
      <w:pPr>
        <w:pBdr>
          <w:bottom w:val="single" w:sz="4" w:space="1" w:color="auto"/>
        </w:pBdr>
        <w:spacing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841949">
        <w:rPr>
          <w:rFonts w:ascii="Times New Roman" w:hAnsi="Times New Roman" w:cs="Times New Roman"/>
          <w:b/>
          <w:sz w:val="28"/>
          <w:szCs w:val="28"/>
        </w:rPr>
        <w:t>М</w:t>
      </w:r>
      <w:r w:rsidR="00735887">
        <w:rPr>
          <w:rFonts w:ascii="Times New Roman" w:hAnsi="Times New Roman" w:cs="Times New Roman"/>
          <w:b/>
          <w:sz w:val="28"/>
          <w:szCs w:val="28"/>
        </w:rPr>
        <w:t>езо</w:t>
      </w:r>
      <w:r w:rsidR="002F3372">
        <w:rPr>
          <w:rFonts w:ascii="Times New Roman" w:hAnsi="Times New Roman" w:cs="Times New Roman"/>
          <w:b/>
          <w:sz w:val="28"/>
          <w:szCs w:val="28"/>
        </w:rPr>
        <w:t>э</w:t>
      </w:r>
      <w:r w:rsidRPr="00841949">
        <w:rPr>
          <w:rFonts w:ascii="Times New Roman" w:hAnsi="Times New Roman" w:cs="Times New Roman"/>
          <w:b/>
          <w:sz w:val="28"/>
          <w:szCs w:val="28"/>
        </w:rPr>
        <w:t>кономика</w:t>
      </w:r>
    </w:p>
    <w:p w14:paraId="496F8D14" w14:textId="77777777" w:rsidR="00AC16CD" w:rsidRPr="00841949" w:rsidRDefault="00AC16CD" w:rsidP="00AC16CD">
      <w:pPr>
        <w:spacing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578414F3" w14:textId="392BE593" w:rsidR="00AC16CD" w:rsidRPr="00AC16CD" w:rsidRDefault="00AC16CD" w:rsidP="00AC16CD">
      <w:pPr>
        <w:tabs>
          <w:tab w:val="left" w:pos="5954"/>
        </w:tabs>
        <w:spacing w:line="360" w:lineRule="auto"/>
        <w:ind w:left="4962"/>
        <w:rPr>
          <w:rFonts w:ascii="Times New Roman" w:hAnsi="Times New Roman" w:cs="Times New Roman"/>
          <w:sz w:val="28"/>
          <w:szCs w:val="28"/>
        </w:rPr>
      </w:pPr>
      <w:r w:rsidRPr="00841949">
        <w:rPr>
          <w:rFonts w:ascii="Times New Roman" w:hAnsi="Times New Roman" w:cs="Times New Roman"/>
          <w:sz w:val="28"/>
          <w:szCs w:val="28"/>
        </w:rPr>
        <w:t xml:space="preserve">Автор: </w:t>
      </w:r>
      <w:r>
        <w:rPr>
          <w:rFonts w:ascii="Times New Roman" w:hAnsi="Times New Roman" w:cs="Times New Roman"/>
          <w:sz w:val="28"/>
          <w:szCs w:val="28"/>
        </w:rPr>
        <w:t>Фокина Виктория Константиновна</w:t>
      </w:r>
    </w:p>
    <w:p w14:paraId="0124A292" w14:textId="4B05E251" w:rsidR="00AC16CD" w:rsidRPr="00841949" w:rsidRDefault="00AC16CD" w:rsidP="00AC16CD">
      <w:pPr>
        <w:tabs>
          <w:tab w:val="left" w:pos="5954"/>
        </w:tabs>
        <w:spacing w:line="360" w:lineRule="auto"/>
        <w:ind w:left="4962"/>
        <w:rPr>
          <w:rFonts w:ascii="Times New Roman" w:hAnsi="Times New Roman" w:cs="Times New Roman"/>
          <w:sz w:val="28"/>
          <w:szCs w:val="28"/>
        </w:rPr>
      </w:pPr>
      <w:r w:rsidRPr="00841949">
        <w:rPr>
          <w:rFonts w:ascii="Times New Roman" w:hAnsi="Times New Roman" w:cs="Times New Roman"/>
          <w:sz w:val="28"/>
          <w:szCs w:val="28"/>
        </w:rPr>
        <w:t>Студент гр. Б</w:t>
      </w:r>
      <w:r>
        <w:rPr>
          <w:rFonts w:ascii="Times New Roman" w:hAnsi="Times New Roman" w:cs="Times New Roman"/>
          <w:sz w:val="28"/>
          <w:szCs w:val="28"/>
        </w:rPr>
        <w:t>МН</w:t>
      </w:r>
      <w:r w:rsidRPr="00841949">
        <w:rPr>
          <w:rFonts w:ascii="Times New Roman" w:hAnsi="Times New Roman" w:cs="Times New Roman"/>
          <w:sz w:val="28"/>
          <w:szCs w:val="28"/>
        </w:rPr>
        <w:t>-2</w:t>
      </w:r>
      <w:r>
        <w:rPr>
          <w:rFonts w:ascii="Times New Roman" w:hAnsi="Times New Roman" w:cs="Times New Roman"/>
          <w:sz w:val="28"/>
          <w:szCs w:val="28"/>
        </w:rPr>
        <w:t>0</w:t>
      </w:r>
      <w:r w:rsidRPr="00841949">
        <w:rPr>
          <w:rFonts w:ascii="Times New Roman" w:hAnsi="Times New Roman" w:cs="Times New Roman"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</w:rPr>
        <w:t>ММко1</w:t>
      </w:r>
      <w:r w:rsidRPr="00841949">
        <w:rPr>
          <w:rFonts w:ascii="Times New Roman" w:hAnsi="Times New Roman" w:cs="Times New Roman"/>
          <w:sz w:val="28"/>
          <w:szCs w:val="28"/>
        </w:rPr>
        <w:t xml:space="preserve">, </w:t>
      </w:r>
      <w:r>
        <w:rPr>
          <w:rFonts w:ascii="Times New Roman" w:hAnsi="Times New Roman" w:cs="Times New Roman"/>
          <w:sz w:val="28"/>
          <w:szCs w:val="28"/>
        </w:rPr>
        <w:t>3</w:t>
      </w:r>
      <w:r w:rsidRPr="00841949">
        <w:rPr>
          <w:rFonts w:ascii="Times New Roman" w:hAnsi="Times New Roman" w:cs="Times New Roman"/>
          <w:sz w:val="28"/>
          <w:szCs w:val="28"/>
        </w:rPr>
        <w:t xml:space="preserve"> курс</w:t>
      </w:r>
    </w:p>
    <w:p w14:paraId="757D6AEA" w14:textId="77777777" w:rsidR="00AC16CD" w:rsidRPr="00841949" w:rsidRDefault="00AC16CD" w:rsidP="00AC16CD">
      <w:pPr>
        <w:tabs>
          <w:tab w:val="left" w:pos="5954"/>
        </w:tabs>
        <w:spacing w:line="360" w:lineRule="auto"/>
        <w:ind w:left="4962"/>
        <w:rPr>
          <w:rFonts w:ascii="Times New Roman" w:hAnsi="Times New Roman" w:cs="Times New Roman"/>
          <w:sz w:val="28"/>
          <w:szCs w:val="28"/>
        </w:rPr>
      </w:pPr>
      <w:r w:rsidRPr="00841949">
        <w:rPr>
          <w:rFonts w:ascii="Times New Roman" w:hAnsi="Times New Roman" w:cs="Times New Roman"/>
          <w:sz w:val="28"/>
          <w:szCs w:val="28"/>
        </w:rPr>
        <w:t>Очной формы обучения</w:t>
      </w:r>
    </w:p>
    <w:p w14:paraId="677B95D5" w14:textId="77777777" w:rsidR="00AC16CD" w:rsidRPr="00841949" w:rsidRDefault="00AC16CD" w:rsidP="00AC16CD">
      <w:pPr>
        <w:tabs>
          <w:tab w:val="left" w:pos="5954"/>
        </w:tabs>
        <w:spacing w:line="360" w:lineRule="auto"/>
        <w:ind w:left="4962"/>
        <w:rPr>
          <w:rFonts w:ascii="Times New Roman" w:hAnsi="Times New Roman" w:cs="Times New Roman"/>
          <w:sz w:val="28"/>
          <w:szCs w:val="28"/>
        </w:rPr>
      </w:pPr>
      <w:r w:rsidRPr="00841949">
        <w:rPr>
          <w:rFonts w:ascii="Times New Roman" w:hAnsi="Times New Roman" w:cs="Times New Roman"/>
          <w:sz w:val="28"/>
          <w:szCs w:val="28"/>
        </w:rPr>
        <w:t>Владивостокский государственный университет</w:t>
      </w:r>
    </w:p>
    <w:p w14:paraId="0B2FF74E" w14:textId="77777777" w:rsidR="00AC16CD" w:rsidRPr="00841949" w:rsidRDefault="00AC16CD" w:rsidP="00AC16CD">
      <w:pPr>
        <w:tabs>
          <w:tab w:val="left" w:pos="5954"/>
        </w:tabs>
        <w:spacing w:line="240" w:lineRule="auto"/>
        <w:ind w:left="4962"/>
        <w:rPr>
          <w:rFonts w:ascii="Times New Roman" w:hAnsi="Times New Roman" w:cs="Times New Roman"/>
          <w:sz w:val="28"/>
          <w:szCs w:val="28"/>
        </w:rPr>
      </w:pPr>
      <w:r w:rsidRPr="00841949">
        <w:rPr>
          <w:rFonts w:ascii="Times New Roman" w:hAnsi="Times New Roman" w:cs="Times New Roman"/>
          <w:sz w:val="28"/>
          <w:szCs w:val="28"/>
        </w:rPr>
        <w:t>Научный</w:t>
      </w:r>
    </w:p>
    <w:p w14:paraId="4A2F2687" w14:textId="7922E22F" w:rsidR="00AC16CD" w:rsidRPr="00841949" w:rsidRDefault="00AC16CD" w:rsidP="00AC16CD">
      <w:pPr>
        <w:tabs>
          <w:tab w:val="left" w:pos="5954"/>
        </w:tabs>
        <w:spacing w:line="360" w:lineRule="auto"/>
        <w:ind w:left="4962"/>
        <w:rPr>
          <w:rFonts w:ascii="Times New Roman" w:hAnsi="Times New Roman" w:cs="Times New Roman"/>
          <w:sz w:val="28"/>
          <w:szCs w:val="28"/>
        </w:rPr>
      </w:pPr>
      <w:r w:rsidRPr="00841949">
        <w:rPr>
          <w:rFonts w:ascii="Times New Roman" w:hAnsi="Times New Roman" w:cs="Times New Roman"/>
          <w:sz w:val="28"/>
          <w:szCs w:val="28"/>
        </w:rPr>
        <w:t xml:space="preserve">руководитель: </w:t>
      </w:r>
      <w:r>
        <w:rPr>
          <w:rFonts w:ascii="Times New Roman" w:hAnsi="Times New Roman" w:cs="Times New Roman"/>
          <w:sz w:val="28"/>
          <w:szCs w:val="28"/>
        </w:rPr>
        <w:t>Вертинова Анна Александровна</w:t>
      </w:r>
      <w:r w:rsidRPr="00841949">
        <w:rPr>
          <w:rFonts w:ascii="Times New Roman" w:hAnsi="Times New Roman" w:cs="Times New Roman"/>
          <w:sz w:val="28"/>
          <w:szCs w:val="28"/>
        </w:rPr>
        <w:t xml:space="preserve">, кандидат экономических наук, </w:t>
      </w:r>
      <w:r>
        <w:rPr>
          <w:rFonts w:ascii="Times New Roman" w:hAnsi="Times New Roman" w:cs="Times New Roman"/>
          <w:sz w:val="28"/>
          <w:szCs w:val="28"/>
        </w:rPr>
        <w:t>старший преподаватель</w:t>
      </w:r>
    </w:p>
    <w:p w14:paraId="0DE5F5EB" w14:textId="77777777" w:rsidR="00AC16CD" w:rsidRPr="00841949" w:rsidRDefault="00AC16CD" w:rsidP="00AC16CD">
      <w:pPr>
        <w:tabs>
          <w:tab w:val="left" w:pos="5954"/>
        </w:tabs>
        <w:spacing w:line="36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14:paraId="12E8CD85" w14:textId="77777777" w:rsidR="00AC16CD" w:rsidRPr="00841949" w:rsidRDefault="00AC16CD" w:rsidP="00AC16CD">
      <w:pPr>
        <w:tabs>
          <w:tab w:val="left" w:pos="5954"/>
        </w:tabs>
        <w:spacing w:line="36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841949">
        <w:rPr>
          <w:rFonts w:ascii="Times New Roman" w:hAnsi="Times New Roman" w:cs="Times New Roman"/>
          <w:sz w:val="28"/>
          <w:szCs w:val="28"/>
        </w:rPr>
        <w:t xml:space="preserve">Владивосток </w:t>
      </w:r>
    </w:p>
    <w:p w14:paraId="082126EF" w14:textId="77777777" w:rsidR="00AC16CD" w:rsidRPr="00841949" w:rsidRDefault="00AC16CD" w:rsidP="00AC16CD">
      <w:pPr>
        <w:tabs>
          <w:tab w:val="left" w:pos="5954"/>
        </w:tabs>
        <w:spacing w:line="36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841949">
        <w:rPr>
          <w:rFonts w:ascii="Times New Roman" w:hAnsi="Times New Roman" w:cs="Times New Roman"/>
          <w:sz w:val="28"/>
          <w:szCs w:val="28"/>
        </w:rPr>
        <w:t>2023 г.</w:t>
      </w:r>
    </w:p>
    <w:p w14:paraId="62F1541C" w14:textId="712C6899" w:rsidR="0009344C" w:rsidRDefault="0009344C" w:rsidP="0009344C">
      <w:pPr>
        <w:pageBreakBefore/>
        <w:spacing w:line="360" w:lineRule="auto"/>
        <w:ind w:firstLine="709"/>
        <w:jc w:val="both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  <w:r w:rsidRPr="00611059">
        <w:rPr>
          <w:rFonts w:ascii="Times New Roman" w:hAnsi="Times New Roman" w:cs="Times New Roman"/>
          <w:b/>
          <w:color w:val="000000" w:themeColor="text1"/>
          <w:sz w:val="28"/>
          <w:szCs w:val="28"/>
        </w:rPr>
        <w:lastRenderedPageBreak/>
        <w:t>Введение</w:t>
      </w:r>
    </w:p>
    <w:p w14:paraId="17831B16" w14:textId="12F5E5EB" w:rsidR="002F3372" w:rsidRDefault="002F3372" w:rsidP="00BE1524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Таланты в организации играют важнейшую роль в создании конкурентоспособного преимущества на рынке посредством </w:t>
      </w:r>
      <w:r w:rsidR="00AB08D5">
        <w:rPr>
          <w:rFonts w:ascii="Times New Roman" w:hAnsi="Times New Roman" w:cs="Times New Roman"/>
          <w:sz w:val="28"/>
        </w:rPr>
        <w:t>улучшения и совершенствования производимых товаров и услуг</w:t>
      </w:r>
      <w:r>
        <w:rPr>
          <w:rFonts w:ascii="Times New Roman" w:hAnsi="Times New Roman" w:cs="Times New Roman"/>
          <w:sz w:val="28"/>
        </w:rPr>
        <w:t>, это тот универсальный элемент любой организации вне зависимости от сферы деятельности, без которого компания не сможет функционировать на рынке в долгосрочной перспективе, проходя различные этапы своего жизненного цикла.</w:t>
      </w:r>
    </w:p>
    <w:p w14:paraId="07E67EF6" w14:textId="22DC3667" w:rsidR="0009344C" w:rsidRPr="00CE5626" w:rsidRDefault="00146A0B" w:rsidP="00BE1524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Говоря о региональной значимости управления талантами стоит отметить, что н</w:t>
      </w:r>
      <w:r w:rsidR="0009344C">
        <w:rPr>
          <w:rFonts w:ascii="Times New Roman" w:hAnsi="Times New Roman" w:cs="Times New Roman"/>
          <w:sz w:val="28"/>
        </w:rPr>
        <w:t>а данный момент многие работодатели</w:t>
      </w:r>
      <w:r>
        <w:rPr>
          <w:rFonts w:ascii="Times New Roman" w:hAnsi="Times New Roman" w:cs="Times New Roman"/>
          <w:sz w:val="28"/>
        </w:rPr>
        <w:t xml:space="preserve"> всех регионов</w:t>
      </w:r>
      <w:r w:rsidR="0009344C">
        <w:rPr>
          <w:rFonts w:ascii="Times New Roman" w:hAnsi="Times New Roman" w:cs="Times New Roman"/>
          <w:sz w:val="28"/>
        </w:rPr>
        <w:t xml:space="preserve"> </w:t>
      </w:r>
      <w:r w:rsidR="00BE1524">
        <w:rPr>
          <w:rFonts w:ascii="Times New Roman" w:hAnsi="Times New Roman" w:cs="Times New Roman"/>
          <w:sz w:val="28"/>
        </w:rPr>
        <w:t>России</w:t>
      </w:r>
      <w:r w:rsidR="0009344C">
        <w:rPr>
          <w:rFonts w:ascii="Times New Roman" w:hAnsi="Times New Roman" w:cs="Times New Roman"/>
          <w:sz w:val="28"/>
        </w:rPr>
        <w:t xml:space="preserve"> ощущают </w:t>
      </w:r>
      <w:r w:rsidR="00651F5B">
        <w:rPr>
          <w:rFonts w:ascii="Times New Roman" w:hAnsi="Times New Roman" w:cs="Times New Roman"/>
          <w:sz w:val="28"/>
        </w:rPr>
        <w:t>«кадровый голод»</w:t>
      </w:r>
      <w:r w:rsidR="00D607FF" w:rsidRPr="00D607FF">
        <w:t xml:space="preserve"> </w:t>
      </w:r>
      <w:r w:rsidR="00D607FF" w:rsidRPr="00D607FF">
        <w:rPr>
          <w:rFonts w:ascii="Times New Roman" w:hAnsi="Times New Roman" w:cs="Times New Roman"/>
          <w:sz w:val="28"/>
        </w:rPr>
        <w:t>[1]</w:t>
      </w:r>
      <w:r w:rsidR="0009344C">
        <w:rPr>
          <w:rFonts w:ascii="Times New Roman" w:hAnsi="Times New Roman" w:cs="Times New Roman"/>
          <w:sz w:val="28"/>
        </w:rPr>
        <w:t xml:space="preserve">. </w:t>
      </w:r>
      <w:r w:rsidR="00BE1524">
        <w:rPr>
          <w:rFonts w:ascii="Times New Roman" w:hAnsi="Times New Roman" w:cs="Times New Roman"/>
          <w:sz w:val="28"/>
        </w:rPr>
        <w:t>На Дальнем Востоке это ощущается наиболее остро по</w:t>
      </w:r>
      <w:r w:rsidR="0009344C">
        <w:rPr>
          <w:rFonts w:ascii="Times New Roman" w:hAnsi="Times New Roman" w:cs="Times New Roman"/>
          <w:sz w:val="28"/>
        </w:rPr>
        <w:t xml:space="preserve"> ряд</w:t>
      </w:r>
      <w:r w:rsidR="00BE1524">
        <w:rPr>
          <w:rFonts w:ascii="Times New Roman" w:hAnsi="Times New Roman" w:cs="Times New Roman"/>
          <w:sz w:val="28"/>
        </w:rPr>
        <w:t>у</w:t>
      </w:r>
      <w:r w:rsidR="0009344C">
        <w:rPr>
          <w:rFonts w:ascii="Times New Roman" w:hAnsi="Times New Roman" w:cs="Times New Roman"/>
          <w:sz w:val="28"/>
        </w:rPr>
        <w:t xml:space="preserve"> причин</w:t>
      </w:r>
      <w:r w:rsidR="00EF3D25">
        <w:rPr>
          <w:rFonts w:ascii="Times New Roman" w:hAnsi="Times New Roman" w:cs="Times New Roman"/>
          <w:sz w:val="28"/>
        </w:rPr>
        <w:t>:</w:t>
      </w:r>
      <w:r w:rsidR="0009344C">
        <w:rPr>
          <w:rFonts w:ascii="Times New Roman" w:hAnsi="Times New Roman" w:cs="Times New Roman"/>
          <w:sz w:val="28"/>
        </w:rPr>
        <w:t xml:space="preserve"> </w:t>
      </w:r>
      <w:r w:rsidR="00EF3D25">
        <w:rPr>
          <w:rFonts w:ascii="Times New Roman" w:hAnsi="Times New Roman" w:cs="Times New Roman"/>
          <w:sz w:val="28"/>
        </w:rPr>
        <w:t>в</w:t>
      </w:r>
      <w:r w:rsidR="0009344C">
        <w:rPr>
          <w:rFonts w:ascii="Times New Roman" w:hAnsi="Times New Roman" w:cs="Times New Roman"/>
          <w:sz w:val="28"/>
        </w:rPr>
        <w:t xml:space="preserve">о-первых, миграционные процессы. На Дальнем Востоке наблюдается нестабильная демографическая ситуация, связанная с миграционными оттоками и притоками. Подробнее эта ситуация </w:t>
      </w:r>
      <w:r w:rsidR="00EF3D25">
        <w:rPr>
          <w:rFonts w:ascii="Times New Roman" w:hAnsi="Times New Roman" w:cs="Times New Roman"/>
          <w:sz w:val="28"/>
        </w:rPr>
        <w:t>раскрывается</w:t>
      </w:r>
      <w:r w:rsidR="00D607FF">
        <w:rPr>
          <w:rFonts w:ascii="Times New Roman" w:hAnsi="Times New Roman" w:cs="Times New Roman"/>
          <w:sz w:val="28"/>
        </w:rPr>
        <w:t xml:space="preserve"> в таблице 1 [2]</w:t>
      </w:r>
      <w:r w:rsidR="0009344C" w:rsidRPr="00CE5626">
        <w:rPr>
          <w:rFonts w:ascii="Times New Roman" w:hAnsi="Times New Roman" w:cs="Times New Roman"/>
          <w:sz w:val="28"/>
        </w:rPr>
        <w:t>.</w:t>
      </w:r>
    </w:p>
    <w:p w14:paraId="30A15BB7" w14:textId="77777777" w:rsidR="0009344C" w:rsidRPr="009D12D3" w:rsidRDefault="0009344C" w:rsidP="0009344C">
      <w:pPr>
        <w:spacing w:after="120" w:line="240" w:lineRule="auto"/>
        <w:ind w:left="1559" w:hanging="1559"/>
        <w:jc w:val="both"/>
        <w:rPr>
          <w:rFonts w:ascii="Times New Roman" w:hAnsi="Times New Roman" w:cs="Times New Roman"/>
          <w:b/>
          <w:sz w:val="28"/>
        </w:rPr>
      </w:pPr>
      <w:r>
        <w:rPr>
          <w:rFonts w:ascii="Times New Roman" w:hAnsi="Times New Roman" w:cs="Times New Roman"/>
          <w:sz w:val="28"/>
        </w:rPr>
        <w:t>Таблица 1 – Сальдо миграционного прироста населения в Дальневосточном Федеральном округе, чел.</w:t>
      </w:r>
    </w:p>
    <w:tbl>
      <w:tblPr>
        <w:tblStyle w:val="a3"/>
        <w:tblW w:w="0" w:type="auto"/>
        <w:tblInd w:w="-5" w:type="dxa"/>
        <w:tblLook w:val="04A0" w:firstRow="1" w:lastRow="0" w:firstColumn="1" w:lastColumn="0" w:noHBand="0" w:noVBand="1"/>
      </w:tblPr>
      <w:tblGrid>
        <w:gridCol w:w="4111"/>
        <w:gridCol w:w="1843"/>
        <w:gridCol w:w="1843"/>
        <w:gridCol w:w="1836"/>
      </w:tblGrid>
      <w:tr w:rsidR="0009344C" w:rsidRPr="009D12D3" w14:paraId="1F46F7E5" w14:textId="77777777" w:rsidTr="00C73F5D">
        <w:tc>
          <w:tcPr>
            <w:tcW w:w="4111" w:type="dxa"/>
          </w:tcPr>
          <w:p w14:paraId="394845BC" w14:textId="77777777" w:rsidR="0009344C" w:rsidRPr="009D12D3" w:rsidRDefault="0009344C" w:rsidP="00C73F5D">
            <w:pPr>
              <w:jc w:val="center"/>
              <w:rPr>
                <w:rFonts w:ascii="Times New Roman" w:hAnsi="Times New Roman" w:cs="Times New Roman"/>
                <w:b/>
                <w:sz w:val="28"/>
              </w:rPr>
            </w:pPr>
            <w:r w:rsidRPr="009D12D3">
              <w:rPr>
                <w:rFonts w:ascii="Times New Roman" w:hAnsi="Times New Roman" w:cs="Times New Roman"/>
                <w:b/>
                <w:sz w:val="28"/>
              </w:rPr>
              <w:t>Территории</w:t>
            </w:r>
          </w:p>
        </w:tc>
        <w:tc>
          <w:tcPr>
            <w:tcW w:w="1843" w:type="dxa"/>
          </w:tcPr>
          <w:p w14:paraId="24A8175D" w14:textId="77777777" w:rsidR="0009344C" w:rsidRPr="009D12D3" w:rsidRDefault="0009344C" w:rsidP="00C73F5D">
            <w:pPr>
              <w:jc w:val="center"/>
              <w:rPr>
                <w:rFonts w:ascii="Times New Roman" w:hAnsi="Times New Roman" w:cs="Times New Roman"/>
                <w:b/>
                <w:sz w:val="28"/>
              </w:rPr>
            </w:pPr>
            <w:r w:rsidRPr="009D12D3">
              <w:rPr>
                <w:rFonts w:ascii="Times New Roman" w:hAnsi="Times New Roman" w:cs="Times New Roman"/>
                <w:b/>
                <w:sz w:val="28"/>
              </w:rPr>
              <w:t>2019</w:t>
            </w:r>
          </w:p>
        </w:tc>
        <w:tc>
          <w:tcPr>
            <w:tcW w:w="1843" w:type="dxa"/>
          </w:tcPr>
          <w:p w14:paraId="5F950AFF" w14:textId="77777777" w:rsidR="0009344C" w:rsidRPr="009D12D3" w:rsidRDefault="0009344C" w:rsidP="00C73F5D">
            <w:pPr>
              <w:jc w:val="center"/>
              <w:rPr>
                <w:rFonts w:ascii="Times New Roman" w:hAnsi="Times New Roman" w:cs="Times New Roman"/>
                <w:b/>
                <w:sz w:val="28"/>
              </w:rPr>
            </w:pPr>
            <w:r w:rsidRPr="009D12D3">
              <w:rPr>
                <w:rFonts w:ascii="Times New Roman" w:hAnsi="Times New Roman" w:cs="Times New Roman"/>
                <w:b/>
                <w:sz w:val="28"/>
              </w:rPr>
              <w:t>2020</w:t>
            </w:r>
          </w:p>
        </w:tc>
        <w:tc>
          <w:tcPr>
            <w:tcW w:w="1836" w:type="dxa"/>
          </w:tcPr>
          <w:p w14:paraId="73D3CC06" w14:textId="77777777" w:rsidR="0009344C" w:rsidRPr="009D12D3" w:rsidRDefault="0009344C" w:rsidP="00C73F5D">
            <w:pPr>
              <w:jc w:val="center"/>
              <w:rPr>
                <w:rFonts w:ascii="Times New Roman" w:hAnsi="Times New Roman" w:cs="Times New Roman"/>
                <w:b/>
                <w:sz w:val="28"/>
              </w:rPr>
            </w:pPr>
            <w:r w:rsidRPr="009D12D3">
              <w:rPr>
                <w:rFonts w:ascii="Times New Roman" w:hAnsi="Times New Roman" w:cs="Times New Roman"/>
                <w:b/>
                <w:sz w:val="28"/>
              </w:rPr>
              <w:t>2021</w:t>
            </w:r>
          </w:p>
        </w:tc>
      </w:tr>
      <w:tr w:rsidR="0009344C" w14:paraId="68E29E58" w14:textId="77777777" w:rsidTr="00C73F5D">
        <w:tc>
          <w:tcPr>
            <w:tcW w:w="4111" w:type="dxa"/>
          </w:tcPr>
          <w:p w14:paraId="00A0CD75" w14:textId="77777777" w:rsidR="0009344C" w:rsidRDefault="0009344C" w:rsidP="00C73F5D">
            <w:pPr>
              <w:jc w:val="both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Дальний Восток</w:t>
            </w:r>
          </w:p>
        </w:tc>
        <w:tc>
          <w:tcPr>
            <w:tcW w:w="1843" w:type="dxa"/>
          </w:tcPr>
          <w:p w14:paraId="33F6BCFF" w14:textId="77777777" w:rsidR="0009344C" w:rsidRDefault="0009344C" w:rsidP="00C73F5D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- 11 731</w:t>
            </w:r>
          </w:p>
        </w:tc>
        <w:tc>
          <w:tcPr>
            <w:tcW w:w="1843" w:type="dxa"/>
          </w:tcPr>
          <w:p w14:paraId="1BBD6505" w14:textId="77777777" w:rsidR="0009344C" w:rsidRDefault="0009344C" w:rsidP="00C73F5D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- 19 925</w:t>
            </w:r>
          </w:p>
        </w:tc>
        <w:tc>
          <w:tcPr>
            <w:tcW w:w="1836" w:type="dxa"/>
          </w:tcPr>
          <w:p w14:paraId="4BD942C0" w14:textId="77777777" w:rsidR="0009344C" w:rsidRDefault="0009344C" w:rsidP="00C73F5D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+ 7 445</w:t>
            </w:r>
          </w:p>
        </w:tc>
      </w:tr>
      <w:tr w:rsidR="0009344C" w14:paraId="143F0E0B" w14:textId="77777777" w:rsidTr="00C73F5D">
        <w:tc>
          <w:tcPr>
            <w:tcW w:w="4111" w:type="dxa"/>
          </w:tcPr>
          <w:p w14:paraId="58E18F5A" w14:textId="77777777" w:rsidR="0009344C" w:rsidRDefault="0009344C" w:rsidP="00C73F5D">
            <w:pPr>
              <w:jc w:val="both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Республика Бурятия</w:t>
            </w:r>
          </w:p>
        </w:tc>
        <w:tc>
          <w:tcPr>
            <w:tcW w:w="1843" w:type="dxa"/>
          </w:tcPr>
          <w:p w14:paraId="6045536C" w14:textId="77777777" w:rsidR="0009344C" w:rsidRDefault="0009344C" w:rsidP="00C73F5D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+ 999</w:t>
            </w:r>
          </w:p>
        </w:tc>
        <w:tc>
          <w:tcPr>
            <w:tcW w:w="1843" w:type="dxa"/>
          </w:tcPr>
          <w:p w14:paraId="5E9E4D5E" w14:textId="77777777" w:rsidR="0009344C" w:rsidRDefault="0009344C" w:rsidP="00C73F5D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- 1 350</w:t>
            </w:r>
          </w:p>
        </w:tc>
        <w:tc>
          <w:tcPr>
            <w:tcW w:w="1836" w:type="dxa"/>
          </w:tcPr>
          <w:p w14:paraId="7A0B0801" w14:textId="77777777" w:rsidR="0009344C" w:rsidRDefault="0009344C" w:rsidP="00C73F5D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- 1 304</w:t>
            </w:r>
          </w:p>
        </w:tc>
      </w:tr>
      <w:tr w:rsidR="0009344C" w14:paraId="2733F8C5" w14:textId="77777777" w:rsidTr="00C73F5D">
        <w:tc>
          <w:tcPr>
            <w:tcW w:w="4111" w:type="dxa"/>
          </w:tcPr>
          <w:p w14:paraId="520A8341" w14:textId="77777777" w:rsidR="0009344C" w:rsidRDefault="0009344C" w:rsidP="00C73F5D">
            <w:pPr>
              <w:jc w:val="both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Республика Саха (Якутия)</w:t>
            </w:r>
          </w:p>
        </w:tc>
        <w:tc>
          <w:tcPr>
            <w:tcW w:w="1843" w:type="dxa"/>
          </w:tcPr>
          <w:p w14:paraId="785A247C" w14:textId="77777777" w:rsidR="0009344C" w:rsidRDefault="0009344C" w:rsidP="00C73F5D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- 317</w:t>
            </w:r>
          </w:p>
        </w:tc>
        <w:tc>
          <w:tcPr>
            <w:tcW w:w="1843" w:type="dxa"/>
          </w:tcPr>
          <w:p w14:paraId="35369B04" w14:textId="77777777" w:rsidR="0009344C" w:rsidRDefault="0009344C" w:rsidP="00C73F5D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+ 6 065</w:t>
            </w:r>
          </w:p>
        </w:tc>
        <w:tc>
          <w:tcPr>
            <w:tcW w:w="1836" w:type="dxa"/>
          </w:tcPr>
          <w:p w14:paraId="0AE5A692" w14:textId="77777777" w:rsidR="0009344C" w:rsidRDefault="0009344C" w:rsidP="00C73F5D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+ 8 507</w:t>
            </w:r>
          </w:p>
        </w:tc>
      </w:tr>
      <w:tr w:rsidR="0009344C" w14:paraId="3B1C184B" w14:textId="77777777" w:rsidTr="00C73F5D">
        <w:tc>
          <w:tcPr>
            <w:tcW w:w="4111" w:type="dxa"/>
          </w:tcPr>
          <w:p w14:paraId="0FDB6D38" w14:textId="77777777" w:rsidR="0009344C" w:rsidRDefault="0009344C" w:rsidP="00C73F5D">
            <w:pPr>
              <w:jc w:val="both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Забайкальский край</w:t>
            </w:r>
          </w:p>
        </w:tc>
        <w:tc>
          <w:tcPr>
            <w:tcW w:w="1843" w:type="dxa"/>
          </w:tcPr>
          <w:p w14:paraId="6FF9B40A" w14:textId="77777777" w:rsidR="0009344C" w:rsidRDefault="0009344C" w:rsidP="00C73F5D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- 5 519</w:t>
            </w:r>
          </w:p>
        </w:tc>
        <w:tc>
          <w:tcPr>
            <w:tcW w:w="1843" w:type="dxa"/>
          </w:tcPr>
          <w:p w14:paraId="597CD466" w14:textId="77777777" w:rsidR="0009344C" w:rsidRDefault="0009344C" w:rsidP="00C73F5D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- 4 090</w:t>
            </w:r>
          </w:p>
        </w:tc>
        <w:tc>
          <w:tcPr>
            <w:tcW w:w="1836" w:type="dxa"/>
          </w:tcPr>
          <w:p w14:paraId="24ED3522" w14:textId="77777777" w:rsidR="0009344C" w:rsidRDefault="0009344C" w:rsidP="00C73F5D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- 5 490</w:t>
            </w:r>
          </w:p>
        </w:tc>
      </w:tr>
      <w:tr w:rsidR="0009344C" w14:paraId="00F581F6" w14:textId="77777777" w:rsidTr="00C73F5D">
        <w:tc>
          <w:tcPr>
            <w:tcW w:w="4111" w:type="dxa"/>
          </w:tcPr>
          <w:p w14:paraId="3FDCBEE7" w14:textId="77777777" w:rsidR="0009344C" w:rsidRDefault="0009344C" w:rsidP="00C73F5D">
            <w:pPr>
              <w:jc w:val="both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Камчатский край</w:t>
            </w:r>
          </w:p>
        </w:tc>
        <w:tc>
          <w:tcPr>
            <w:tcW w:w="1843" w:type="dxa"/>
          </w:tcPr>
          <w:p w14:paraId="12946C9A" w14:textId="77777777" w:rsidR="0009344C" w:rsidRDefault="0009344C" w:rsidP="00C73F5D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- 1 589</w:t>
            </w:r>
          </w:p>
        </w:tc>
        <w:tc>
          <w:tcPr>
            <w:tcW w:w="1843" w:type="dxa"/>
          </w:tcPr>
          <w:p w14:paraId="63170AC3" w14:textId="77777777" w:rsidR="0009344C" w:rsidRDefault="0009344C" w:rsidP="00C73F5D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- 117</w:t>
            </w:r>
          </w:p>
        </w:tc>
        <w:tc>
          <w:tcPr>
            <w:tcW w:w="1836" w:type="dxa"/>
          </w:tcPr>
          <w:p w14:paraId="0604CB3C" w14:textId="77777777" w:rsidR="0009344C" w:rsidRDefault="0009344C" w:rsidP="00C73F5D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+ 2 429</w:t>
            </w:r>
          </w:p>
        </w:tc>
      </w:tr>
      <w:tr w:rsidR="0009344C" w14:paraId="3AF74500" w14:textId="77777777" w:rsidTr="00C73F5D">
        <w:tc>
          <w:tcPr>
            <w:tcW w:w="4111" w:type="dxa"/>
          </w:tcPr>
          <w:p w14:paraId="65876094" w14:textId="77777777" w:rsidR="0009344C" w:rsidRDefault="0009344C" w:rsidP="00C73F5D">
            <w:pPr>
              <w:jc w:val="both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Приморский край</w:t>
            </w:r>
          </w:p>
        </w:tc>
        <w:tc>
          <w:tcPr>
            <w:tcW w:w="1843" w:type="dxa"/>
          </w:tcPr>
          <w:p w14:paraId="15910009" w14:textId="77777777" w:rsidR="0009344C" w:rsidRDefault="0009344C" w:rsidP="00C73F5D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+ 61</w:t>
            </w:r>
          </w:p>
        </w:tc>
        <w:tc>
          <w:tcPr>
            <w:tcW w:w="1843" w:type="dxa"/>
          </w:tcPr>
          <w:p w14:paraId="76BB1848" w14:textId="77777777" w:rsidR="0009344C" w:rsidRDefault="0009344C" w:rsidP="00C73F5D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- 6 215</w:t>
            </w:r>
          </w:p>
        </w:tc>
        <w:tc>
          <w:tcPr>
            <w:tcW w:w="1836" w:type="dxa"/>
          </w:tcPr>
          <w:p w14:paraId="029F7925" w14:textId="77777777" w:rsidR="0009344C" w:rsidRDefault="0009344C" w:rsidP="00C73F5D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- 310</w:t>
            </w:r>
          </w:p>
        </w:tc>
      </w:tr>
      <w:tr w:rsidR="0009344C" w14:paraId="62A95E7B" w14:textId="77777777" w:rsidTr="00C73F5D">
        <w:tc>
          <w:tcPr>
            <w:tcW w:w="4111" w:type="dxa"/>
          </w:tcPr>
          <w:p w14:paraId="3B1EF28F" w14:textId="77777777" w:rsidR="0009344C" w:rsidRDefault="0009344C" w:rsidP="00C73F5D">
            <w:pPr>
              <w:jc w:val="both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Хабаровский край</w:t>
            </w:r>
          </w:p>
        </w:tc>
        <w:tc>
          <w:tcPr>
            <w:tcW w:w="1843" w:type="dxa"/>
          </w:tcPr>
          <w:p w14:paraId="2D4C3576" w14:textId="77777777" w:rsidR="0009344C" w:rsidRDefault="0009344C" w:rsidP="00C73F5D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- 3 061</w:t>
            </w:r>
          </w:p>
        </w:tc>
        <w:tc>
          <w:tcPr>
            <w:tcW w:w="1843" w:type="dxa"/>
          </w:tcPr>
          <w:p w14:paraId="5FABBDB7" w14:textId="77777777" w:rsidR="0009344C" w:rsidRDefault="0009344C" w:rsidP="00C73F5D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- 7 354</w:t>
            </w:r>
          </w:p>
        </w:tc>
        <w:tc>
          <w:tcPr>
            <w:tcW w:w="1836" w:type="dxa"/>
          </w:tcPr>
          <w:p w14:paraId="5A9A0B1E" w14:textId="77777777" w:rsidR="0009344C" w:rsidRDefault="0009344C" w:rsidP="00C73F5D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+ 6 501</w:t>
            </w:r>
          </w:p>
        </w:tc>
      </w:tr>
      <w:tr w:rsidR="0009344C" w14:paraId="23FA808F" w14:textId="77777777" w:rsidTr="00C73F5D">
        <w:tc>
          <w:tcPr>
            <w:tcW w:w="4111" w:type="dxa"/>
          </w:tcPr>
          <w:p w14:paraId="169A73B2" w14:textId="77777777" w:rsidR="0009344C" w:rsidRDefault="0009344C" w:rsidP="00C73F5D">
            <w:pPr>
              <w:jc w:val="both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Амурская область</w:t>
            </w:r>
          </w:p>
        </w:tc>
        <w:tc>
          <w:tcPr>
            <w:tcW w:w="1843" w:type="dxa"/>
          </w:tcPr>
          <w:p w14:paraId="3E55336E" w14:textId="77777777" w:rsidR="0009344C" w:rsidRDefault="0009344C" w:rsidP="00C73F5D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+ 6</w:t>
            </w:r>
          </w:p>
        </w:tc>
        <w:tc>
          <w:tcPr>
            <w:tcW w:w="1843" w:type="dxa"/>
          </w:tcPr>
          <w:p w14:paraId="65A2CC8A" w14:textId="77777777" w:rsidR="0009344C" w:rsidRDefault="0009344C" w:rsidP="00C73F5D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- 3 143</w:t>
            </w:r>
          </w:p>
        </w:tc>
        <w:tc>
          <w:tcPr>
            <w:tcW w:w="1836" w:type="dxa"/>
          </w:tcPr>
          <w:p w14:paraId="318DB236" w14:textId="77777777" w:rsidR="0009344C" w:rsidRDefault="0009344C" w:rsidP="00C73F5D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- 2 344</w:t>
            </w:r>
          </w:p>
        </w:tc>
      </w:tr>
      <w:tr w:rsidR="0009344C" w14:paraId="0DA5F8EA" w14:textId="77777777" w:rsidTr="00C73F5D">
        <w:tc>
          <w:tcPr>
            <w:tcW w:w="4111" w:type="dxa"/>
          </w:tcPr>
          <w:p w14:paraId="5C22B79A" w14:textId="77777777" w:rsidR="0009344C" w:rsidRDefault="0009344C" w:rsidP="00C73F5D">
            <w:pPr>
              <w:jc w:val="both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Магаданская область</w:t>
            </w:r>
          </w:p>
        </w:tc>
        <w:tc>
          <w:tcPr>
            <w:tcW w:w="1843" w:type="dxa"/>
          </w:tcPr>
          <w:p w14:paraId="3AEA7DFD" w14:textId="77777777" w:rsidR="0009344C" w:rsidRDefault="0009344C" w:rsidP="00C73F5D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- 749</w:t>
            </w:r>
          </w:p>
        </w:tc>
        <w:tc>
          <w:tcPr>
            <w:tcW w:w="1843" w:type="dxa"/>
          </w:tcPr>
          <w:p w14:paraId="50F03417" w14:textId="77777777" w:rsidR="0009344C" w:rsidRDefault="0009344C" w:rsidP="00C73F5D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- 619</w:t>
            </w:r>
          </w:p>
        </w:tc>
        <w:tc>
          <w:tcPr>
            <w:tcW w:w="1836" w:type="dxa"/>
          </w:tcPr>
          <w:p w14:paraId="2A0B46C0" w14:textId="77777777" w:rsidR="0009344C" w:rsidRDefault="0009344C" w:rsidP="00C73F5D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- 390</w:t>
            </w:r>
          </w:p>
        </w:tc>
      </w:tr>
      <w:tr w:rsidR="0009344C" w14:paraId="77734B9E" w14:textId="77777777" w:rsidTr="00C73F5D">
        <w:tc>
          <w:tcPr>
            <w:tcW w:w="4111" w:type="dxa"/>
          </w:tcPr>
          <w:p w14:paraId="334ACF39" w14:textId="77777777" w:rsidR="0009344C" w:rsidRDefault="0009344C" w:rsidP="00C73F5D">
            <w:pPr>
              <w:jc w:val="both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Сахалинская область</w:t>
            </w:r>
          </w:p>
        </w:tc>
        <w:tc>
          <w:tcPr>
            <w:tcW w:w="1843" w:type="dxa"/>
          </w:tcPr>
          <w:p w14:paraId="57FC899C" w14:textId="77777777" w:rsidR="0009344C" w:rsidRDefault="0009344C" w:rsidP="00C73F5D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- 1 070</w:t>
            </w:r>
          </w:p>
        </w:tc>
        <w:tc>
          <w:tcPr>
            <w:tcW w:w="1843" w:type="dxa"/>
          </w:tcPr>
          <w:p w14:paraId="0E37FF97" w14:textId="77777777" w:rsidR="0009344C" w:rsidRDefault="0009344C" w:rsidP="00C73F5D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- 1 447</w:t>
            </w:r>
          </w:p>
        </w:tc>
        <w:tc>
          <w:tcPr>
            <w:tcW w:w="1836" w:type="dxa"/>
          </w:tcPr>
          <w:p w14:paraId="1554F623" w14:textId="77777777" w:rsidR="0009344C" w:rsidRDefault="0009344C" w:rsidP="00C73F5D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+ 705</w:t>
            </w:r>
          </w:p>
        </w:tc>
      </w:tr>
      <w:tr w:rsidR="0009344C" w14:paraId="573D8D47" w14:textId="77777777" w:rsidTr="00C73F5D">
        <w:tc>
          <w:tcPr>
            <w:tcW w:w="4111" w:type="dxa"/>
          </w:tcPr>
          <w:p w14:paraId="1D28E15D" w14:textId="77777777" w:rsidR="0009344C" w:rsidRDefault="0009344C" w:rsidP="00C73F5D">
            <w:pPr>
              <w:jc w:val="both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Еврейская автономная область</w:t>
            </w:r>
          </w:p>
        </w:tc>
        <w:tc>
          <w:tcPr>
            <w:tcW w:w="1843" w:type="dxa"/>
          </w:tcPr>
          <w:p w14:paraId="445A7517" w14:textId="77777777" w:rsidR="0009344C" w:rsidRDefault="0009344C" w:rsidP="00C73F5D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- 1 038</w:t>
            </w:r>
          </w:p>
        </w:tc>
        <w:tc>
          <w:tcPr>
            <w:tcW w:w="1843" w:type="dxa"/>
          </w:tcPr>
          <w:p w14:paraId="5D4AD80F" w14:textId="77777777" w:rsidR="0009344C" w:rsidRDefault="0009344C" w:rsidP="00C73F5D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- 895</w:t>
            </w:r>
          </w:p>
        </w:tc>
        <w:tc>
          <w:tcPr>
            <w:tcW w:w="1836" w:type="dxa"/>
          </w:tcPr>
          <w:p w14:paraId="1B4F9616" w14:textId="77777777" w:rsidR="0009344C" w:rsidRDefault="0009344C" w:rsidP="00C73F5D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- 1 410</w:t>
            </w:r>
          </w:p>
        </w:tc>
      </w:tr>
      <w:tr w:rsidR="0009344C" w14:paraId="3546625C" w14:textId="77777777" w:rsidTr="00C73F5D">
        <w:tc>
          <w:tcPr>
            <w:tcW w:w="4111" w:type="dxa"/>
          </w:tcPr>
          <w:p w14:paraId="6F61BAFA" w14:textId="77777777" w:rsidR="0009344C" w:rsidRDefault="0009344C" w:rsidP="00C73F5D">
            <w:pPr>
              <w:jc w:val="both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Чукотский автономный округ</w:t>
            </w:r>
          </w:p>
        </w:tc>
        <w:tc>
          <w:tcPr>
            <w:tcW w:w="1843" w:type="dxa"/>
          </w:tcPr>
          <w:p w14:paraId="134EEF07" w14:textId="77777777" w:rsidR="0009344C" w:rsidRDefault="0009344C" w:rsidP="00C73F5D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+ 546</w:t>
            </w:r>
          </w:p>
        </w:tc>
        <w:tc>
          <w:tcPr>
            <w:tcW w:w="1843" w:type="dxa"/>
          </w:tcPr>
          <w:p w14:paraId="563489BA" w14:textId="77777777" w:rsidR="0009344C" w:rsidRDefault="0009344C" w:rsidP="00C73F5D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- 760</w:t>
            </w:r>
          </w:p>
        </w:tc>
        <w:tc>
          <w:tcPr>
            <w:tcW w:w="1836" w:type="dxa"/>
          </w:tcPr>
          <w:p w14:paraId="38948887" w14:textId="77777777" w:rsidR="0009344C" w:rsidRDefault="0009344C" w:rsidP="00C73F5D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+ 551</w:t>
            </w:r>
          </w:p>
        </w:tc>
      </w:tr>
    </w:tbl>
    <w:p w14:paraId="6838298D" w14:textId="77777777" w:rsidR="0009344C" w:rsidRDefault="0009344C" w:rsidP="0009344C">
      <w:pPr>
        <w:spacing w:before="120" w:after="0" w:line="360" w:lineRule="auto"/>
        <w:ind w:firstLine="709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Таким образом, можно увидеть положительную динамику в последний год, но длилось это недолго, так как уже в 2022 году вернулась отрицательная динамика (- 25 012 чел.). Наглядно статистика представлена на рисунке 1.</w:t>
      </w:r>
    </w:p>
    <w:p w14:paraId="4D9F0706" w14:textId="77777777" w:rsidR="0009344C" w:rsidRDefault="0009344C" w:rsidP="0009344C">
      <w:pPr>
        <w:spacing w:before="120" w:after="0" w:line="360" w:lineRule="auto"/>
        <w:ind w:firstLine="709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noProof/>
          <w:sz w:val="28"/>
        </w:rPr>
        <w:lastRenderedPageBreak/>
        <w:drawing>
          <wp:inline distT="0" distB="0" distL="0" distR="0" wp14:anchorId="0752D8D2" wp14:editId="641F3DB6">
            <wp:extent cx="5421630" cy="2409825"/>
            <wp:effectExtent l="0" t="0" r="7620" b="0"/>
            <wp:docPr id="2" name="Диаграмма 2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7"/>
              </a:graphicData>
            </a:graphic>
          </wp:inline>
        </w:drawing>
      </w:r>
    </w:p>
    <w:p w14:paraId="68DD543C" w14:textId="77777777" w:rsidR="0009344C" w:rsidRDefault="0009344C" w:rsidP="0009344C">
      <w:pPr>
        <w:spacing w:before="120" w:after="240" w:line="360" w:lineRule="auto"/>
        <w:ind w:firstLine="709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Рисунок 1 – Статистика миграционного потока за 2019-2022 года, чел.</w:t>
      </w:r>
    </w:p>
    <w:p w14:paraId="0DF56096" w14:textId="5F93B337" w:rsidR="0009344C" w:rsidRDefault="0009344C" w:rsidP="0009344C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Миграция происходить как в другие регионы России, так и заграницу. Данные о местах миграции приведены в таблице 2 </w:t>
      </w:r>
      <w:r w:rsidR="00D607FF">
        <w:rPr>
          <w:rFonts w:ascii="Times New Roman" w:hAnsi="Times New Roman" w:cs="Times New Roman"/>
          <w:sz w:val="28"/>
        </w:rPr>
        <w:t>[2</w:t>
      </w:r>
      <w:r w:rsidRPr="00E147DD">
        <w:rPr>
          <w:rFonts w:ascii="Times New Roman" w:hAnsi="Times New Roman" w:cs="Times New Roman"/>
          <w:sz w:val="28"/>
        </w:rPr>
        <w:t>]</w:t>
      </w:r>
      <w:r>
        <w:rPr>
          <w:rFonts w:ascii="Times New Roman" w:hAnsi="Times New Roman" w:cs="Times New Roman"/>
          <w:sz w:val="28"/>
        </w:rPr>
        <w:t>.</w:t>
      </w:r>
    </w:p>
    <w:p w14:paraId="1987055B" w14:textId="77777777" w:rsidR="0009344C" w:rsidRDefault="0009344C" w:rsidP="0009344C">
      <w:pPr>
        <w:spacing w:after="120" w:line="240" w:lineRule="auto"/>
        <w:ind w:left="1560" w:hanging="1560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Таблица 2 – Общие итоги миграции населения в Дальневосточном Федеральном округе, чел.</w:t>
      </w:r>
    </w:p>
    <w:tbl>
      <w:tblPr>
        <w:tblStyle w:val="a3"/>
        <w:tblW w:w="0" w:type="auto"/>
        <w:tblInd w:w="-5" w:type="dxa"/>
        <w:tblLook w:val="04A0" w:firstRow="1" w:lastRow="0" w:firstColumn="1" w:lastColumn="0" w:noHBand="0" w:noVBand="1"/>
      </w:tblPr>
      <w:tblGrid>
        <w:gridCol w:w="1801"/>
        <w:gridCol w:w="1284"/>
        <w:gridCol w:w="1726"/>
        <w:gridCol w:w="2232"/>
        <w:gridCol w:w="1250"/>
        <w:gridCol w:w="1340"/>
      </w:tblGrid>
      <w:tr w:rsidR="0009344C" w14:paraId="00DA3A48" w14:textId="77777777" w:rsidTr="0009344C">
        <w:tc>
          <w:tcPr>
            <w:tcW w:w="2127" w:type="dxa"/>
            <w:vMerge w:val="restart"/>
            <w:vAlign w:val="center"/>
          </w:tcPr>
          <w:p w14:paraId="6BE523A3" w14:textId="77777777" w:rsidR="0009344C" w:rsidRPr="00E147DD" w:rsidRDefault="0009344C" w:rsidP="0009344C">
            <w:pPr>
              <w:contextualSpacing/>
              <w:jc w:val="center"/>
              <w:rPr>
                <w:rFonts w:ascii="Times New Roman" w:hAnsi="Times New Roman" w:cs="Times New Roman"/>
                <w:b/>
                <w:sz w:val="28"/>
              </w:rPr>
            </w:pPr>
            <w:r>
              <w:rPr>
                <w:rFonts w:ascii="Times New Roman" w:hAnsi="Times New Roman" w:cs="Times New Roman"/>
                <w:b/>
                <w:sz w:val="28"/>
              </w:rPr>
              <w:t>География потока</w:t>
            </w:r>
          </w:p>
        </w:tc>
        <w:tc>
          <w:tcPr>
            <w:tcW w:w="7506" w:type="dxa"/>
            <w:gridSpan w:val="5"/>
            <w:vAlign w:val="center"/>
          </w:tcPr>
          <w:p w14:paraId="50950B2A" w14:textId="77777777" w:rsidR="0009344C" w:rsidRPr="0079360E" w:rsidRDefault="0009344C" w:rsidP="0009344C">
            <w:pPr>
              <w:contextualSpacing/>
              <w:jc w:val="center"/>
              <w:rPr>
                <w:rFonts w:ascii="Times New Roman" w:hAnsi="Times New Roman" w:cs="Times New Roman"/>
                <w:b/>
                <w:sz w:val="28"/>
              </w:rPr>
            </w:pPr>
            <w:r w:rsidRPr="0079360E">
              <w:rPr>
                <w:rFonts w:ascii="Times New Roman" w:hAnsi="Times New Roman" w:cs="Times New Roman"/>
                <w:b/>
                <w:sz w:val="28"/>
              </w:rPr>
              <w:t>2019</w:t>
            </w:r>
          </w:p>
        </w:tc>
      </w:tr>
      <w:tr w:rsidR="0009344C" w14:paraId="2A42A79F" w14:textId="77777777" w:rsidTr="0009344C">
        <w:tc>
          <w:tcPr>
            <w:tcW w:w="2127" w:type="dxa"/>
            <w:vMerge/>
          </w:tcPr>
          <w:p w14:paraId="4EFA7E79" w14:textId="77777777" w:rsidR="0009344C" w:rsidRDefault="0009344C" w:rsidP="0009344C">
            <w:pPr>
              <w:contextualSpacing/>
              <w:jc w:val="both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958" w:type="dxa"/>
            <w:vMerge w:val="restart"/>
            <w:vAlign w:val="center"/>
          </w:tcPr>
          <w:p w14:paraId="7AD2C923" w14:textId="77777777" w:rsidR="0009344C" w:rsidRPr="0079360E" w:rsidRDefault="0009344C" w:rsidP="0009344C">
            <w:pPr>
              <w:contextualSpacing/>
              <w:jc w:val="center"/>
              <w:rPr>
                <w:rFonts w:ascii="Times New Roman" w:hAnsi="Times New Roman" w:cs="Times New Roman"/>
                <w:b/>
                <w:sz w:val="28"/>
              </w:rPr>
            </w:pPr>
            <w:r w:rsidRPr="0079360E">
              <w:rPr>
                <w:rFonts w:ascii="Times New Roman" w:hAnsi="Times New Roman" w:cs="Times New Roman"/>
                <w:b/>
                <w:sz w:val="28"/>
              </w:rPr>
              <w:t>Вся миграция</w:t>
            </w:r>
          </w:p>
        </w:tc>
        <w:tc>
          <w:tcPr>
            <w:tcW w:w="6548" w:type="dxa"/>
            <w:gridSpan w:val="4"/>
            <w:vAlign w:val="center"/>
          </w:tcPr>
          <w:p w14:paraId="037B3F93" w14:textId="77777777" w:rsidR="0009344C" w:rsidRPr="0079360E" w:rsidRDefault="0009344C" w:rsidP="0009344C">
            <w:pPr>
              <w:contextualSpacing/>
              <w:jc w:val="center"/>
              <w:rPr>
                <w:rFonts w:ascii="Times New Roman" w:hAnsi="Times New Roman" w:cs="Times New Roman"/>
                <w:b/>
                <w:sz w:val="28"/>
              </w:rPr>
            </w:pPr>
            <w:r w:rsidRPr="0079360E">
              <w:rPr>
                <w:rFonts w:ascii="Times New Roman" w:hAnsi="Times New Roman" w:cs="Times New Roman"/>
                <w:b/>
                <w:sz w:val="28"/>
              </w:rPr>
              <w:t>В том числе</w:t>
            </w:r>
          </w:p>
        </w:tc>
      </w:tr>
      <w:tr w:rsidR="0009344C" w14:paraId="77955FDD" w14:textId="77777777" w:rsidTr="0009344C">
        <w:tc>
          <w:tcPr>
            <w:tcW w:w="2127" w:type="dxa"/>
            <w:vMerge/>
          </w:tcPr>
          <w:p w14:paraId="5A254199" w14:textId="77777777" w:rsidR="0009344C" w:rsidRDefault="0009344C" w:rsidP="0009344C">
            <w:pPr>
              <w:contextualSpacing/>
              <w:jc w:val="both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958" w:type="dxa"/>
            <w:vMerge/>
          </w:tcPr>
          <w:p w14:paraId="62526552" w14:textId="77777777" w:rsidR="0009344C" w:rsidRPr="0079360E" w:rsidRDefault="0009344C" w:rsidP="0009344C">
            <w:pPr>
              <w:contextualSpacing/>
              <w:jc w:val="both"/>
              <w:rPr>
                <w:rFonts w:ascii="Times New Roman" w:hAnsi="Times New Roman" w:cs="Times New Roman"/>
                <w:b/>
                <w:sz w:val="28"/>
              </w:rPr>
            </w:pPr>
          </w:p>
        </w:tc>
        <w:tc>
          <w:tcPr>
            <w:tcW w:w="1726" w:type="dxa"/>
            <w:vAlign w:val="center"/>
          </w:tcPr>
          <w:p w14:paraId="0E05D35C" w14:textId="77777777" w:rsidR="0009344C" w:rsidRPr="0079360E" w:rsidRDefault="0009344C" w:rsidP="0009344C">
            <w:pPr>
              <w:contextualSpacing/>
              <w:jc w:val="center"/>
              <w:rPr>
                <w:rFonts w:ascii="Times New Roman" w:hAnsi="Times New Roman" w:cs="Times New Roman"/>
                <w:b/>
                <w:sz w:val="28"/>
              </w:rPr>
            </w:pPr>
            <w:r w:rsidRPr="0079360E">
              <w:rPr>
                <w:rFonts w:ascii="Times New Roman" w:hAnsi="Times New Roman" w:cs="Times New Roman"/>
                <w:b/>
                <w:sz w:val="28"/>
              </w:rPr>
              <w:t>Внутри региональная</w:t>
            </w:r>
          </w:p>
        </w:tc>
        <w:tc>
          <w:tcPr>
            <w:tcW w:w="2232" w:type="dxa"/>
            <w:vAlign w:val="center"/>
          </w:tcPr>
          <w:p w14:paraId="108A185D" w14:textId="77777777" w:rsidR="0009344C" w:rsidRPr="0079360E" w:rsidRDefault="0009344C" w:rsidP="0009344C">
            <w:pPr>
              <w:contextualSpacing/>
              <w:jc w:val="center"/>
              <w:rPr>
                <w:rFonts w:ascii="Times New Roman" w:hAnsi="Times New Roman" w:cs="Times New Roman"/>
                <w:b/>
                <w:sz w:val="28"/>
              </w:rPr>
            </w:pPr>
            <w:r w:rsidRPr="0079360E">
              <w:rPr>
                <w:rFonts w:ascii="Times New Roman" w:hAnsi="Times New Roman" w:cs="Times New Roman"/>
                <w:b/>
                <w:sz w:val="28"/>
              </w:rPr>
              <w:t>Межрегиональная</w:t>
            </w:r>
          </w:p>
        </w:tc>
        <w:tc>
          <w:tcPr>
            <w:tcW w:w="1250" w:type="dxa"/>
            <w:vAlign w:val="center"/>
          </w:tcPr>
          <w:p w14:paraId="1CD55425" w14:textId="77777777" w:rsidR="0009344C" w:rsidRPr="0079360E" w:rsidRDefault="0009344C" w:rsidP="0009344C">
            <w:pPr>
              <w:contextualSpacing/>
              <w:jc w:val="center"/>
              <w:rPr>
                <w:rFonts w:ascii="Times New Roman" w:hAnsi="Times New Roman" w:cs="Times New Roman"/>
                <w:b/>
                <w:sz w:val="28"/>
              </w:rPr>
            </w:pPr>
            <w:r w:rsidRPr="0079360E">
              <w:rPr>
                <w:rFonts w:ascii="Times New Roman" w:hAnsi="Times New Roman" w:cs="Times New Roman"/>
                <w:b/>
                <w:sz w:val="28"/>
              </w:rPr>
              <w:t>Со странами СНГ</w:t>
            </w:r>
          </w:p>
        </w:tc>
        <w:tc>
          <w:tcPr>
            <w:tcW w:w="1340" w:type="dxa"/>
            <w:vAlign w:val="center"/>
          </w:tcPr>
          <w:p w14:paraId="3F09D74C" w14:textId="77777777" w:rsidR="0009344C" w:rsidRPr="0079360E" w:rsidRDefault="0009344C" w:rsidP="0009344C">
            <w:pPr>
              <w:contextualSpacing/>
              <w:jc w:val="center"/>
              <w:rPr>
                <w:rFonts w:ascii="Times New Roman" w:hAnsi="Times New Roman" w:cs="Times New Roman"/>
                <w:b/>
                <w:sz w:val="28"/>
              </w:rPr>
            </w:pPr>
            <w:r w:rsidRPr="0079360E">
              <w:rPr>
                <w:rFonts w:ascii="Times New Roman" w:hAnsi="Times New Roman" w:cs="Times New Roman"/>
                <w:b/>
                <w:sz w:val="28"/>
              </w:rPr>
              <w:t>Со странами дальнего зарубежья</w:t>
            </w:r>
          </w:p>
        </w:tc>
      </w:tr>
      <w:tr w:rsidR="0009344C" w14:paraId="33720E22" w14:textId="77777777" w:rsidTr="0009344C">
        <w:tc>
          <w:tcPr>
            <w:tcW w:w="2127" w:type="dxa"/>
          </w:tcPr>
          <w:p w14:paraId="388B98A6" w14:textId="77777777" w:rsidR="0009344C" w:rsidRDefault="0009344C" w:rsidP="0009344C">
            <w:pPr>
              <w:contextualSpacing/>
              <w:jc w:val="both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Прибыло</w:t>
            </w:r>
          </w:p>
        </w:tc>
        <w:tc>
          <w:tcPr>
            <w:tcW w:w="958" w:type="dxa"/>
            <w:vAlign w:val="center"/>
          </w:tcPr>
          <w:p w14:paraId="5E6BD96A" w14:textId="77777777" w:rsidR="0009344C" w:rsidRDefault="0009344C" w:rsidP="0009344C">
            <w:pPr>
              <w:contextualSpacing/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331 108</w:t>
            </w:r>
          </w:p>
        </w:tc>
        <w:tc>
          <w:tcPr>
            <w:tcW w:w="1726" w:type="dxa"/>
            <w:vAlign w:val="center"/>
          </w:tcPr>
          <w:p w14:paraId="6A80B1CA" w14:textId="77777777" w:rsidR="0009344C" w:rsidRDefault="0009344C" w:rsidP="0009344C">
            <w:pPr>
              <w:contextualSpacing/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171 910</w:t>
            </w:r>
          </w:p>
        </w:tc>
        <w:tc>
          <w:tcPr>
            <w:tcW w:w="2232" w:type="dxa"/>
            <w:vAlign w:val="center"/>
          </w:tcPr>
          <w:p w14:paraId="66317D01" w14:textId="77777777" w:rsidR="0009344C" w:rsidRDefault="0009344C" w:rsidP="0009344C">
            <w:pPr>
              <w:contextualSpacing/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108 746</w:t>
            </w:r>
          </w:p>
        </w:tc>
        <w:tc>
          <w:tcPr>
            <w:tcW w:w="1250" w:type="dxa"/>
            <w:vAlign w:val="center"/>
          </w:tcPr>
          <w:p w14:paraId="13957B6A" w14:textId="77777777" w:rsidR="0009344C" w:rsidRDefault="0009344C" w:rsidP="0009344C">
            <w:pPr>
              <w:contextualSpacing/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38 954</w:t>
            </w:r>
          </w:p>
        </w:tc>
        <w:tc>
          <w:tcPr>
            <w:tcW w:w="1340" w:type="dxa"/>
            <w:vAlign w:val="center"/>
          </w:tcPr>
          <w:p w14:paraId="68AC4222" w14:textId="77777777" w:rsidR="0009344C" w:rsidRDefault="0009344C" w:rsidP="0009344C">
            <w:pPr>
              <w:contextualSpacing/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11 498</w:t>
            </w:r>
          </w:p>
        </w:tc>
      </w:tr>
      <w:tr w:rsidR="0009344C" w14:paraId="7E68AA96" w14:textId="77777777" w:rsidTr="0009344C">
        <w:tc>
          <w:tcPr>
            <w:tcW w:w="2127" w:type="dxa"/>
          </w:tcPr>
          <w:p w14:paraId="39950AE4" w14:textId="77777777" w:rsidR="0009344C" w:rsidRDefault="0009344C" w:rsidP="0009344C">
            <w:pPr>
              <w:contextualSpacing/>
              <w:jc w:val="both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Выбыло</w:t>
            </w:r>
          </w:p>
        </w:tc>
        <w:tc>
          <w:tcPr>
            <w:tcW w:w="958" w:type="dxa"/>
            <w:vAlign w:val="center"/>
          </w:tcPr>
          <w:p w14:paraId="25CF8CD2" w14:textId="77777777" w:rsidR="0009344C" w:rsidRDefault="0009344C" w:rsidP="0009344C">
            <w:pPr>
              <w:contextualSpacing/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341 642</w:t>
            </w:r>
          </w:p>
        </w:tc>
        <w:tc>
          <w:tcPr>
            <w:tcW w:w="1726" w:type="dxa"/>
            <w:vAlign w:val="center"/>
          </w:tcPr>
          <w:p w14:paraId="265A0C6A" w14:textId="77777777" w:rsidR="0009344C" w:rsidRDefault="0009344C" w:rsidP="0009344C">
            <w:pPr>
              <w:contextualSpacing/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171 910</w:t>
            </w:r>
          </w:p>
        </w:tc>
        <w:tc>
          <w:tcPr>
            <w:tcW w:w="2232" w:type="dxa"/>
            <w:vAlign w:val="center"/>
          </w:tcPr>
          <w:p w14:paraId="679AF3DB" w14:textId="77777777" w:rsidR="0009344C" w:rsidRDefault="0009344C" w:rsidP="0009344C">
            <w:pPr>
              <w:contextualSpacing/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134 808</w:t>
            </w:r>
          </w:p>
        </w:tc>
        <w:tc>
          <w:tcPr>
            <w:tcW w:w="1250" w:type="dxa"/>
            <w:vAlign w:val="center"/>
          </w:tcPr>
          <w:p w14:paraId="3E89FEFC" w14:textId="77777777" w:rsidR="0009344C" w:rsidRDefault="0009344C" w:rsidP="0009344C">
            <w:pPr>
              <w:contextualSpacing/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26 340</w:t>
            </w:r>
          </w:p>
        </w:tc>
        <w:tc>
          <w:tcPr>
            <w:tcW w:w="1340" w:type="dxa"/>
            <w:vAlign w:val="center"/>
          </w:tcPr>
          <w:p w14:paraId="4F07EF00" w14:textId="77777777" w:rsidR="0009344C" w:rsidRDefault="0009344C" w:rsidP="0009344C">
            <w:pPr>
              <w:contextualSpacing/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8 559</w:t>
            </w:r>
          </w:p>
        </w:tc>
      </w:tr>
      <w:tr w:rsidR="0009344C" w14:paraId="1486705A" w14:textId="77777777" w:rsidTr="0009344C">
        <w:tc>
          <w:tcPr>
            <w:tcW w:w="2127" w:type="dxa"/>
          </w:tcPr>
          <w:p w14:paraId="106549A9" w14:textId="77777777" w:rsidR="0009344C" w:rsidRDefault="0009344C" w:rsidP="0009344C">
            <w:pPr>
              <w:contextualSpacing/>
              <w:jc w:val="both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Миграционный прирост</w:t>
            </w:r>
          </w:p>
        </w:tc>
        <w:tc>
          <w:tcPr>
            <w:tcW w:w="958" w:type="dxa"/>
            <w:vAlign w:val="center"/>
          </w:tcPr>
          <w:p w14:paraId="18C793F7" w14:textId="77777777" w:rsidR="0009344C" w:rsidRDefault="0009344C" w:rsidP="0009344C">
            <w:pPr>
              <w:contextualSpacing/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- 10 539</w:t>
            </w:r>
          </w:p>
        </w:tc>
        <w:tc>
          <w:tcPr>
            <w:tcW w:w="1726" w:type="dxa"/>
            <w:vAlign w:val="center"/>
          </w:tcPr>
          <w:p w14:paraId="3B842DB8" w14:textId="77777777" w:rsidR="0009344C" w:rsidRDefault="0009344C" w:rsidP="0009344C">
            <w:pPr>
              <w:contextualSpacing/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-</w:t>
            </w:r>
          </w:p>
        </w:tc>
        <w:tc>
          <w:tcPr>
            <w:tcW w:w="2232" w:type="dxa"/>
            <w:vAlign w:val="center"/>
          </w:tcPr>
          <w:p w14:paraId="58DAAE27" w14:textId="77777777" w:rsidR="0009344C" w:rsidRDefault="0009344C" w:rsidP="0009344C">
            <w:pPr>
              <w:contextualSpacing/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- 26 062</w:t>
            </w:r>
          </w:p>
        </w:tc>
        <w:tc>
          <w:tcPr>
            <w:tcW w:w="1250" w:type="dxa"/>
            <w:vAlign w:val="center"/>
          </w:tcPr>
          <w:p w14:paraId="585804DA" w14:textId="77777777" w:rsidR="0009344C" w:rsidRDefault="0009344C" w:rsidP="0009344C">
            <w:pPr>
              <w:contextualSpacing/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12 584</w:t>
            </w:r>
          </w:p>
        </w:tc>
        <w:tc>
          <w:tcPr>
            <w:tcW w:w="1340" w:type="dxa"/>
            <w:vAlign w:val="center"/>
          </w:tcPr>
          <w:p w14:paraId="43BF149C" w14:textId="77777777" w:rsidR="0009344C" w:rsidRDefault="0009344C" w:rsidP="0009344C">
            <w:pPr>
              <w:contextualSpacing/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2 939</w:t>
            </w:r>
          </w:p>
        </w:tc>
      </w:tr>
      <w:tr w:rsidR="0009344C" w14:paraId="47956B65" w14:textId="77777777" w:rsidTr="00C73F5D">
        <w:tc>
          <w:tcPr>
            <w:tcW w:w="9633" w:type="dxa"/>
            <w:gridSpan w:val="6"/>
            <w:vAlign w:val="center"/>
          </w:tcPr>
          <w:p w14:paraId="0490F1B5" w14:textId="77777777" w:rsidR="0009344C" w:rsidRPr="0079360E" w:rsidRDefault="0009344C" w:rsidP="0009344C">
            <w:pPr>
              <w:contextualSpacing/>
              <w:jc w:val="center"/>
              <w:rPr>
                <w:rFonts w:ascii="Times New Roman" w:hAnsi="Times New Roman" w:cs="Times New Roman"/>
                <w:b/>
                <w:sz w:val="28"/>
              </w:rPr>
            </w:pPr>
            <w:r>
              <w:rPr>
                <w:rFonts w:ascii="Times New Roman" w:hAnsi="Times New Roman" w:cs="Times New Roman"/>
                <w:b/>
                <w:sz w:val="28"/>
              </w:rPr>
              <w:t>2021</w:t>
            </w:r>
          </w:p>
        </w:tc>
      </w:tr>
      <w:tr w:rsidR="0009344C" w14:paraId="0415A6E3" w14:textId="77777777" w:rsidTr="0009344C">
        <w:tc>
          <w:tcPr>
            <w:tcW w:w="2127" w:type="dxa"/>
          </w:tcPr>
          <w:p w14:paraId="4A45D5D6" w14:textId="77777777" w:rsidR="0009344C" w:rsidRDefault="0009344C" w:rsidP="0009344C">
            <w:pPr>
              <w:contextualSpacing/>
              <w:jc w:val="both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Прибыло</w:t>
            </w:r>
          </w:p>
        </w:tc>
        <w:tc>
          <w:tcPr>
            <w:tcW w:w="958" w:type="dxa"/>
            <w:vAlign w:val="center"/>
          </w:tcPr>
          <w:p w14:paraId="74294BE7" w14:textId="77777777" w:rsidR="0009344C" w:rsidRDefault="0009344C" w:rsidP="0009344C">
            <w:pPr>
              <w:contextualSpacing/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311 864</w:t>
            </w:r>
          </w:p>
        </w:tc>
        <w:tc>
          <w:tcPr>
            <w:tcW w:w="1726" w:type="dxa"/>
            <w:vAlign w:val="center"/>
          </w:tcPr>
          <w:p w14:paraId="6F51E2F6" w14:textId="77777777" w:rsidR="0009344C" w:rsidRDefault="0009344C" w:rsidP="0009344C">
            <w:pPr>
              <w:contextualSpacing/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162 096</w:t>
            </w:r>
          </w:p>
        </w:tc>
        <w:tc>
          <w:tcPr>
            <w:tcW w:w="2232" w:type="dxa"/>
            <w:vAlign w:val="center"/>
          </w:tcPr>
          <w:p w14:paraId="337CF5EC" w14:textId="77777777" w:rsidR="0009344C" w:rsidRDefault="0009344C" w:rsidP="0009344C">
            <w:pPr>
              <w:contextualSpacing/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96 573</w:t>
            </w:r>
          </w:p>
        </w:tc>
        <w:tc>
          <w:tcPr>
            <w:tcW w:w="1250" w:type="dxa"/>
            <w:vAlign w:val="center"/>
          </w:tcPr>
          <w:p w14:paraId="5BF330A1" w14:textId="77777777" w:rsidR="0009344C" w:rsidRDefault="0009344C" w:rsidP="0009344C">
            <w:pPr>
              <w:contextualSpacing/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47 714</w:t>
            </w:r>
          </w:p>
        </w:tc>
        <w:tc>
          <w:tcPr>
            <w:tcW w:w="1340" w:type="dxa"/>
            <w:vAlign w:val="center"/>
          </w:tcPr>
          <w:p w14:paraId="1B9D7EC9" w14:textId="77777777" w:rsidR="0009344C" w:rsidRDefault="0009344C" w:rsidP="0009344C">
            <w:pPr>
              <w:contextualSpacing/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5 481</w:t>
            </w:r>
          </w:p>
        </w:tc>
      </w:tr>
      <w:tr w:rsidR="0009344C" w14:paraId="3C06920F" w14:textId="77777777" w:rsidTr="0009344C">
        <w:tc>
          <w:tcPr>
            <w:tcW w:w="2127" w:type="dxa"/>
          </w:tcPr>
          <w:p w14:paraId="4DAFF8FA" w14:textId="77777777" w:rsidR="0009344C" w:rsidRDefault="0009344C" w:rsidP="0009344C">
            <w:pPr>
              <w:contextualSpacing/>
              <w:jc w:val="both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Выбыло</w:t>
            </w:r>
          </w:p>
        </w:tc>
        <w:tc>
          <w:tcPr>
            <w:tcW w:w="958" w:type="dxa"/>
            <w:vAlign w:val="center"/>
          </w:tcPr>
          <w:p w14:paraId="72EF7698" w14:textId="77777777" w:rsidR="0009344C" w:rsidRDefault="0009344C" w:rsidP="0009344C">
            <w:pPr>
              <w:contextualSpacing/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304 419</w:t>
            </w:r>
          </w:p>
        </w:tc>
        <w:tc>
          <w:tcPr>
            <w:tcW w:w="1726" w:type="dxa"/>
            <w:vAlign w:val="center"/>
          </w:tcPr>
          <w:p w14:paraId="67A59502" w14:textId="77777777" w:rsidR="0009344C" w:rsidRDefault="0009344C" w:rsidP="0009344C">
            <w:pPr>
              <w:contextualSpacing/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162 096</w:t>
            </w:r>
          </w:p>
        </w:tc>
        <w:tc>
          <w:tcPr>
            <w:tcW w:w="2232" w:type="dxa"/>
            <w:vAlign w:val="center"/>
          </w:tcPr>
          <w:p w14:paraId="56526E3A" w14:textId="77777777" w:rsidR="0009344C" w:rsidRDefault="0009344C" w:rsidP="0009344C">
            <w:pPr>
              <w:contextualSpacing/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123 809</w:t>
            </w:r>
          </w:p>
        </w:tc>
        <w:tc>
          <w:tcPr>
            <w:tcW w:w="1250" w:type="dxa"/>
            <w:vAlign w:val="center"/>
          </w:tcPr>
          <w:p w14:paraId="335B949E" w14:textId="77777777" w:rsidR="0009344C" w:rsidRDefault="0009344C" w:rsidP="0009344C">
            <w:pPr>
              <w:contextualSpacing/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16 498</w:t>
            </w:r>
          </w:p>
        </w:tc>
        <w:tc>
          <w:tcPr>
            <w:tcW w:w="1340" w:type="dxa"/>
            <w:vAlign w:val="center"/>
          </w:tcPr>
          <w:p w14:paraId="5B613A4D" w14:textId="77777777" w:rsidR="0009344C" w:rsidRDefault="0009344C" w:rsidP="0009344C">
            <w:pPr>
              <w:contextualSpacing/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2 016</w:t>
            </w:r>
          </w:p>
        </w:tc>
      </w:tr>
      <w:tr w:rsidR="0009344C" w14:paraId="06E8AF7B" w14:textId="77777777" w:rsidTr="0009344C">
        <w:tc>
          <w:tcPr>
            <w:tcW w:w="2127" w:type="dxa"/>
          </w:tcPr>
          <w:p w14:paraId="631E2D7A" w14:textId="77777777" w:rsidR="0009344C" w:rsidRDefault="0009344C" w:rsidP="0009344C">
            <w:pPr>
              <w:contextualSpacing/>
              <w:jc w:val="both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Миграционный прирост</w:t>
            </w:r>
          </w:p>
        </w:tc>
        <w:tc>
          <w:tcPr>
            <w:tcW w:w="958" w:type="dxa"/>
            <w:vAlign w:val="center"/>
          </w:tcPr>
          <w:p w14:paraId="17C38DF8" w14:textId="77777777" w:rsidR="0009344C" w:rsidRDefault="0009344C" w:rsidP="0009344C">
            <w:pPr>
              <w:contextualSpacing/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7 445</w:t>
            </w:r>
          </w:p>
        </w:tc>
        <w:tc>
          <w:tcPr>
            <w:tcW w:w="1726" w:type="dxa"/>
            <w:vAlign w:val="center"/>
          </w:tcPr>
          <w:p w14:paraId="442A251B" w14:textId="77777777" w:rsidR="0009344C" w:rsidRDefault="0009344C" w:rsidP="0009344C">
            <w:pPr>
              <w:contextualSpacing/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-</w:t>
            </w:r>
          </w:p>
        </w:tc>
        <w:tc>
          <w:tcPr>
            <w:tcW w:w="2232" w:type="dxa"/>
            <w:vAlign w:val="center"/>
          </w:tcPr>
          <w:p w14:paraId="1FDE57A0" w14:textId="77777777" w:rsidR="0009344C" w:rsidRDefault="0009344C" w:rsidP="0009344C">
            <w:pPr>
              <w:contextualSpacing/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- 27 236</w:t>
            </w:r>
          </w:p>
        </w:tc>
        <w:tc>
          <w:tcPr>
            <w:tcW w:w="1250" w:type="dxa"/>
            <w:vAlign w:val="center"/>
          </w:tcPr>
          <w:p w14:paraId="2FD44E4C" w14:textId="77777777" w:rsidR="0009344C" w:rsidRDefault="0009344C" w:rsidP="0009344C">
            <w:pPr>
              <w:contextualSpacing/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31 216</w:t>
            </w:r>
          </w:p>
        </w:tc>
        <w:tc>
          <w:tcPr>
            <w:tcW w:w="1340" w:type="dxa"/>
            <w:vAlign w:val="center"/>
          </w:tcPr>
          <w:p w14:paraId="7ECC83C9" w14:textId="77777777" w:rsidR="0009344C" w:rsidRDefault="0009344C" w:rsidP="0009344C">
            <w:pPr>
              <w:contextualSpacing/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3 465</w:t>
            </w:r>
          </w:p>
        </w:tc>
      </w:tr>
    </w:tbl>
    <w:p w14:paraId="27A0C618" w14:textId="77777777" w:rsidR="0009344C" w:rsidRDefault="0009344C" w:rsidP="0009344C">
      <w:pPr>
        <w:spacing w:before="120" w:after="0" w:line="360" w:lineRule="auto"/>
        <w:ind w:firstLine="709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Таким образом, самый большой отток населения с Дальнего Востока происходит в другие регионы России, далее в страны СНГ и меньше всего уезжает в страны дальнего зарубежья. Наглядно эта статистика представлена на рисунке 2.</w:t>
      </w:r>
    </w:p>
    <w:p w14:paraId="5DDC5A56" w14:textId="77777777" w:rsidR="0009344C" w:rsidRDefault="0009344C" w:rsidP="0009344C">
      <w:pPr>
        <w:spacing w:before="120" w:after="0" w:line="360" w:lineRule="auto"/>
        <w:ind w:firstLine="709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noProof/>
          <w:sz w:val="28"/>
        </w:rPr>
        <w:lastRenderedPageBreak/>
        <w:drawing>
          <wp:inline distT="0" distB="0" distL="0" distR="0" wp14:anchorId="1B5D5965" wp14:editId="0655CF33">
            <wp:extent cx="5072380" cy="2171700"/>
            <wp:effectExtent l="0" t="0" r="0" b="0"/>
            <wp:docPr id="3" name="Диаграмма 3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8"/>
              </a:graphicData>
            </a:graphic>
          </wp:inline>
        </w:drawing>
      </w:r>
    </w:p>
    <w:p w14:paraId="69828A5A" w14:textId="753DF37B" w:rsidR="0009344C" w:rsidRDefault="0009344C" w:rsidP="0009344C">
      <w:pPr>
        <w:spacing w:before="120" w:after="240" w:line="360" w:lineRule="auto"/>
        <w:ind w:firstLine="709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Рисунок 2 – География выбытия населения с ДВ за 2019-2021 года, чел</w:t>
      </w:r>
      <w:r w:rsidR="003B2C5D">
        <w:rPr>
          <w:rFonts w:ascii="Times New Roman" w:hAnsi="Times New Roman" w:cs="Times New Roman"/>
          <w:sz w:val="28"/>
        </w:rPr>
        <w:t>.</w:t>
      </w:r>
    </w:p>
    <w:p w14:paraId="4FB5AE24" w14:textId="2043BD8E" w:rsidR="0009344C" w:rsidRPr="00611059" w:rsidRDefault="0009344C" w:rsidP="0009344C">
      <w:pPr>
        <w:spacing w:after="0" w:line="360" w:lineRule="auto"/>
        <w:ind w:firstLine="709"/>
        <w:jc w:val="both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sz w:val="28"/>
        </w:rPr>
        <w:t xml:space="preserve">Рассматривая вопрос миграции, нужно понимать, что регион не просто уменьшается за счет </w:t>
      </w:r>
      <w:r w:rsidR="00EF3D25">
        <w:rPr>
          <w:rFonts w:ascii="Times New Roman" w:hAnsi="Times New Roman" w:cs="Times New Roman"/>
          <w:sz w:val="28"/>
        </w:rPr>
        <w:t>значимого</w:t>
      </w:r>
      <w:r>
        <w:rPr>
          <w:rFonts w:ascii="Times New Roman" w:hAnsi="Times New Roman" w:cs="Times New Roman"/>
          <w:sz w:val="28"/>
        </w:rPr>
        <w:t xml:space="preserve"> оттока населения, но и теряет качественные трудовые ресурсы</w:t>
      </w:r>
      <w:r w:rsidR="008C2829">
        <w:rPr>
          <w:rFonts w:ascii="Times New Roman" w:hAnsi="Times New Roman" w:cs="Times New Roman"/>
          <w:sz w:val="28"/>
        </w:rPr>
        <w:t xml:space="preserve"> (чаще всего именно трудоспособное население покидает регион)</w:t>
      </w:r>
      <w:r>
        <w:rPr>
          <w:rFonts w:ascii="Times New Roman" w:hAnsi="Times New Roman" w:cs="Times New Roman"/>
          <w:sz w:val="28"/>
        </w:rPr>
        <w:t>, в том числе</w:t>
      </w:r>
      <w:r w:rsidR="00EF3D25">
        <w:rPr>
          <w:rFonts w:ascii="Times New Roman" w:hAnsi="Times New Roman" w:cs="Times New Roman"/>
          <w:sz w:val="28"/>
        </w:rPr>
        <w:t xml:space="preserve"> и</w:t>
      </w:r>
      <w:r>
        <w:rPr>
          <w:rFonts w:ascii="Times New Roman" w:hAnsi="Times New Roman" w:cs="Times New Roman"/>
          <w:sz w:val="28"/>
        </w:rPr>
        <w:t xml:space="preserve"> таланты. Т</w:t>
      </w:r>
      <w:r w:rsidR="008C2829">
        <w:rPr>
          <w:rFonts w:ascii="Times New Roman" w:hAnsi="Times New Roman" w:cs="Times New Roman"/>
          <w:sz w:val="28"/>
        </w:rPr>
        <w:t xml:space="preserve">аким образом, </w:t>
      </w:r>
      <w:r>
        <w:rPr>
          <w:rFonts w:ascii="Times New Roman" w:hAnsi="Times New Roman" w:cs="Times New Roman"/>
          <w:sz w:val="28"/>
        </w:rPr>
        <w:t>другие регионы и страны могут предложить талантам то, что на Дальнем Востоке работодатели не предлагают и, соответственно, переманить их к себе.</w:t>
      </w:r>
    </w:p>
    <w:p w14:paraId="5F3492A2" w14:textId="6EAD2BF7" w:rsidR="0009344C" w:rsidRDefault="0009344C" w:rsidP="00651F5B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  <w:r w:rsidRPr="00C16EA1">
        <w:rPr>
          <w:rFonts w:ascii="Times New Roman" w:hAnsi="Times New Roman" w:cs="Times New Roman"/>
          <w:b/>
          <w:sz w:val="28"/>
          <w:szCs w:val="28"/>
        </w:rPr>
        <w:t>Цели и задачи исследования</w:t>
      </w:r>
    </w:p>
    <w:p w14:paraId="022290AE" w14:textId="290467B1" w:rsidR="00651F5B" w:rsidRPr="00B708E9" w:rsidRDefault="00651F5B" w:rsidP="00651F5B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</w:rPr>
      </w:pPr>
      <w:r w:rsidRPr="00B708E9">
        <w:rPr>
          <w:rFonts w:ascii="Times New Roman" w:hAnsi="Times New Roman" w:cs="Times New Roman"/>
          <w:sz w:val="28"/>
        </w:rPr>
        <w:t>Цель исследования заключается в</w:t>
      </w:r>
      <w:r w:rsidR="00BE636B" w:rsidRPr="00B708E9">
        <w:rPr>
          <w:rFonts w:ascii="Times New Roman" w:hAnsi="Times New Roman" w:cs="Times New Roman"/>
          <w:sz w:val="28"/>
        </w:rPr>
        <w:t xml:space="preserve"> </w:t>
      </w:r>
      <w:r w:rsidR="00B708E9" w:rsidRPr="00B708E9">
        <w:rPr>
          <w:rFonts w:ascii="Times New Roman" w:hAnsi="Times New Roman" w:cs="Times New Roman"/>
          <w:sz w:val="28"/>
        </w:rPr>
        <w:t xml:space="preserve">выявлении ключевых </w:t>
      </w:r>
      <w:r w:rsidR="00146A0B">
        <w:rPr>
          <w:rFonts w:ascii="Times New Roman" w:hAnsi="Times New Roman" w:cs="Times New Roman"/>
          <w:sz w:val="28"/>
        </w:rPr>
        <w:t>э</w:t>
      </w:r>
      <w:r w:rsidR="007D15AE">
        <w:rPr>
          <w:rFonts w:ascii="Times New Roman" w:hAnsi="Times New Roman" w:cs="Times New Roman"/>
          <w:sz w:val="28"/>
        </w:rPr>
        <w:t>лементов</w:t>
      </w:r>
      <w:r w:rsidR="00146A0B">
        <w:rPr>
          <w:rFonts w:ascii="Times New Roman" w:hAnsi="Times New Roman" w:cs="Times New Roman"/>
          <w:sz w:val="28"/>
        </w:rPr>
        <w:t xml:space="preserve"> </w:t>
      </w:r>
      <w:r w:rsidR="00B708E9" w:rsidRPr="00B708E9">
        <w:rPr>
          <w:rFonts w:ascii="Times New Roman" w:hAnsi="Times New Roman" w:cs="Times New Roman"/>
          <w:sz w:val="28"/>
        </w:rPr>
        <w:t>управления талантами на микроуровне</w:t>
      </w:r>
      <w:r w:rsidR="00730E0C">
        <w:rPr>
          <w:rFonts w:ascii="Times New Roman" w:hAnsi="Times New Roman" w:cs="Times New Roman"/>
          <w:sz w:val="28"/>
        </w:rPr>
        <w:t xml:space="preserve"> (на примере</w:t>
      </w:r>
      <w:r w:rsidR="00146A0B">
        <w:rPr>
          <w:rFonts w:ascii="Times New Roman" w:hAnsi="Times New Roman" w:cs="Times New Roman"/>
          <w:sz w:val="28"/>
        </w:rPr>
        <w:t xml:space="preserve"> компаний</w:t>
      </w:r>
      <w:r w:rsidR="00730E0C">
        <w:rPr>
          <w:rFonts w:ascii="Times New Roman" w:hAnsi="Times New Roman" w:cs="Times New Roman"/>
          <w:sz w:val="28"/>
        </w:rPr>
        <w:t xml:space="preserve"> Приморского края)</w:t>
      </w:r>
      <w:r w:rsidR="00730E0C" w:rsidRPr="008C2829">
        <w:rPr>
          <w:rFonts w:ascii="Times New Roman" w:hAnsi="Times New Roman" w:cs="Times New Roman"/>
          <w:sz w:val="28"/>
        </w:rPr>
        <w:t>.</w:t>
      </w:r>
    </w:p>
    <w:p w14:paraId="401FFC76" w14:textId="7AC18300" w:rsidR="00651F5B" w:rsidRDefault="00651F5B" w:rsidP="00651F5B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Данная цель была разбита на следующие задачи:</w:t>
      </w:r>
    </w:p>
    <w:p w14:paraId="46C59190" w14:textId="17E752FC" w:rsidR="00651F5B" w:rsidRDefault="00651F5B" w:rsidP="00651F5B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</w:rPr>
      </w:pPr>
      <w:r w:rsidRPr="00823523">
        <w:rPr>
          <w:rFonts w:ascii="Times New Roman" w:hAnsi="Times New Roman" w:cs="Times New Roman"/>
          <w:sz w:val="28"/>
        </w:rPr>
        <w:t xml:space="preserve">1 </w:t>
      </w:r>
      <w:r w:rsidR="008C2829">
        <w:rPr>
          <w:rFonts w:ascii="Times New Roman" w:hAnsi="Times New Roman" w:cs="Times New Roman"/>
          <w:sz w:val="28"/>
        </w:rPr>
        <w:t xml:space="preserve">определить </w:t>
      </w:r>
      <w:r w:rsidR="00177C03">
        <w:rPr>
          <w:rFonts w:ascii="Times New Roman" w:hAnsi="Times New Roman" w:cs="Times New Roman"/>
          <w:sz w:val="28"/>
        </w:rPr>
        <w:t>особенности</w:t>
      </w:r>
      <w:r>
        <w:rPr>
          <w:rFonts w:ascii="Times New Roman" w:hAnsi="Times New Roman" w:cs="Times New Roman"/>
          <w:sz w:val="28"/>
        </w:rPr>
        <w:t xml:space="preserve"> «талант</w:t>
      </w:r>
      <w:r w:rsidR="008C2829">
        <w:rPr>
          <w:rFonts w:ascii="Times New Roman" w:hAnsi="Times New Roman" w:cs="Times New Roman"/>
          <w:sz w:val="28"/>
        </w:rPr>
        <w:t>ливого</w:t>
      </w:r>
      <w:r w:rsidR="00177C03">
        <w:rPr>
          <w:rFonts w:ascii="Times New Roman" w:hAnsi="Times New Roman" w:cs="Times New Roman"/>
          <w:sz w:val="28"/>
        </w:rPr>
        <w:t>»</w:t>
      </w:r>
      <w:r w:rsidR="008C2829">
        <w:rPr>
          <w:rFonts w:ascii="Times New Roman" w:hAnsi="Times New Roman" w:cs="Times New Roman"/>
          <w:sz w:val="28"/>
        </w:rPr>
        <w:t xml:space="preserve"> сотрудника</w:t>
      </w:r>
      <w:r>
        <w:rPr>
          <w:rFonts w:ascii="Times New Roman" w:hAnsi="Times New Roman" w:cs="Times New Roman"/>
          <w:sz w:val="28"/>
        </w:rPr>
        <w:t>;</w:t>
      </w:r>
    </w:p>
    <w:p w14:paraId="06671D91" w14:textId="3884D9E9" w:rsidR="00651F5B" w:rsidRPr="00B708E9" w:rsidRDefault="00EF3D25" w:rsidP="00651F5B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</w:rPr>
      </w:pPr>
      <w:r w:rsidRPr="00B708E9">
        <w:rPr>
          <w:rFonts w:ascii="Times New Roman" w:hAnsi="Times New Roman" w:cs="Times New Roman"/>
          <w:sz w:val="28"/>
        </w:rPr>
        <w:t>2</w:t>
      </w:r>
      <w:r w:rsidR="00651F5B" w:rsidRPr="00B708E9">
        <w:rPr>
          <w:rFonts w:ascii="Times New Roman" w:hAnsi="Times New Roman" w:cs="Times New Roman"/>
          <w:sz w:val="28"/>
        </w:rPr>
        <w:t xml:space="preserve"> охарактеризовать подходы к процессу управлению талантами;</w:t>
      </w:r>
    </w:p>
    <w:p w14:paraId="5196FA42" w14:textId="3EC5185C" w:rsidR="00651F5B" w:rsidRDefault="00EF3D25" w:rsidP="00651F5B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</w:rPr>
      </w:pPr>
      <w:r w:rsidRPr="00B708E9">
        <w:rPr>
          <w:rFonts w:ascii="Times New Roman" w:hAnsi="Times New Roman" w:cs="Times New Roman"/>
          <w:sz w:val="28"/>
        </w:rPr>
        <w:t>3</w:t>
      </w:r>
      <w:r w:rsidR="00651F5B" w:rsidRPr="00B708E9">
        <w:rPr>
          <w:rFonts w:ascii="Times New Roman" w:hAnsi="Times New Roman" w:cs="Times New Roman"/>
          <w:sz w:val="28"/>
        </w:rPr>
        <w:t xml:space="preserve"> выявить основные </w:t>
      </w:r>
      <w:r w:rsidR="00146A0B">
        <w:rPr>
          <w:rFonts w:ascii="Times New Roman" w:hAnsi="Times New Roman" w:cs="Times New Roman"/>
          <w:sz w:val="28"/>
        </w:rPr>
        <w:t xml:space="preserve">элементы и этапы </w:t>
      </w:r>
      <w:r w:rsidR="00651F5B" w:rsidRPr="00B708E9">
        <w:rPr>
          <w:rFonts w:ascii="Times New Roman" w:hAnsi="Times New Roman" w:cs="Times New Roman"/>
          <w:sz w:val="28"/>
        </w:rPr>
        <w:t>процесса управления талантами</w:t>
      </w:r>
      <w:r w:rsidR="00730E0C">
        <w:rPr>
          <w:rFonts w:ascii="Times New Roman" w:hAnsi="Times New Roman" w:cs="Times New Roman"/>
          <w:sz w:val="28"/>
        </w:rPr>
        <w:t>;</w:t>
      </w:r>
    </w:p>
    <w:p w14:paraId="18821E22" w14:textId="2AB7D3B9" w:rsidR="00730E0C" w:rsidRPr="00B708E9" w:rsidRDefault="00730E0C" w:rsidP="00651F5B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4 определить наиболее часто встречающиеся причины увольнения талантливых сотрудников;</w:t>
      </w:r>
    </w:p>
    <w:p w14:paraId="60A30F5C" w14:textId="7CD6E078" w:rsidR="00651F5B" w:rsidRPr="008C2829" w:rsidRDefault="00730E0C" w:rsidP="00651F5B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trike/>
          <w:sz w:val="28"/>
        </w:rPr>
      </w:pPr>
      <w:r>
        <w:rPr>
          <w:rFonts w:ascii="Times New Roman" w:hAnsi="Times New Roman" w:cs="Times New Roman"/>
          <w:sz w:val="28"/>
        </w:rPr>
        <w:t>5</w:t>
      </w:r>
      <w:r w:rsidR="00651F5B" w:rsidRPr="008C2829">
        <w:rPr>
          <w:rFonts w:ascii="Times New Roman" w:hAnsi="Times New Roman" w:cs="Times New Roman"/>
          <w:sz w:val="28"/>
        </w:rPr>
        <w:t xml:space="preserve"> </w:t>
      </w:r>
      <w:r w:rsidR="008C2829" w:rsidRPr="008C2829">
        <w:rPr>
          <w:rFonts w:ascii="Times New Roman" w:hAnsi="Times New Roman" w:cs="Times New Roman"/>
          <w:sz w:val="28"/>
        </w:rPr>
        <w:t>раскрыть</w:t>
      </w:r>
      <w:r w:rsidR="008C2829">
        <w:rPr>
          <w:rFonts w:ascii="Times New Roman" w:hAnsi="Times New Roman" w:cs="Times New Roman"/>
          <w:sz w:val="28"/>
        </w:rPr>
        <w:t xml:space="preserve"> наиболее</w:t>
      </w:r>
      <w:r w:rsidR="008C2829" w:rsidRPr="008C2829">
        <w:rPr>
          <w:rFonts w:ascii="Times New Roman" w:hAnsi="Times New Roman" w:cs="Times New Roman"/>
          <w:sz w:val="28"/>
        </w:rPr>
        <w:t xml:space="preserve"> значим</w:t>
      </w:r>
      <w:r w:rsidR="008C2829">
        <w:rPr>
          <w:rFonts w:ascii="Times New Roman" w:hAnsi="Times New Roman" w:cs="Times New Roman"/>
          <w:sz w:val="28"/>
        </w:rPr>
        <w:t xml:space="preserve">ые </w:t>
      </w:r>
      <w:r w:rsidR="007D15AE">
        <w:rPr>
          <w:rFonts w:ascii="Times New Roman" w:hAnsi="Times New Roman" w:cs="Times New Roman"/>
          <w:sz w:val="28"/>
        </w:rPr>
        <w:t>элементы</w:t>
      </w:r>
      <w:r w:rsidR="008C2829" w:rsidRPr="008C2829">
        <w:rPr>
          <w:rFonts w:ascii="Times New Roman" w:hAnsi="Times New Roman" w:cs="Times New Roman"/>
          <w:sz w:val="28"/>
        </w:rPr>
        <w:t xml:space="preserve"> процесса управления талантами на </w:t>
      </w:r>
      <w:r w:rsidR="00B708E9">
        <w:rPr>
          <w:rFonts w:ascii="Times New Roman" w:hAnsi="Times New Roman" w:cs="Times New Roman"/>
          <w:sz w:val="28"/>
        </w:rPr>
        <w:t>предприятиях</w:t>
      </w:r>
      <w:r w:rsidR="008C2829">
        <w:rPr>
          <w:rFonts w:ascii="Times New Roman" w:hAnsi="Times New Roman" w:cs="Times New Roman"/>
          <w:sz w:val="28"/>
        </w:rPr>
        <w:t xml:space="preserve"> (на примере</w:t>
      </w:r>
      <w:r w:rsidR="00146A0B">
        <w:rPr>
          <w:rFonts w:ascii="Times New Roman" w:hAnsi="Times New Roman" w:cs="Times New Roman"/>
          <w:sz w:val="28"/>
        </w:rPr>
        <w:t xml:space="preserve"> компаний</w:t>
      </w:r>
      <w:r w:rsidR="008C2829">
        <w:rPr>
          <w:rFonts w:ascii="Times New Roman" w:hAnsi="Times New Roman" w:cs="Times New Roman"/>
          <w:sz w:val="28"/>
        </w:rPr>
        <w:t xml:space="preserve"> Приморского края)</w:t>
      </w:r>
      <w:r w:rsidR="008C2829" w:rsidRPr="008C2829">
        <w:rPr>
          <w:rFonts w:ascii="Times New Roman" w:hAnsi="Times New Roman" w:cs="Times New Roman"/>
          <w:sz w:val="28"/>
        </w:rPr>
        <w:t>.</w:t>
      </w:r>
    </w:p>
    <w:p w14:paraId="7EEA303B" w14:textId="420A245A" w:rsidR="0009344C" w:rsidRPr="00F93086" w:rsidRDefault="0009344C" w:rsidP="0009344C">
      <w:pPr>
        <w:spacing w:line="360" w:lineRule="auto"/>
        <w:ind w:firstLine="709"/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  <w:r w:rsidRPr="00F93086">
        <w:rPr>
          <w:rFonts w:ascii="Times New Roman" w:hAnsi="Times New Roman" w:cs="Times New Roman"/>
          <w:b/>
          <w:sz w:val="28"/>
          <w:szCs w:val="28"/>
        </w:rPr>
        <w:t>Методы исследования</w:t>
      </w:r>
    </w:p>
    <w:p w14:paraId="7EE1BDB0" w14:textId="66AF1B63" w:rsidR="00177C03" w:rsidRPr="00F93086" w:rsidRDefault="00177C03" w:rsidP="00177C03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F93086">
        <w:rPr>
          <w:rFonts w:ascii="Times New Roman" w:hAnsi="Times New Roman" w:cs="Times New Roman"/>
          <w:sz w:val="28"/>
          <w:szCs w:val="28"/>
        </w:rPr>
        <w:t>Для решения поставленных задач были использованы следующие методы:</w:t>
      </w:r>
    </w:p>
    <w:p w14:paraId="25818E83" w14:textId="095970E1" w:rsidR="00177C03" w:rsidRPr="00F93086" w:rsidRDefault="00177C03" w:rsidP="00177C03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F93086">
        <w:rPr>
          <w:rFonts w:ascii="Times New Roman" w:hAnsi="Times New Roman" w:cs="Times New Roman"/>
          <w:sz w:val="28"/>
          <w:szCs w:val="28"/>
        </w:rPr>
        <w:lastRenderedPageBreak/>
        <w:t xml:space="preserve">- анализ и обобщение, применяемые для выделения и фиксации особенностей и характеристик как талантливого сотрудника, так и </w:t>
      </w:r>
      <w:r w:rsidR="00E45DD3" w:rsidRPr="00F93086">
        <w:rPr>
          <w:rFonts w:ascii="Times New Roman" w:hAnsi="Times New Roman" w:cs="Times New Roman"/>
          <w:sz w:val="28"/>
          <w:szCs w:val="28"/>
        </w:rPr>
        <w:t>процесса управления талантами</w:t>
      </w:r>
      <w:r w:rsidRPr="00F93086">
        <w:rPr>
          <w:rFonts w:ascii="Times New Roman" w:hAnsi="Times New Roman" w:cs="Times New Roman"/>
          <w:sz w:val="28"/>
          <w:szCs w:val="28"/>
        </w:rPr>
        <w:t>;</w:t>
      </w:r>
    </w:p>
    <w:p w14:paraId="1A8D80E0" w14:textId="77777777" w:rsidR="00E45DD3" w:rsidRPr="00F93086" w:rsidRDefault="00E45DD3" w:rsidP="00E45DD3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F93086">
        <w:rPr>
          <w:rFonts w:ascii="Times New Roman" w:hAnsi="Times New Roman" w:cs="Times New Roman"/>
          <w:sz w:val="28"/>
          <w:szCs w:val="28"/>
        </w:rPr>
        <w:t>- аналогия, необходимая для переноса знаний о традиционном управлении персоналом на процесс управление талантами;</w:t>
      </w:r>
    </w:p>
    <w:p w14:paraId="55BB9A94" w14:textId="3E3CF7EA" w:rsidR="00E45DD3" w:rsidRPr="00F93086" w:rsidRDefault="00E45DD3" w:rsidP="00E45DD3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F93086">
        <w:rPr>
          <w:rFonts w:ascii="Times New Roman" w:hAnsi="Times New Roman" w:cs="Times New Roman"/>
          <w:sz w:val="28"/>
          <w:szCs w:val="28"/>
        </w:rPr>
        <w:t>- компаративный анализ, используемый для определения различий в подходах к процессу управления талантами;</w:t>
      </w:r>
    </w:p>
    <w:p w14:paraId="43FFA94B" w14:textId="4582F454" w:rsidR="00E45DD3" w:rsidRPr="00F93086" w:rsidRDefault="00E45DD3" w:rsidP="00E45DD3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F93086">
        <w:rPr>
          <w:rFonts w:ascii="Times New Roman" w:hAnsi="Times New Roman" w:cs="Times New Roman"/>
          <w:sz w:val="28"/>
          <w:szCs w:val="28"/>
        </w:rPr>
        <w:t xml:space="preserve">- опрос, </w:t>
      </w:r>
      <w:r w:rsidR="00F93086" w:rsidRPr="00F93086">
        <w:rPr>
          <w:rFonts w:ascii="Times New Roman" w:hAnsi="Times New Roman" w:cs="Times New Roman"/>
          <w:sz w:val="28"/>
          <w:szCs w:val="28"/>
        </w:rPr>
        <w:t>необходимый для</w:t>
      </w:r>
      <w:r w:rsidRPr="00F93086">
        <w:rPr>
          <w:rFonts w:ascii="Times New Roman" w:hAnsi="Times New Roman" w:cs="Times New Roman"/>
          <w:sz w:val="28"/>
          <w:szCs w:val="28"/>
        </w:rPr>
        <w:t xml:space="preserve"> </w:t>
      </w:r>
      <w:r w:rsidR="00F93086" w:rsidRPr="00F93086">
        <w:rPr>
          <w:rFonts w:ascii="Times New Roman" w:hAnsi="Times New Roman" w:cs="Times New Roman"/>
          <w:sz w:val="28"/>
          <w:szCs w:val="28"/>
        </w:rPr>
        <w:t>понимания</w:t>
      </w:r>
      <w:r w:rsidRPr="00F93086">
        <w:rPr>
          <w:rFonts w:ascii="Times New Roman" w:hAnsi="Times New Roman" w:cs="Times New Roman"/>
          <w:sz w:val="28"/>
          <w:szCs w:val="28"/>
        </w:rPr>
        <w:t xml:space="preserve"> </w:t>
      </w:r>
      <w:r w:rsidR="00F93086" w:rsidRPr="00F93086">
        <w:rPr>
          <w:rFonts w:ascii="Times New Roman" w:hAnsi="Times New Roman" w:cs="Times New Roman"/>
          <w:sz w:val="28"/>
          <w:szCs w:val="28"/>
        </w:rPr>
        <w:t xml:space="preserve">видения </w:t>
      </w:r>
      <w:r w:rsidRPr="00F93086">
        <w:rPr>
          <w:rFonts w:ascii="Times New Roman" w:hAnsi="Times New Roman" w:cs="Times New Roman"/>
          <w:sz w:val="28"/>
          <w:szCs w:val="28"/>
        </w:rPr>
        <w:t>различных компаний Приморского края процесс</w:t>
      </w:r>
      <w:r w:rsidR="00F93086" w:rsidRPr="00F93086">
        <w:rPr>
          <w:rFonts w:ascii="Times New Roman" w:hAnsi="Times New Roman" w:cs="Times New Roman"/>
          <w:sz w:val="28"/>
          <w:szCs w:val="28"/>
        </w:rPr>
        <w:t>а</w:t>
      </w:r>
      <w:r w:rsidRPr="00F93086">
        <w:rPr>
          <w:rFonts w:ascii="Times New Roman" w:hAnsi="Times New Roman" w:cs="Times New Roman"/>
          <w:sz w:val="28"/>
          <w:szCs w:val="28"/>
        </w:rPr>
        <w:t xml:space="preserve"> управления талантами и сложностями, связанными </w:t>
      </w:r>
      <w:r w:rsidR="00F93086" w:rsidRPr="00F93086">
        <w:rPr>
          <w:rFonts w:ascii="Times New Roman" w:hAnsi="Times New Roman" w:cs="Times New Roman"/>
          <w:sz w:val="28"/>
          <w:szCs w:val="28"/>
        </w:rPr>
        <w:t>с ним;</w:t>
      </w:r>
    </w:p>
    <w:p w14:paraId="39FA155D" w14:textId="1DE564AC" w:rsidR="00E45DD3" w:rsidRDefault="00177C03" w:rsidP="00177C03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color w:val="FF0000"/>
          <w:sz w:val="28"/>
          <w:szCs w:val="28"/>
        </w:rPr>
      </w:pPr>
      <w:r w:rsidRPr="00F93086">
        <w:rPr>
          <w:rFonts w:ascii="Times New Roman" w:hAnsi="Times New Roman" w:cs="Times New Roman"/>
          <w:sz w:val="28"/>
          <w:szCs w:val="28"/>
        </w:rPr>
        <w:t xml:space="preserve">- </w:t>
      </w:r>
      <w:r w:rsidR="00E45DD3" w:rsidRPr="00F93086">
        <w:rPr>
          <w:rFonts w:ascii="Times New Roman" w:hAnsi="Times New Roman" w:cs="Times New Roman"/>
          <w:sz w:val="28"/>
          <w:szCs w:val="28"/>
        </w:rPr>
        <w:t>систематизация</w:t>
      </w:r>
      <w:r w:rsidRPr="00F93086">
        <w:rPr>
          <w:rFonts w:ascii="Times New Roman" w:hAnsi="Times New Roman" w:cs="Times New Roman"/>
          <w:sz w:val="28"/>
          <w:szCs w:val="28"/>
        </w:rPr>
        <w:t>, позволяющ</w:t>
      </w:r>
      <w:r w:rsidR="00F93086" w:rsidRPr="00F93086">
        <w:rPr>
          <w:rFonts w:ascii="Times New Roman" w:hAnsi="Times New Roman" w:cs="Times New Roman"/>
          <w:sz w:val="28"/>
          <w:szCs w:val="28"/>
        </w:rPr>
        <w:t>ая сделать выводы и дать рекомендации по результатам проведенного опроса</w:t>
      </w:r>
      <w:r w:rsidRPr="00F93086">
        <w:rPr>
          <w:rFonts w:ascii="Times New Roman" w:hAnsi="Times New Roman" w:cs="Times New Roman"/>
          <w:sz w:val="28"/>
          <w:szCs w:val="28"/>
        </w:rPr>
        <w:t xml:space="preserve">. </w:t>
      </w:r>
    </w:p>
    <w:p w14:paraId="3452ADD0" w14:textId="2EB3705B" w:rsidR="0009344C" w:rsidRPr="002F3372" w:rsidRDefault="0009344C" w:rsidP="0009344C">
      <w:pPr>
        <w:spacing w:line="360" w:lineRule="auto"/>
        <w:ind w:firstLine="709"/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  <w:r w:rsidRPr="002F3372">
        <w:rPr>
          <w:rFonts w:ascii="Times New Roman" w:hAnsi="Times New Roman" w:cs="Times New Roman"/>
          <w:b/>
          <w:sz w:val="28"/>
          <w:szCs w:val="28"/>
        </w:rPr>
        <w:t>Научная и практическая значимость</w:t>
      </w:r>
    </w:p>
    <w:p w14:paraId="120F1BAD" w14:textId="1C6515A8" w:rsidR="00BE1524" w:rsidRPr="002F3372" w:rsidRDefault="00BE1524" w:rsidP="00BE1524">
      <w:pPr>
        <w:spacing w:line="36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2F3372">
        <w:rPr>
          <w:rFonts w:ascii="Times New Roman" w:hAnsi="Times New Roman" w:cs="Times New Roman"/>
          <w:sz w:val="28"/>
          <w:szCs w:val="28"/>
        </w:rPr>
        <w:t>Научная значимость исследования заключается в</w:t>
      </w:r>
      <w:r w:rsidR="00146A0B" w:rsidRPr="002F3372">
        <w:rPr>
          <w:rFonts w:ascii="Times New Roman" w:hAnsi="Times New Roman" w:cs="Times New Roman"/>
          <w:sz w:val="28"/>
          <w:szCs w:val="28"/>
        </w:rPr>
        <w:t xml:space="preserve"> уточнении положений концепции управлении талантами в части характеристики </w:t>
      </w:r>
      <w:r w:rsidR="002F3372" w:rsidRPr="002F3372">
        <w:rPr>
          <w:rFonts w:ascii="Times New Roman" w:hAnsi="Times New Roman" w:cs="Times New Roman"/>
          <w:sz w:val="28"/>
          <w:szCs w:val="28"/>
        </w:rPr>
        <w:t>различий</w:t>
      </w:r>
      <w:r w:rsidR="00146A0B" w:rsidRPr="002F3372">
        <w:rPr>
          <w:rFonts w:ascii="Times New Roman" w:hAnsi="Times New Roman" w:cs="Times New Roman"/>
          <w:sz w:val="28"/>
          <w:szCs w:val="28"/>
        </w:rPr>
        <w:t xml:space="preserve"> в подходах к процессу управления талантами и </w:t>
      </w:r>
      <w:r w:rsidR="002F3372" w:rsidRPr="002F3372">
        <w:rPr>
          <w:rFonts w:ascii="Times New Roman" w:hAnsi="Times New Roman" w:cs="Times New Roman"/>
          <w:sz w:val="28"/>
          <w:szCs w:val="28"/>
        </w:rPr>
        <w:t>выявлении ключевых э</w:t>
      </w:r>
      <w:r w:rsidR="00EC1C4D">
        <w:rPr>
          <w:rFonts w:ascii="Times New Roman" w:hAnsi="Times New Roman" w:cs="Times New Roman"/>
          <w:sz w:val="28"/>
          <w:szCs w:val="28"/>
        </w:rPr>
        <w:t>лементов</w:t>
      </w:r>
      <w:r w:rsidR="002F3372" w:rsidRPr="002F3372">
        <w:rPr>
          <w:rFonts w:ascii="Times New Roman" w:hAnsi="Times New Roman" w:cs="Times New Roman"/>
          <w:sz w:val="28"/>
          <w:szCs w:val="28"/>
        </w:rPr>
        <w:t xml:space="preserve"> процесса управления талантами.</w:t>
      </w:r>
      <w:r w:rsidRPr="002F3372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68A5777D" w14:textId="601A289F" w:rsidR="00BE1524" w:rsidRPr="00146A0B" w:rsidRDefault="00BE1524" w:rsidP="00BE1524">
      <w:pPr>
        <w:spacing w:line="36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146A0B">
        <w:rPr>
          <w:rFonts w:ascii="Times New Roman" w:hAnsi="Times New Roman" w:cs="Times New Roman"/>
          <w:sz w:val="28"/>
          <w:szCs w:val="28"/>
        </w:rPr>
        <w:t>Практическая значимость выражается в</w:t>
      </w:r>
      <w:r w:rsidR="00146A0B" w:rsidRPr="00146A0B">
        <w:rPr>
          <w:rFonts w:ascii="Times New Roman" w:hAnsi="Times New Roman" w:cs="Times New Roman"/>
          <w:sz w:val="28"/>
          <w:szCs w:val="28"/>
        </w:rPr>
        <w:t xml:space="preserve"> возможности применения полученных результатов опроса в формировании эффективной стратегии </w:t>
      </w:r>
      <w:r w:rsidR="00EC1C4D">
        <w:rPr>
          <w:rFonts w:ascii="Times New Roman" w:hAnsi="Times New Roman" w:cs="Times New Roman"/>
          <w:sz w:val="28"/>
          <w:szCs w:val="28"/>
        </w:rPr>
        <w:t xml:space="preserve">развития </w:t>
      </w:r>
      <w:r w:rsidR="00146A0B" w:rsidRPr="00146A0B">
        <w:rPr>
          <w:rFonts w:ascii="Times New Roman" w:hAnsi="Times New Roman" w:cs="Times New Roman"/>
          <w:sz w:val="28"/>
          <w:szCs w:val="28"/>
        </w:rPr>
        <w:t>компании, что может стать одним из элементов региональной политики</w:t>
      </w:r>
      <w:r w:rsidR="00EC1C4D">
        <w:rPr>
          <w:rFonts w:ascii="Times New Roman" w:hAnsi="Times New Roman" w:cs="Times New Roman"/>
          <w:sz w:val="28"/>
          <w:szCs w:val="28"/>
        </w:rPr>
        <w:t xml:space="preserve"> по удержанию талантов</w:t>
      </w:r>
      <w:r w:rsidR="00146A0B" w:rsidRPr="00146A0B">
        <w:rPr>
          <w:rFonts w:ascii="Times New Roman" w:hAnsi="Times New Roman" w:cs="Times New Roman"/>
          <w:sz w:val="28"/>
          <w:szCs w:val="28"/>
        </w:rPr>
        <w:t>.</w:t>
      </w:r>
      <w:r w:rsidRPr="00146A0B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297430EE" w14:textId="77777777" w:rsidR="00BE636B" w:rsidRDefault="00BE636B" w:rsidP="00BE636B">
      <w:pPr>
        <w:spacing w:line="36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7E645C">
        <w:rPr>
          <w:rFonts w:ascii="Times New Roman" w:hAnsi="Times New Roman" w:cs="Times New Roman"/>
          <w:b/>
          <w:sz w:val="28"/>
          <w:szCs w:val="28"/>
        </w:rPr>
        <w:t xml:space="preserve">Теоретическая часть </w:t>
      </w:r>
    </w:p>
    <w:p w14:paraId="6E784F79" w14:textId="69B1CEF0" w:rsidR="00EF3D25" w:rsidRDefault="00EF3D25" w:rsidP="00823523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Талант для каждой компании уникален и зависит от ценностей и направленности компаний. Однако, чаще всего талантливыми сотрудни</w:t>
      </w:r>
      <w:r w:rsidR="00D607FF">
        <w:rPr>
          <w:rFonts w:ascii="Times New Roman" w:hAnsi="Times New Roman" w:cs="Times New Roman"/>
          <w:sz w:val="28"/>
        </w:rPr>
        <w:t xml:space="preserve">ками в компании считают тех, кто </w:t>
      </w:r>
      <w:r w:rsidR="00D607FF" w:rsidRPr="00D607FF">
        <w:rPr>
          <w:rFonts w:ascii="Times New Roman" w:hAnsi="Times New Roman" w:cs="Times New Roman"/>
          <w:sz w:val="28"/>
        </w:rPr>
        <w:t>[3]</w:t>
      </w:r>
      <w:r>
        <w:rPr>
          <w:rFonts w:ascii="Times New Roman" w:hAnsi="Times New Roman" w:cs="Times New Roman"/>
          <w:sz w:val="28"/>
        </w:rPr>
        <w:t>:</w:t>
      </w:r>
    </w:p>
    <w:p w14:paraId="3F503FF9" w14:textId="43814A77" w:rsidR="008C2829" w:rsidRDefault="00EF3D25" w:rsidP="00823523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- </w:t>
      </w:r>
      <w:r w:rsidR="008C2829">
        <w:rPr>
          <w:rFonts w:ascii="Times New Roman" w:hAnsi="Times New Roman" w:cs="Times New Roman"/>
          <w:sz w:val="28"/>
        </w:rPr>
        <w:t xml:space="preserve">обладают </w:t>
      </w:r>
      <w:r w:rsidR="00B708E9">
        <w:rPr>
          <w:rFonts w:ascii="Times New Roman" w:hAnsi="Times New Roman" w:cs="Times New Roman"/>
          <w:sz w:val="28"/>
        </w:rPr>
        <w:t>необходимым для компании сочетанием ключевых жестких и мягких навыков</w:t>
      </w:r>
      <w:r w:rsidR="008C2829">
        <w:rPr>
          <w:rFonts w:ascii="Times New Roman" w:hAnsi="Times New Roman" w:cs="Times New Roman"/>
          <w:sz w:val="28"/>
        </w:rPr>
        <w:t>;</w:t>
      </w:r>
    </w:p>
    <w:p w14:paraId="3C8FE05D" w14:textId="52128F58" w:rsidR="00B708E9" w:rsidRDefault="008C2829" w:rsidP="00823523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- </w:t>
      </w:r>
      <w:r w:rsidR="00B708E9">
        <w:rPr>
          <w:rFonts w:ascii="Times New Roman" w:hAnsi="Times New Roman" w:cs="Times New Roman"/>
          <w:sz w:val="28"/>
        </w:rPr>
        <w:t>разделяют ценности компании;</w:t>
      </w:r>
    </w:p>
    <w:p w14:paraId="59FAB4F1" w14:textId="2273AD38" w:rsidR="00B708E9" w:rsidRDefault="00B708E9" w:rsidP="00B708E9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- готовы к постоянному саморазвитию;</w:t>
      </w:r>
    </w:p>
    <w:p w14:paraId="4AC8FF94" w14:textId="0FE13CBB" w:rsidR="00B708E9" w:rsidRDefault="00B708E9" w:rsidP="00B708E9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- является инициатором нововведений и адаптируется к ним.</w:t>
      </w:r>
    </w:p>
    <w:p w14:paraId="72409770" w14:textId="7F721CB1" w:rsidR="00823523" w:rsidRDefault="00EF3D25" w:rsidP="00823523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lastRenderedPageBreak/>
        <w:t xml:space="preserve"> </w:t>
      </w:r>
      <w:r w:rsidR="00B708E9">
        <w:rPr>
          <w:rFonts w:ascii="Times New Roman" w:hAnsi="Times New Roman" w:cs="Times New Roman"/>
          <w:sz w:val="28"/>
        </w:rPr>
        <w:t>Для управления талантами</w:t>
      </w:r>
      <w:r w:rsidR="00823523">
        <w:rPr>
          <w:rFonts w:ascii="Times New Roman" w:hAnsi="Times New Roman" w:cs="Times New Roman"/>
          <w:sz w:val="28"/>
        </w:rPr>
        <w:t xml:space="preserve"> необходимо учитывать</w:t>
      </w:r>
      <w:r w:rsidR="00B708E9">
        <w:rPr>
          <w:rFonts w:ascii="Times New Roman" w:hAnsi="Times New Roman" w:cs="Times New Roman"/>
          <w:sz w:val="28"/>
        </w:rPr>
        <w:t xml:space="preserve"> различные</w:t>
      </w:r>
      <w:r w:rsidR="00823523">
        <w:rPr>
          <w:rFonts w:ascii="Times New Roman" w:hAnsi="Times New Roman" w:cs="Times New Roman"/>
          <w:sz w:val="28"/>
        </w:rPr>
        <w:t xml:space="preserve"> подходы. Ведь один и тот же процесс можно реализовывать различными методами, использовать различные инструменты и даже смотреть на него с разных сторон.</w:t>
      </w:r>
    </w:p>
    <w:p w14:paraId="32FE92F5" w14:textId="77777777" w:rsidR="00823523" w:rsidRDefault="00823523" w:rsidP="00823523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Рассматривая процесс управления талантами, нельзя не упомянуть известную работу компании </w:t>
      </w:r>
      <w:r>
        <w:rPr>
          <w:rFonts w:ascii="Times New Roman" w:hAnsi="Times New Roman" w:cs="Times New Roman"/>
          <w:sz w:val="28"/>
          <w:lang w:val="en-US"/>
        </w:rPr>
        <w:t>McKinsey</w:t>
      </w:r>
      <w:r w:rsidRPr="00205D11">
        <w:rPr>
          <w:rFonts w:ascii="Times New Roman" w:hAnsi="Times New Roman" w:cs="Times New Roman"/>
          <w:sz w:val="28"/>
        </w:rPr>
        <w:t xml:space="preserve"> </w:t>
      </w:r>
      <w:r>
        <w:rPr>
          <w:rFonts w:ascii="Times New Roman" w:hAnsi="Times New Roman" w:cs="Times New Roman"/>
          <w:sz w:val="28"/>
        </w:rPr>
        <w:t>1997 года «Война за таланты» («</w:t>
      </w:r>
      <w:r>
        <w:rPr>
          <w:rFonts w:ascii="Times New Roman" w:hAnsi="Times New Roman" w:cs="Times New Roman"/>
          <w:sz w:val="28"/>
          <w:lang w:val="en-US"/>
        </w:rPr>
        <w:t>The</w:t>
      </w:r>
      <w:r w:rsidRPr="00205D11">
        <w:rPr>
          <w:rFonts w:ascii="Times New Roman" w:hAnsi="Times New Roman" w:cs="Times New Roman"/>
          <w:sz w:val="28"/>
        </w:rPr>
        <w:t xml:space="preserve"> </w:t>
      </w:r>
      <w:r>
        <w:rPr>
          <w:rFonts w:ascii="Times New Roman" w:hAnsi="Times New Roman" w:cs="Times New Roman"/>
          <w:sz w:val="28"/>
          <w:lang w:val="en-US"/>
        </w:rPr>
        <w:t>war</w:t>
      </w:r>
      <w:r w:rsidRPr="00205D11">
        <w:rPr>
          <w:rFonts w:ascii="Times New Roman" w:hAnsi="Times New Roman" w:cs="Times New Roman"/>
          <w:sz w:val="28"/>
        </w:rPr>
        <w:t xml:space="preserve"> </w:t>
      </w:r>
      <w:r>
        <w:rPr>
          <w:rFonts w:ascii="Times New Roman" w:hAnsi="Times New Roman" w:cs="Times New Roman"/>
          <w:sz w:val="28"/>
          <w:lang w:val="en-US"/>
        </w:rPr>
        <w:t>for</w:t>
      </w:r>
      <w:r w:rsidRPr="00205D11">
        <w:rPr>
          <w:rFonts w:ascii="Times New Roman" w:hAnsi="Times New Roman" w:cs="Times New Roman"/>
          <w:sz w:val="28"/>
        </w:rPr>
        <w:t xml:space="preserve"> </w:t>
      </w:r>
      <w:r>
        <w:rPr>
          <w:rFonts w:ascii="Times New Roman" w:hAnsi="Times New Roman" w:cs="Times New Roman"/>
          <w:sz w:val="28"/>
          <w:lang w:val="en-US"/>
        </w:rPr>
        <w:t>talent</w:t>
      </w:r>
      <w:r>
        <w:rPr>
          <w:rFonts w:ascii="Times New Roman" w:hAnsi="Times New Roman" w:cs="Times New Roman"/>
          <w:sz w:val="28"/>
        </w:rPr>
        <w:t>»</w:t>
      </w:r>
      <w:r w:rsidRPr="00205D11">
        <w:rPr>
          <w:rFonts w:ascii="Times New Roman" w:hAnsi="Times New Roman" w:cs="Times New Roman"/>
          <w:sz w:val="28"/>
        </w:rPr>
        <w:t>)</w:t>
      </w:r>
      <w:r>
        <w:rPr>
          <w:rFonts w:ascii="Times New Roman" w:hAnsi="Times New Roman" w:cs="Times New Roman"/>
          <w:sz w:val="28"/>
        </w:rPr>
        <w:t>. Со дня написания этой книги прошло больше 25 лет, но изложенный подход до сих пор актуален. Можно сказать, что он стал базой для других, отразив основные принципы работы с талантами.</w:t>
      </w:r>
    </w:p>
    <w:p w14:paraId="6B5890CD" w14:textId="79DDDB84" w:rsidR="00823523" w:rsidRDefault="00823523" w:rsidP="00823523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В рамках этого исследования было установлено, что таланты – это главный фактор, определяющий успех компании, и изложен новый способ управления, предполагающий пять обязательных действий. Ознакомится с новым способом можно в таблице </w:t>
      </w:r>
      <w:r w:rsidR="00E5686E">
        <w:rPr>
          <w:rFonts w:ascii="Times New Roman" w:hAnsi="Times New Roman" w:cs="Times New Roman"/>
          <w:sz w:val="28"/>
        </w:rPr>
        <w:t>3</w:t>
      </w:r>
      <w:r>
        <w:rPr>
          <w:rFonts w:ascii="Times New Roman" w:hAnsi="Times New Roman" w:cs="Times New Roman"/>
          <w:sz w:val="28"/>
        </w:rPr>
        <w:t xml:space="preserve"> </w:t>
      </w:r>
      <w:r w:rsidR="00D607FF">
        <w:rPr>
          <w:rFonts w:ascii="Times New Roman" w:hAnsi="Times New Roman" w:cs="Times New Roman"/>
          <w:sz w:val="28"/>
        </w:rPr>
        <w:t>[4</w:t>
      </w:r>
      <w:r w:rsidRPr="002C78AB">
        <w:rPr>
          <w:rFonts w:ascii="Times New Roman" w:hAnsi="Times New Roman" w:cs="Times New Roman"/>
          <w:sz w:val="28"/>
        </w:rPr>
        <w:t>]</w:t>
      </w:r>
      <w:r>
        <w:rPr>
          <w:rFonts w:ascii="Times New Roman" w:hAnsi="Times New Roman" w:cs="Times New Roman"/>
          <w:sz w:val="28"/>
        </w:rPr>
        <w:t>.</w:t>
      </w:r>
    </w:p>
    <w:p w14:paraId="3FB7F378" w14:textId="463933E7" w:rsidR="00823523" w:rsidRDefault="00823523" w:rsidP="00823523">
      <w:pPr>
        <w:spacing w:before="240" w:after="0" w:line="360" w:lineRule="auto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Таблица </w:t>
      </w:r>
      <w:r w:rsidR="00E5686E">
        <w:rPr>
          <w:rFonts w:ascii="Times New Roman" w:hAnsi="Times New Roman" w:cs="Times New Roman"/>
          <w:sz w:val="28"/>
        </w:rPr>
        <w:t>3</w:t>
      </w:r>
      <w:r>
        <w:rPr>
          <w:rFonts w:ascii="Times New Roman" w:hAnsi="Times New Roman" w:cs="Times New Roman"/>
          <w:sz w:val="28"/>
        </w:rPr>
        <w:t xml:space="preserve"> – Сравнение старого и нового подходов управления талантами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4814"/>
        <w:gridCol w:w="4814"/>
      </w:tblGrid>
      <w:tr w:rsidR="00823523" w14:paraId="78C6E598" w14:textId="77777777" w:rsidTr="00C73F5D">
        <w:tc>
          <w:tcPr>
            <w:tcW w:w="4814" w:type="dxa"/>
          </w:tcPr>
          <w:p w14:paraId="0F042B1F" w14:textId="77777777" w:rsidR="00823523" w:rsidRPr="00861EC3" w:rsidRDefault="00823523" w:rsidP="00C73F5D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8"/>
              </w:rPr>
            </w:pPr>
            <w:r w:rsidRPr="00861EC3">
              <w:rPr>
                <w:rFonts w:ascii="Times New Roman" w:hAnsi="Times New Roman" w:cs="Times New Roman"/>
                <w:b/>
                <w:sz w:val="28"/>
              </w:rPr>
              <w:t>Старый способ</w:t>
            </w:r>
          </w:p>
        </w:tc>
        <w:tc>
          <w:tcPr>
            <w:tcW w:w="4814" w:type="dxa"/>
          </w:tcPr>
          <w:p w14:paraId="2DF706A6" w14:textId="77777777" w:rsidR="00823523" w:rsidRPr="00861EC3" w:rsidRDefault="00823523" w:rsidP="00C73F5D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8"/>
              </w:rPr>
            </w:pPr>
            <w:r w:rsidRPr="00861EC3">
              <w:rPr>
                <w:rFonts w:ascii="Times New Roman" w:hAnsi="Times New Roman" w:cs="Times New Roman"/>
                <w:b/>
                <w:sz w:val="28"/>
              </w:rPr>
              <w:t>Новый способ</w:t>
            </w:r>
          </w:p>
        </w:tc>
      </w:tr>
      <w:tr w:rsidR="00823523" w14:paraId="39C9056E" w14:textId="77777777" w:rsidTr="00C73F5D">
        <w:tc>
          <w:tcPr>
            <w:tcW w:w="4814" w:type="dxa"/>
          </w:tcPr>
          <w:p w14:paraId="0162E984" w14:textId="77777777" w:rsidR="00823523" w:rsidRDefault="00823523" w:rsidP="00C73F5D">
            <w:pPr>
              <w:jc w:val="both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За управление людьми отвечает отдел персонала</w:t>
            </w:r>
          </w:p>
        </w:tc>
        <w:tc>
          <w:tcPr>
            <w:tcW w:w="4814" w:type="dxa"/>
          </w:tcPr>
          <w:p w14:paraId="4AA512A4" w14:textId="77777777" w:rsidR="00823523" w:rsidRDefault="00823523" w:rsidP="00C73F5D">
            <w:pPr>
              <w:jc w:val="both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Все управленцы, начиная с президента, отвечают за укрепление своего коллектива талантов</w:t>
            </w:r>
          </w:p>
        </w:tc>
      </w:tr>
      <w:tr w:rsidR="00823523" w14:paraId="3A6A87F4" w14:textId="77777777" w:rsidTr="00C73F5D">
        <w:tc>
          <w:tcPr>
            <w:tcW w:w="4814" w:type="dxa"/>
          </w:tcPr>
          <w:p w14:paraId="6FE228D2" w14:textId="77777777" w:rsidR="00823523" w:rsidRDefault="00823523" w:rsidP="00C73F5D">
            <w:pPr>
              <w:jc w:val="both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Мы предоставляем хорошую зарплату и льготы</w:t>
            </w:r>
          </w:p>
        </w:tc>
        <w:tc>
          <w:tcPr>
            <w:tcW w:w="4814" w:type="dxa"/>
          </w:tcPr>
          <w:p w14:paraId="5244F4A7" w14:textId="77777777" w:rsidR="00823523" w:rsidRDefault="00823523" w:rsidP="00C73F5D">
            <w:pPr>
              <w:jc w:val="both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Наша компания, должности и даже стратегия ориентированы на то, чтобы привлекать талантливых людей</w:t>
            </w:r>
          </w:p>
        </w:tc>
      </w:tr>
      <w:tr w:rsidR="00823523" w14:paraId="18A3CB78" w14:textId="77777777" w:rsidTr="00C73F5D">
        <w:tc>
          <w:tcPr>
            <w:tcW w:w="4814" w:type="dxa"/>
          </w:tcPr>
          <w:p w14:paraId="23EE7AF4" w14:textId="77777777" w:rsidR="00823523" w:rsidRDefault="00823523" w:rsidP="00C73F5D">
            <w:pPr>
              <w:jc w:val="both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Наем персонала похож на процесс покупки</w:t>
            </w:r>
          </w:p>
        </w:tc>
        <w:tc>
          <w:tcPr>
            <w:tcW w:w="4814" w:type="dxa"/>
          </w:tcPr>
          <w:p w14:paraId="0EEF97EB" w14:textId="77777777" w:rsidR="00823523" w:rsidRDefault="00823523" w:rsidP="00C73F5D">
            <w:pPr>
              <w:jc w:val="both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Наем персонала похож на маркетинг</w:t>
            </w:r>
          </w:p>
        </w:tc>
      </w:tr>
      <w:tr w:rsidR="00823523" w14:paraId="7928200B" w14:textId="77777777" w:rsidTr="00C73F5D">
        <w:tc>
          <w:tcPr>
            <w:tcW w:w="4814" w:type="dxa"/>
          </w:tcPr>
          <w:p w14:paraId="5EC17DCE" w14:textId="77777777" w:rsidR="00823523" w:rsidRDefault="00823523" w:rsidP="00C73F5D">
            <w:pPr>
              <w:jc w:val="both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Мы думаем, что развитие происходит благодаря программам обучения</w:t>
            </w:r>
          </w:p>
        </w:tc>
        <w:tc>
          <w:tcPr>
            <w:tcW w:w="4814" w:type="dxa"/>
          </w:tcPr>
          <w:p w14:paraId="40041F0E" w14:textId="77777777" w:rsidR="00823523" w:rsidRDefault="00823523" w:rsidP="00C73F5D">
            <w:pPr>
              <w:jc w:val="both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Мы способствуем развитию главным образом через последовательность повышающих профессионализм заданий, инструктирование и наставничество</w:t>
            </w:r>
          </w:p>
        </w:tc>
      </w:tr>
      <w:tr w:rsidR="00823523" w14:paraId="6968B5C3" w14:textId="77777777" w:rsidTr="00C73F5D">
        <w:tc>
          <w:tcPr>
            <w:tcW w:w="4814" w:type="dxa"/>
          </w:tcPr>
          <w:p w14:paraId="13623C89" w14:textId="77777777" w:rsidR="00823523" w:rsidRDefault="00823523" w:rsidP="00C73F5D">
            <w:pPr>
              <w:jc w:val="both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Мы относимся ко всем одинаково, и нам нравится мысль, что у всех одинаковые способности</w:t>
            </w:r>
          </w:p>
        </w:tc>
        <w:tc>
          <w:tcPr>
            <w:tcW w:w="4814" w:type="dxa"/>
          </w:tcPr>
          <w:p w14:paraId="3AB91508" w14:textId="77777777" w:rsidR="00823523" w:rsidRDefault="00823523" w:rsidP="00C73F5D">
            <w:pPr>
              <w:jc w:val="both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Мы вознаграждаем всех сотрудников, но дифференцируем вложения в сотрудников групп А, В и С</w:t>
            </w:r>
          </w:p>
        </w:tc>
      </w:tr>
    </w:tbl>
    <w:p w14:paraId="7111DC38" w14:textId="77777777" w:rsidR="00823523" w:rsidRDefault="00823523" w:rsidP="00823523">
      <w:pPr>
        <w:spacing w:before="120" w:after="0" w:line="360" w:lineRule="auto"/>
        <w:ind w:firstLine="709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Таким образом, получается, что новый подход акцентирует внимание на создании рабочей атмосферы, способствующей обучению и развитию кадров прямо во время рабочего процесса. Также данный подход создает здоровую </w:t>
      </w:r>
      <w:r>
        <w:rPr>
          <w:rFonts w:ascii="Times New Roman" w:hAnsi="Times New Roman" w:cs="Times New Roman"/>
          <w:sz w:val="28"/>
        </w:rPr>
        <w:lastRenderedPageBreak/>
        <w:t>конкурентную среду, разделяя сотрудников по их важности, профессионализму и доли вложений в компанию.</w:t>
      </w:r>
    </w:p>
    <w:p w14:paraId="553A3D23" w14:textId="4AE30D4F" w:rsidR="00823523" w:rsidRDefault="00823523" w:rsidP="00823523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А проведенное консалтинговой компанией </w:t>
      </w:r>
      <w:r>
        <w:rPr>
          <w:rFonts w:ascii="Times New Roman" w:hAnsi="Times New Roman" w:cs="Times New Roman"/>
          <w:sz w:val="28"/>
          <w:lang w:val="en-US"/>
        </w:rPr>
        <w:t>McKinsey</w:t>
      </w:r>
      <w:r w:rsidRPr="00A24A02">
        <w:rPr>
          <w:rFonts w:ascii="Times New Roman" w:hAnsi="Times New Roman" w:cs="Times New Roman"/>
          <w:sz w:val="28"/>
        </w:rPr>
        <w:t xml:space="preserve"> </w:t>
      </w:r>
      <w:r>
        <w:rPr>
          <w:rFonts w:ascii="Times New Roman" w:hAnsi="Times New Roman" w:cs="Times New Roman"/>
          <w:sz w:val="28"/>
        </w:rPr>
        <w:t>исследования «</w:t>
      </w:r>
      <w:r>
        <w:rPr>
          <w:rFonts w:ascii="Times New Roman" w:hAnsi="Times New Roman" w:cs="Times New Roman"/>
          <w:sz w:val="28"/>
          <w:lang w:val="en-US"/>
        </w:rPr>
        <w:t>Why</w:t>
      </w:r>
      <w:r w:rsidRPr="00A24A02">
        <w:rPr>
          <w:rFonts w:ascii="Times New Roman" w:hAnsi="Times New Roman" w:cs="Times New Roman"/>
          <w:sz w:val="28"/>
        </w:rPr>
        <w:t xml:space="preserve"> </w:t>
      </w:r>
      <w:r>
        <w:rPr>
          <w:rFonts w:ascii="Times New Roman" w:hAnsi="Times New Roman" w:cs="Times New Roman"/>
          <w:sz w:val="28"/>
          <w:lang w:val="en-US"/>
        </w:rPr>
        <w:t>diversity</w:t>
      </w:r>
      <w:r w:rsidRPr="00A24A02">
        <w:rPr>
          <w:rFonts w:ascii="Times New Roman" w:hAnsi="Times New Roman" w:cs="Times New Roman"/>
          <w:sz w:val="28"/>
        </w:rPr>
        <w:t xml:space="preserve"> </w:t>
      </w:r>
      <w:r>
        <w:rPr>
          <w:rFonts w:ascii="Times New Roman" w:hAnsi="Times New Roman" w:cs="Times New Roman"/>
          <w:sz w:val="28"/>
          <w:lang w:val="en-US"/>
        </w:rPr>
        <w:t>matters</w:t>
      </w:r>
      <w:r>
        <w:rPr>
          <w:rFonts w:ascii="Times New Roman" w:hAnsi="Times New Roman" w:cs="Times New Roman"/>
          <w:sz w:val="28"/>
        </w:rPr>
        <w:t>» показало, что команды, которые включают работников с разным опытом, отличающимися взглядами на вопросы, способами решения задач и особенностями здоровья, демонстрируют более высокую эффективность и креативность</w:t>
      </w:r>
      <w:r w:rsidR="00D607FF">
        <w:rPr>
          <w:rFonts w:ascii="Times New Roman" w:hAnsi="Times New Roman" w:cs="Times New Roman"/>
          <w:sz w:val="28"/>
        </w:rPr>
        <w:t xml:space="preserve"> в профессиональной деятельности [4]</w:t>
      </w:r>
      <w:r>
        <w:rPr>
          <w:rFonts w:ascii="Times New Roman" w:hAnsi="Times New Roman" w:cs="Times New Roman"/>
          <w:sz w:val="28"/>
        </w:rPr>
        <w:t>. То есть в каждом подразделении компании должны сочетаться разные по характеру, взглядам, интересам, возрасту и опыту люди, которые вместе, обмениваясь своими мыслями, могут генерировать абсолютно инновационные подходы к разрешению сложившихся ситуаций. Это позволяет компании не только расти, но и своевременно реагировать на малейшие колебания во внешней и внутренней средах, корректно выстраивать свою антикризисную политику (причем не избегая кризиса, а развиваясь посредством выхода из него).</w:t>
      </w:r>
    </w:p>
    <w:p w14:paraId="36485E07" w14:textId="77777777" w:rsidR="00823523" w:rsidRDefault="00823523" w:rsidP="00823523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Описанный выше подход является базовым и, естественно, помимо него есть и другие. Самые известные – это дихотомия «эксклюзивности-инклюзивности» и дихотомия «объектно-субъектная».</w:t>
      </w:r>
    </w:p>
    <w:p w14:paraId="114C051E" w14:textId="77777777" w:rsidR="00823523" w:rsidRDefault="00823523" w:rsidP="00823523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«Объектно-субъектная» дихотомия была разработана А.В. Климовой. Она предполагает объектный и субъектный подходы к определению «таланта».</w:t>
      </w:r>
    </w:p>
    <w:p w14:paraId="2C6D09D2" w14:textId="341B981E" w:rsidR="00823523" w:rsidRDefault="00823523" w:rsidP="00823523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Объектный подход рассматривает талант в качестве характеристики человека, которая объективно присуща ему в силу врождённых или приобретенных свойств. То есть это индивидуальные показатели, которые отличаются от одного человека к другому. Существует четыре варианта рассмотрения таланта в рамках данного подхода</w:t>
      </w:r>
      <w:r w:rsidR="003B2C5D">
        <w:rPr>
          <w:rFonts w:ascii="Times New Roman" w:hAnsi="Times New Roman" w:cs="Times New Roman"/>
          <w:sz w:val="28"/>
        </w:rPr>
        <w:t xml:space="preserve"> </w:t>
      </w:r>
      <w:r w:rsidR="003B2C5D" w:rsidRPr="00735887">
        <w:rPr>
          <w:rFonts w:ascii="Times New Roman" w:hAnsi="Times New Roman" w:cs="Times New Roman"/>
          <w:sz w:val="28"/>
        </w:rPr>
        <w:t>[5]</w:t>
      </w:r>
      <w:r>
        <w:rPr>
          <w:rFonts w:ascii="Times New Roman" w:hAnsi="Times New Roman" w:cs="Times New Roman"/>
          <w:sz w:val="28"/>
        </w:rPr>
        <w:t>:</w:t>
      </w:r>
    </w:p>
    <w:p w14:paraId="6E1E806C" w14:textId="77777777" w:rsidR="00823523" w:rsidRDefault="00823523" w:rsidP="00823523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1. Талант как врожденный дар, то есть это уникальные характеристики человека, определенные генетической предрасположенностью. Развитие таких способностей не проводится.</w:t>
      </w:r>
    </w:p>
    <w:p w14:paraId="2331A5D9" w14:textId="77777777" w:rsidR="00823523" w:rsidRDefault="00823523" w:rsidP="00823523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2. Талант как мастерство, то есть уровень способностей и профессионализма, которые были приобретены посредство какого-либо опыта, например, образования или профессиональной деятельности. Развитие </w:t>
      </w:r>
      <w:r>
        <w:rPr>
          <w:rFonts w:ascii="Times New Roman" w:hAnsi="Times New Roman" w:cs="Times New Roman"/>
          <w:sz w:val="28"/>
        </w:rPr>
        <w:lastRenderedPageBreak/>
        <w:t>проводится более опытными людьми (педагогами, наставниками и тому подобное).</w:t>
      </w:r>
    </w:p>
    <w:p w14:paraId="42B43DFD" w14:textId="77777777" w:rsidR="00823523" w:rsidRDefault="00823523" w:rsidP="00823523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3.Талант как вовлеченность или мотивация, то есть желание работать на компанию, обучаемость, инициативность и амбициозность. Всё это является дополнением к врождённым и приобретённым способностям, повышающие стремление развивать их.</w:t>
      </w:r>
    </w:p>
    <w:p w14:paraId="17BAE9AE" w14:textId="77777777" w:rsidR="00823523" w:rsidRDefault="00823523" w:rsidP="00823523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4. Талант как сочетаемость личности и организации, то есть уровень адаптивности сотрудника к его работе. Если человеку комфортно на своем рабочем месте и ему нравится то, чем он занимается, то, соответственно, и работать он будет лучше, чем другие.</w:t>
      </w:r>
    </w:p>
    <w:p w14:paraId="78A378B9" w14:textId="30D93D54" w:rsidR="00823523" w:rsidRDefault="00823523" w:rsidP="00823523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Субъектный же подход рассматривает талант как человеческий капитал организации (человек – носитель таланта, а руководитель может лишь арендовать человеческий капитал персонала за определённую плату). Руководители расценивают всех сотрудников как талантливых, и считают, что эти люди являют</w:t>
      </w:r>
      <w:r w:rsidR="00D607FF">
        <w:rPr>
          <w:rFonts w:ascii="Times New Roman" w:hAnsi="Times New Roman" w:cs="Times New Roman"/>
          <w:sz w:val="28"/>
        </w:rPr>
        <w:t xml:space="preserve">ся важнейшим активом организации </w:t>
      </w:r>
      <w:r w:rsidR="003B2C5D">
        <w:rPr>
          <w:rFonts w:ascii="Times New Roman" w:hAnsi="Times New Roman" w:cs="Times New Roman"/>
          <w:sz w:val="28"/>
        </w:rPr>
        <w:t>[6</w:t>
      </w:r>
      <w:r w:rsidR="00D607FF" w:rsidRPr="00D607FF">
        <w:rPr>
          <w:rFonts w:ascii="Times New Roman" w:hAnsi="Times New Roman" w:cs="Times New Roman"/>
          <w:sz w:val="28"/>
        </w:rPr>
        <w:t>]</w:t>
      </w:r>
      <w:r>
        <w:rPr>
          <w:rFonts w:ascii="Times New Roman" w:hAnsi="Times New Roman" w:cs="Times New Roman"/>
          <w:sz w:val="28"/>
        </w:rPr>
        <w:t xml:space="preserve">. </w:t>
      </w:r>
    </w:p>
    <w:p w14:paraId="325B3A1C" w14:textId="3924B94D" w:rsidR="00823523" w:rsidRDefault="00823523" w:rsidP="00823523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В рамках субъектного подхода развитие человеческого капитала включает в себя такие направления, как воспитание, образование, здоровье, науку, личную безопасность, предпринимательские способности, инвестиции в подготовку элиты, инструментарий интеллектуального труда и информационное обслуживание. Но право развивать свой человеческий капитал остается за самим сотрудником, что обостряет войну за таланты между организациями. В особенности это касается креативных отраслей рынка</w:t>
      </w:r>
      <w:r w:rsidR="00BF4F6A">
        <w:rPr>
          <w:rFonts w:ascii="Times New Roman" w:hAnsi="Times New Roman" w:cs="Times New Roman"/>
          <w:sz w:val="28"/>
        </w:rPr>
        <w:t xml:space="preserve"> </w:t>
      </w:r>
      <w:r w:rsidR="00BF4F6A" w:rsidRPr="00735887">
        <w:rPr>
          <w:rFonts w:ascii="Times New Roman" w:hAnsi="Times New Roman" w:cs="Times New Roman"/>
          <w:sz w:val="28"/>
        </w:rPr>
        <w:t>[7]</w:t>
      </w:r>
      <w:r>
        <w:rPr>
          <w:rFonts w:ascii="Times New Roman" w:hAnsi="Times New Roman" w:cs="Times New Roman"/>
          <w:sz w:val="28"/>
        </w:rPr>
        <w:t>.</w:t>
      </w:r>
    </w:p>
    <w:p w14:paraId="70D10309" w14:textId="77777777" w:rsidR="00823523" w:rsidRDefault="00823523" w:rsidP="00823523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Сравнив два подхода, можно сделать вывод о том, что в одном случае талант рассматривается как уникальная характеристика, а в другом – как средство производства.</w:t>
      </w:r>
    </w:p>
    <w:p w14:paraId="1D6E5952" w14:textId="77777777" w:rsidR="00823523" w:rsidRDefault="00823523" w:rsidP="00823523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Далее рассмотрим дихотомию «эксклюзивно-инклюзивную», включающую эксклюзивный и инклюзивный подходы.</w:t>
      </w:r>
    </w:p>
    <w:p w14:paraId="2D656BBE" w14:textId="124F7ECF" w:rsidR="00823523" w:rsidRDefault="00823523" w:rsidP="00823523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</w:rPr>
        <w:t xml:space="preserve">Эксклюзивный подход в управлении талантами более проработан и </w:t>
      </w:r>
      <w:r w:rsidRPr="00A57A43">
        <w:rPr>
          <w:rFonts w:ascii="Times New Roman" w:hAnsi="Times New Roman" w:cs="Times New Roman"/>
          <w:sz w:val="28"/>
          <w:szCs w:val="28"/>
        </w:rPr>
        <w:t xml:space="preserve">технологичен – на первом этапе при помощи тестирования и других способов отбора определяется пул высокопотенциальных работников (HiPo), затем их </w:t>
      </w:r>
      <w:r w:rsidRPr="00A57A43">
        <w:rPr>
          <w:rFonts w:ascii="Times New Roman" w:hAnsi="Times New Roman" w:cs="Times New Roman"/>
          <w:sz w:val="28"/>
          <w:szCs w:val="28"/>
        </w:rPr>
        <w:lastRenderedPageBreak/>
        <w:t>отделяют от всех остальных в группу кадрового резерва и начина</w:t>
      </w:r>
      <w:r>
        <w:rPr>
          <w:rFonts w:ascii="Times New Roman" w:hAnsi="Times New Roman" w:cs="Times New Roman"/>
          <w:sz w:val="28"/>
          <w:szCs w:val="28"/>
        </w:rPr>
        <w:t>ют процесс развития их талантов</w:t>
      </w:r>
      <w:r w:rsidR="00EA05B0" w:rsidRPr="00EA05B0">
        <w:rPr>
          <w:rFonts w:ascii="Times New Roman" w:hAnsi="Times New Roman" w:cs="Times New Roman"/>
          <w:sz w:val="28"/>
          <w:szCs w:val="28"/>
        </w:rPr>
        <w:t xml:space="preserve"> [</w:t>
      </w:r>
      <w:r w:rsidR="00BF4F6A">
        <w:rPr>
          <w:rFonts w:ascii="Times New Roman" w:hAnsi="Times New Roman" w:cs="Times New Roman"/>
          <w:sz w:val="28"/>
          <w:szCs w:val="28"/>
        </w:rPr>
        <w:t>8</w:t>
      </w:r>
      <w:r w:rsidR="00EA05B0" w:rsidRPr="00EA05B0">
        <w:rPr>
          <w:rFonts w:ascii="Times New Roman" w:hAnsi="Times New Roman" w:cs="Times New Roman"/>
          <w:sz w:val="28"/>
          <w:szCs w:val="28"/>
        </w:rPr>
        <w:t>]</w:t>
      </w:r>
      <w:r>
        <w:rPr>
          <w:rFonts w:ascii="Times New Roman" w:hAnsi="Times New Roman" w:cs="Times New Roman"/>
          <w:sz w:val="28"/>
          <w:szCs w:val="28"/>
        </w:rPr>
        <w:t xml:space="preserve">. </w:t>
      </w:r>
    </w:p>
    <w:p w14:paraId="26E32068" w14:textId="77777777" w:rsidR="00823523" w:rsidRDefault="00823523" w:rsidP="00823523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81468">
        <w:rPr>
          <w:rFonts w:ascii="Times New Roman" w:hAnsi="Times New Roman" w:cs="Times New Roman"/>
          <w:sz w:val="28"/>
          <w:szCs w:val="28"/>
        </w:rPr>
        <w:t>С.Г. Симагина и Л.Ф .Никулин сформулировали шесть принципов такого п</w:t>
      </w:r>
      <w:r>
        <w:rPr>
          <w:rFonts w:ascii="Times New Roman" w:hAnsi="Times New Roman" w:cs="Times New Roman"/>
          <w:sz w:val="28"/>
          <w:szCs w:val="28"/>
        </w:rPr>
        <w:t xml:space="preserve">одхода к управлению талантами: </w:t>
      </w:r>
      <w:r w:rsidRPr="00581468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725EFB16" w14:textId="77777777" w:rsidR="00823523" w:rsidRDefault="00823523" w:rsidP="00823523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1. С</w:t>
      </w:r>
      <w:r w:rsidRPr="00581468">
        <w:rPr>
          <w:rFonts w:ascii="Times New Roman" w:hAnsi="Times New Roman" w:cs="Times New Roman"/>
          <w:sz w:val="28"/>
          <w:szCs w:val="28"/>
        </w:rPr>
        <w:t>тратегическая согласованность понимания структуры и содержания таланта с бизнес-процессами, технологиям</w:t>
      </w:r>
      <w:r>
        <w:rPr>
          <w:rFonts w:ascii="Times New Roman" w:hAnsi="Times New Roman" w:cs="Times New Roman"/>
          <w:sz w:val="28"/>
          <w:szCs w:val="28"/>
        </w:rPr>
        <w:t>и, ресурсообеспечением;</w:t>
      </w:r>
    </w:p>
    <w:p w14:paraId="40D37BDE" w14:textId="77777777" w:rsidR="00823523" w:rsidRDefault="00823523" w:rsidP="00823523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 В</w:t>
      </w:r>
      <w:r w:rsidRPr="00581468">
        <w:rPr>
          <w:rFonts w:ascii="Times New Roman" w:hAnsi="Times New Roman" w:cs="Times New Roman"/>
          <w:sz w:val="28"/>
          <w:szCs w:val="28"/>
        </w:rPr>
        <w:t xml:space="preserve">нутренняя последовательность и преемственность </w:t>
      </w:r>
      <w:r>
        <w:rPr>
          <w:rFonts w:ascii="Times New Roman" w:hAnsi="Times New Roman" w:cs="Times New Roman"/>
          <w:sz w:val="28"/>
          <w:szCs w:val="28"/>
        </w:rPr>
        <w:t>методов управления талантами;</w:t>
      </w:r>
    </w:p>
    <w:p w14:paraId="0C43DDAD" w14:textId="77777777" w:rsidR="00823523" w:rsidRDefault="00823523" w:rsidP="00823523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3. И</w:t>
      </w:r>
      <w:r w:rsidRPr="00581468">
        <w:rPr>
          <w:rFonts w:ascii="Times New Roman" w:hAnsi="Times New Roman" w:cs="Times New Roman"/>
          <w:sz w:val="28"/>
          <w:szCs w:val="28"/>
        </w:rPr>
        <w:t>нтеграция базовых ценностей организации и прин</w:t>
      </w:r>
      <w:r>
        <w:rPr>
          <w:rFonts w:ascii="Times New Roman" w:hAnsi="Times New Roman" w:cs="Times New Roman"/>
          <w:sz w:val="28"/>
          <w:szCs w:val="28"/>
        </w:rPr>
        <w:t>ципов ее функционирования;</w:t>
      </w:r>
    </w:p>
    <w:p w14:paraId="229BEA26" w14:textId="77777777" w:rsidR="00823523" w:rsidRDefault="00823523" w:rsidP="00823523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4. У</w:t>
      </w:r>
      <w:r w:rsidRPr="00581468">
        <w:rPr>
          <w:rFonts w:ascii="Times New Roman" w:hAnsi="Times New Roman" w:cs="Times New Roman"/>
          <w:sz w:val="28"/>
          <w:szCs w:val="28"/>
        </w:rPr>
        <w:t>частие высшего руководства в процессах поиска, формирования и управлен</w:t>
      </w:r>
      <w:r>
        <w:rPr>
          <w:rFonts w:ascii="Times New Roman" w:hAnsi="Times New Roman" w:cs="Times New Roman"/>
          <w:sz w:val="28"/>
          <w:szCs w:val="28"/>
        </w:rPr>
        <w:t>ия талантами;</w:t>
      </w:r>
    </w:p>
    <w:p w14:paraId="52728567" w14:textId="77777777" w:rsidR="00823523" w:rsidRDefault="00823523" w:rsidP="00823523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5. Б</w:t>
      </w:r>
      <w:r w:rsidRPr="00581468">
        <w:rPr>
          <w:rFonts w:ascii="Times New Roman" w:hAnsi="Times New Roman" w:cs="Times New Roman"/>
          <w:sz w:val="28"/>
          <w:szCs w:val="28"/>
        </w:rPr>
        <w:t>аланс локального и глобаль</w:t>
      </w:r>
      <w:r>
        <w:rPr>
          <w:rFonts w:ascii="Times New Roman" w:hAnsi="Times New Roman" w:cs="Times New Roman"/>
          <w:sz w:val="28"/>
          <w:szCs w:val="28"/>
        </w:rPr>
        <w:t>ного в управлении талантами;</w:t>
      </w:r>
    </w:p>
    <w:p w14:paraId="0E7492D8" w14:textId="096C88A9" w:rsidR="00823523" w:rsidRDefault="00823523" w:rsidP="00823523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6. Б</w:t>
      </w:r>
      <w:r w:rsidRPr="00581468">
        <w:rPr>
          <w:rFonts w:ascii="Times New Roman" w:hAnsi="Times New Roman" w:cs="Times New Roman"/>
          <w:sz w:val="28"/>
          <w:szCs w:val="28"/>
        </w:rPr>
        <w:t>рендинг работодателя для привлечения новых и продви</w:t>
      </w:r>
      <w:r>
        <w:rPr>
          <w:rFonts w:ascii="Times New Roman" w:hAnsi="Times New Roman" w:cs="Times New Roman"/>
          <w:sz w:val="28"/>
          <w:szCs w:val="28"/>
        </w:rPr>
        <w:t>жения уже выявленных талантов</w:t>
      </w:r>
      <w:r w:rsidR="00BF4F6A">
        <w:rPr>
          <w:rFonts w:ascii="Times New Roman" w:hAnsi="Times New Roman" w:cs="Times New Roman"/>
          <w:sz w:val="28"/>
          <w:szCs w:val="28"/>
        </w:rPr>
        <w:t xml:space="preserve"> [9</w:t>
      </w:r>
      <w:r w:rsidR="00EA05B0" w:rsidRPr="00EA05B0">
        <w:rPr>
          <w:rFonts w:ascii="Times New Roman" w:hAnsi="Times New Roman" w:cs="Times New Roman"/>
          <w:sz w:val="28"/>
          <w:szCs w:val="28"/>
        </w:rPr>
        <w:t>]</w:t>
      </w:r>
      <w:r w:rsidRPr="00581468">
        <w:rPr>
          <w:rFonts w:ascii="Times New Roman" w:hAnsi="Times New Roman" w:cs="Times New Roman"/>
          <w:sz w:val="28"/>
          <w:szCs w:val="28"/>
        </w:rPr>
        <w:t>.</w:t>
      </w:r>
    </w:p>
    <w:p w14:paraId="29321474" w14:textId="77777777" w:rsidR="00823523" w:rsidRDefault="00823523" w:rsidP="00823523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Данный подход предполагает конкуренцию, которая может как мотивировать сотрудников, так и привести к конфликту внутри коллектива. Реализовывать данный подход нужно с осторожностью и осмыслением.</w:t>
      </w:r>
    </w:p>
    <w:p w14:paraId="01477186" w14:textId="77777777" w:rsidR="00823523" w:rsidRDefault="00823523" w:rsidP="00823523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 свою очередь инклюзивный подход заключается в индивидуальности каждой личности. У всех есть свои уникальные черты, которые необходимо развивать и применять на подходящих позициях в организации.</w:t>
      </w:r>
    </w:p>
    <w:p w14:paraId="2CDACAD1" w14:textId="77777777" w:rsidR="00823523" w:rsidRDefault="00823523" w:rsidP="00823523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</w:rPr>
      </w:pPr>
      <w:r w:rsidRPr="00DD0DF0">
        <w:rPr>
          <w:rFonts w:ascii="Times New Roman" w:hAnsi="Times New Roman" w:cs="Times New Roman"/>
          <w:sz w:val="28"/>
        </w:rPr>
        <w:t>Принципами инклюзивного подхода являются следующие:</w:t>
      </w:r>
      <w:r>
        <w:rPr>
          <w:rFonts w:ascii="Times New Roman" w:hAnsi="Times New Roman" w:cs="Times New Roman"/>
          <w:sz w:val="28"/>
        </w:rPr>
        <w:t xml:space="preserve"> </w:t>
      </w:r>
    </w:p>
    <w:p w14:paraId="60A3830D" w14:textId="77777777" w:rsidR="00823523" w:rsidRDefault="00823523" w:rsidP="00823523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1. И</w:t>
      </w:r>
      <w:r w:rsidRPr="00DD0DF0">
        <w:rPr>
          <w:rFonts w:ascii="Times New Roman" w:hAnsi="Times New Roman" w:cs="Times New Roman"/>
          <w:sz w:val="28"/>
        </w:rPr>
        <w:t>нвестиции в человеческий капитал, повышение квалификации и профессиональная переподготовка на основе индивидуального подхода к обуче</w:t>
      </w:r>
      <w:r>
        <w:rPr>
          <w:rFonts w:ascii="Times New Roman" w:hAnsi="Times New Roman" w:cs="Times New Roman"/>
          <w:sz w:val="28"/>
        </w:rPr>
        <w:t>нию и расстановке кадров;</w:t>
      </w:r>
    </w:p>
    <w:p w14:paraId="7BE767DE" w14:textId="77777777" w:rsidR="00823523" w:rsidRDefault="00823523" w:rsidP="00823523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2. С</w:t>
      </w:r>
      <w:r w:rsidRPr="00DD0DF0">
        <w:rPr>
          <w:rFonts w:ascii="Times New Roman" w:hAnsi="Times New Roman" w:cs="Times New Roman"/>
          <w:sz w:val="28"/>
        </w:rPr>
        <w:t>истема внутрифирменного обучения, нацеленная на адаптацию и опережающую подготовку персо</w:t>
      </w:r>
      <w:r>
        <w:rPr>
          <w:rFonts w:ascii="Times New Roman" w:hAnsi="Times New Roman" w:cs="Times New Roman"/>
          <w:sz w:val="28"/>
        </w:rPr>
        <w:t>нала;</w:t>
      </w:r>
    </w:p>
    <w:p w14:paraId="7788A595" w14:textId="1DF3D67E" w:rsidR="00823523" w:rsidRDefault="00823523" w:rsidP="00823523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3. С</w:t>
      </w:r>
      <w:r w:rsidRPr="00DD0DF0">
        <w:rPr>
          <w:rFonts w:ascii="Times New Roman" w:hAnsi="Times New Roman" w:cs="Times New Roman"/>
          <w:sz w:val="28"/>
        </w:rPr>
        <w:t xml:space="preserve">истема мотивации персонала, включающая материальное и нематериальное стимулирование, повышение внутренней профессиональной </w:t>
      </w:r>
      <w:r w:rsidRPr="00DD0DF0">
        <w:rPr>
          <w:rFonts w:ascii="Times New Roman" w:hAnsi="Times New Roman" w:cs="Times New Roman"/>
          <w:sz w:val="28"/>
        </w:rPr>
        <w:lastRenderedPageBreak/>
        <w:t>мотивации и удержание высококвалифицированных работников за счет их заинте</w:t>
      </w:r>
      <w:r>
        <w:rPr>
          <w:rFonts w:ascii="Times New Roman" w:hAnsi="Times New Roman" w:cs="Times New Roman"/>
          <w:sz w:val="28"/>
        </w:rPr>
        <w:t>ресованности в качестве труда</w:t>
      </w:r>
      <w:r w:rsidR="00BF4F6A">
        <w:rPr>
          <w:rFonts w:ascii="Times New Roman" w:hAnsi="Times New Roman" w:cs="Times New Roman"/>
          <w:sz w:val="28"/>
        </w:rPr>
        <w:t xml:space="preserve"> [10</w:t>
      </w:r>
      <w:r w:rsidR="00EA05B0" w:rsidRPr="00EA05B0">
        <w:rPr>
          <w:rFonts w:ascii="Times New Roman" w:hAnsi="Times New Roman" w:cs="Times New Roman"/>
          <w:sz w:val="28"/>
        </w:rPr>
        <w:t>]</w:t>
      </w:r>
      <w:r w:rsidRPr="00DD0DF0">
        <w:rPr>
          <w:rFonts w:ascii="Times New Roman" w:hAnsi="Times New Roman" w:cs="Times New Roman"/>
          <w:sz w:val="28"/>
        </w:rPr>
        <w:t>.</w:t>
      </w:r>
    </w:p>
    <w:p w14:paraId="504541BC" w14:textId="5C65EA28" w:rsidR="00823523" w:rsidRDefault="00823523" w:rsidP="00823523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Важно помнить, что внедрение инклюзивного подхода невозможно без соблюдения трёх важных условий. Во-первых, в компании должны быть одинаковые возможности для развития всех сотрудников. Во-вторых, каждый сотрудник должен занимать должность, полностью соответствующую уровню его таланта. В-третьих, в компании должна присутствовать возможность свободно выбирать свою профессиональную карьеру или новую роль</w:t>
      </w:r>
      <w:r w:rsidR="00525D1B">
        <w:rPr>
          <w:rFonts w:ascii="Times New Roman" w:hAnsi="Times New Roman" w:cs="Times New Roman"/>
          <w:sz w:val="28"/>
        </w:rPr>
        <w:t xml:space="preserve"> </w:t>
      </w:r>
      <w:r w:rsidR="00BF4F6A">
        <w:rPr>
          <w:rFonts w:ascii="Times New Roman" w:hAnsi="Times New Roman" w:cs="Times New Roman"/>
          <w:sz w:val="28"/>
        </w:rPr>
        <w:t>[11</w:t>
      </w:r>
      <w:r w:rsidR="00525D1B" w:rsidRPr="00525D1B">
        <w:rPr>
          <w:rFonts w:ascii="Times New Roman" w:hAnsi="Times New Roman" w:cs="Times New Roman"/>
          <w:sz w:val="28"/>
        </w:rPr>
        <w:t>]</w:t>
      </w:r>
      <w:r>
        <w:rPr>
          <w:rFonts w:ascii="Times New Roman" w:hAnsi="Times New Roman" w:cs="Times New Roman"/>
          <w:sz w:val="28"/>
        </w:rPr>
        <w:t>.</w:t>
      </w:r>
    </w:p>
    <w:p w14:paraId="0BF7A5D6" w14:textId="77777777" w:rsidR="00823523" w:rsidRDefault="00823523" w:rsidP="00823523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Данный подход достаточно сложен в реализации. Он требует больших инвестиций материалов, времени и труда. Также из-за того, что в его рамках происходит много перемещений кадров, организационная структура должна быть гибкой, а менеджер должен уметь сохранять порядок в организации. Однако реализовав его, на выходе можно получить эффективно работающий персонал.</w:t>
      </w:r>
    </w:p>
    <w:p w14:paraId="36A1C2BB" w14:textId="205C570F" w:rsidR="00823523" w:rsidRDefault="00823523" w:rsidP="00823523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Таким образом, можно сказать, что в эксклюзивном подходе зафиксирована идея управления талантливыми сотрудниками, а в инклюзивном делается акцент на инструментах управления талантами для максимизации эффективности деятельности каждого работника и всего коллектива в целом </w:t>
      </w:r>
      <w:r w:rsidR="00BF4F6A">
        <w:rPr>
          <w:rFonts w:ascii="Times New Roman" w:hAnsi="Times New Roman" w:cs="Times New Roman"/>
          <w:sz w:val="28"/>
        </w:rPr>
        <w:t>[8</w:t>
      </w:r>
      <w:r w:rsidRPr="00C85112">
        <w:rPr>
          <w:rFonts w:ascii="Times New Roman" w:hAnsi="Times New Roman" w:cs="Times New Roman"/>
          <w:sz w:val="28"/>
        </w:rPr>
        <w:t>]</w:t>
      </w:r>
      <w:r>
        <w:rPr>
          <w:rFonts w:ascii="Times New Roman" w:hAnsi="Times New Roman" w:cs="Times New Roman"/>
          <w:sz w:val="28"/>
        </w:rPr>
        <w:t>.</w:t>
      </w:r>
    </w:p>
    <w:p w14:paraId="76B85E6A" w14:textId="77777777" w:rsidR="00823523" w:rsidRDefault="00823523" w:rsidP="00823523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Интересная точка зрения на подходы к управлению талантами представила А. В. Климова, сопоставив две вышеупомянутые дихотомии. Они представлены в таблице 2.</w:t>
      </w:r>
    </w:p>
    <w:p w14:paraId="1A0B0A96" w14:textId="4FC85A8D" w:rsidR="00823523" w:rsidRDefault="00823523" w:rsidP="00823523">
      <w:pPr>
        <w:spacing w:before="240" w:after="0" w:line="360" w:lineRule="auto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Таблица </w:t>
      </w:r>
      <w:r w:rsidR="00E5686E">
        <w:rPr>
          <w:rFonts w:ascii="Times New Roman" w:hAnsi="Times New Roman" w:cs="Times New Roman"/>
          <w:sz w:val="28"/>
        </w:rPr>
        <w:t>4</w:t>
      </w:r>
      <w:r>
        <w:rPr>
          <w:rFonts w:ascii="Times New Roman" w:hAnsi="Times New Roman" w:cs="Times New Roman"/>
          <w:sz w:val="28"/>
        </w:rPr>
        <w:t xml:space="preserve"> – Сопоставление дихотомий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838"/>
        <w:gridCol w:w="3969"/>
        <w:gridCol w:w="3821"/>
      </w:tblGrid>
      <w:tr w:rsidR="00823523" w14:paraId="7B4CAD81" w14:textId="77777777" w:rsidTr="00C73F5D">
        <w:tc>
          <w:tcPr>
            <w:tcW w:w="1838" w:type="dxa"/>
          </w:tcPr>
          <w:p w14:paraId="34A1DC8F" w14:textId="77777777" w:rsidR="00823523" w:rsidRPr="00861EC3" w:rsidRDefault="00823523" w:rsidP="00C73F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Подходы</w:t>
            </w:r>
          </w:p>
        </w:tc>
        <w:tc>
          <w:tcPr>
            <w:tcW w:w="3969" w:type="dxa"/>
          </w:tcPr>
          <w:p w14:paraId="4097190A" w14:textId="77777777" w:rsidR="00823523" w:rsidRPr="00861EC3" w:rsidRDefault="00823523" w:rsidP="00C73F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Эксклюзивный</w:t>
            </w:r>
          </w:p>
        </w:tc>
        <w:tc>
          <w:tcPr>
            <w:tcW w:w="3821" w:type="dxa"/>
          </w:tcPr>
          <w:p w14:paraId="7FA86C38" w14:textId="77777777" w:rsidR="00823523" w:rsidRPr="00861EC3" w:rsidRDefault="00823523" w:rsidP="00C73F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Инклюзивный</w:t>
            </w:r>
          </w:p>
        </w:tc>
      </w:tr>
      <w:tr w:rsidR="00823523" w14:paraId="25232802" w14:textId="77777777" w:rsidTr="00C73F5D">
        <w:tc>
          <w:tcPr>
            <w:tcW w:w="1838" w:type="dxa"/>
          </w:tcPr>
          <w:p w14:paraId="47A93628" w14:textId="77777777" w:rsidR="00823523" w:rsidRPr="00861EC3" w:rsidRDefault="00823523" w:rsidP="00C73F5D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61EC3">
              <w:rPr>
                <w:rFonts w:ascii="Times New Roman" w:hAnsi="Times New Roman" w:cs="Times New Roman"/>
                <w:b/>
                <w:sz w:val="28"/>
                <w:szCs w:val="28"/>
              </w:rPr>
              <w:t>Субъектный</w:t>
            </w:r>
          </w:p>
        </w:tc>
        <w:tc>
          <w:tcPr>
            <w:tcW w:w="3969" w:type="dxa"/>
          </w:tcPr>
          <w:p w14:paraId="418F85F5" w14:textId="77777777" w:rsidR="00823523" w:rsidRDefault="00823523" w:rsidP="00C73F5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 Настоящим талантом обладают не все сотрудники</w:t>
            </w:r>
          </w:p>
          <w:p w14:paraId="3A12D149" w14:textId="77777777" w:rsidR="00823523" w:rsidRPr="00861EC3" w:rsidRDefault="00823523" w:rsidP="00C73F5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 Подход предполагает отбор самых талантливых и перспективных сотрудников и размещение их на самые влиятельные должности в организации</w:t>
            </w:r>
          </w:p>
        </w:tc>
        <w:tc>
          <w:tcPr>
            <w:tcW w:w="3821" w:type="dxa"/>
          </w:tcPr>
          <w:p w14:paraId="7EF3A9B8" w14:textId="77777777" w:rsidR="00823523" w:rsidRDefault="00823523" w:rsidP="00C73F5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 Определенные способности имеются у всех сотрудников</w:t>
            </w:r>
          </w:p>
          <w:p w14:paraId="64C2EDA1" w14:textId="77777777" w:rsidR="00823523" w:rsidRPr="00861EC3" w:rsidRDefault="00823523" w:rsidP="00C73F5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 Подход предполагает распознавание способностей у сотрудников и грамотное их использование</w:t>
            </w:r>
          </w:p>
        </w:tc>
      </w:tr>
      <w:tr w:rsidR="00823523" w14:paraId="78F75613" w14:textId="77777777" w:rsidTr="00C73F5D">
        <w:tc>
          <w:tcPr>
            <w:tcW w:w="1838" w:type="dxa"/>
          </w:tcPr>
          <w:p w14:paraId="50C2AB7E" w14:textId="77777777" w:rsidR="00823523" w:rsidRPr="00861EC3" w:rsidRDefault="00823523" w:rsidP="00C73F5D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61EC3">
              <w:rPr>
                <w:rFonts w:ascii="Times New Roman" w:hAnsi="Times New Roman" w:cs="Times New Roman"/>
                <w:b/>
                <w:sz w:val="28"/>
                <w:szCs w:val="28"/>
              </w:rPr>
              <w:t>Объектный</w:t>
            </w:r>
          </w:p>
        </w:tc>
        <w:tc>
          <w:tcPr>
            <w:tcW w:w="3969" w:type="dxa"/>
          </w:tcPr>
          <w:p w14:paraId="5739E7A6" w14:textId="77777777" w:rsidR="00823523" w:rsidRDefault="00823523" w:rsidP="00C73F5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 Акцент на мотивации</w:t>
            </w:r>
          </w:p>
          <w:p w14:paraId="6378B434" w14:textId="77777777" w:rsidR="00823523" w:rsidRPr="00861EC3" w:rsidRDefault="00823523" w:rsidP="00C73F5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- Подход предполагает отбор замотивированных и способных сотрудников и предоставление им всех возможностей для дальнейшего развития</w:t>
            </w:r>
          </w:p>
        </w:tc>
        <w:tc>
          <w:tcPr>
            <w:tcW w:w="3821" w:type="dxa"/>
          </w:tcPr>
          <w:p w14:paraId="28A6141F" w14:textId="77777777" w:rsidR="00823523" w:rsidRDefault="00823523" w:rsidP="00C73F5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- Акцент на уникальных талантах и развитии</w:t>
            </w:r>
          </w:p>
          <w:p w14:paraId="065EABF4" w14:textId="77777777" w:rsidR="00823523" w:rsidRPr="00861EC3" w:rsidRDefault="00823523" w:rsidP="00C73F5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- Подход предполагает все возможные способы развития талантов всех сотрудников</w:t>
            </w:r>
          </w:p>
        </w:tc>
      </w:tr>
    </w:tbl>
    <w:p w14:paraId="79FEFBAC" w14:textId="27493089" w:rsidR="00FE2BCA" w:rsidRDefault="00823523" w:rsidP="00BE636B">
      <w:pPr>
        <w:spacing w:before="120" w:after="0" w:line="360" w:lineRule="auto"/>
        <w:ind w:firstLine="709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Каждый представленный подход имеет свои преимущества и недостатки и итоговый выбор зависит от самой компании, её менеджмента и сотрудников. При принятии решения о внедрении программы управления талантами компания должна проанализировать внешние и внутренние факторы, обратив особое внимание на уже имеющиеся кадры.</w:t>
      </w:r>
    </w:p>
    <w:p w14:paraId="485C2E3B" w14:textId="2A0857F0" w:rsidR="00651F5B" w:rsidRDefault="00BE636B" w:rsidP="00651F5B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Исследовав различные подходы к п</w:t>
      </w:r>
      <w:r w:rsidR="00651F5B">
        <w:rPr>
          <w:rFonts w:ascii="Times New Roman" w:hAnsi="Times New Roman" w:cs="Times New Roman"/>
          <w:sz w:val="28"/>
        </w:rPr>
        <w:t>роцесс</w:t>
      </w:r>
      <w:r>
        <w:rPr>
          <w:rFonts w:ascii="Times New Roman" w:hAnsi="Times New Roman" w:cs="Times New Roman"/>
          <w:sz w:val="28"/>
        </w:rPr>
        <w:t>у</w:t>
      </w:r>
      <w:r w:rsidR="00651F5B">
        <w:rPr>
          <w:rFonts w:ascii="Times New Roman" w:hAnsi="Times New Roman" w:cs="Times New Roman"/>
          <w:sz w:val="28"/>
        </w:rPr>
        <w:t xml:space="preserve"> управления талантами</w:t>
      </w:r>
      <w:r>
        <w:rPr>
          <w:rFonts w:ascii="Times New Roman" w:hAnsi="Times New Roman" w:cs="Times New Roman"/>
          <w:sz w:val="28"/>
        </w:rPr>
        <w:t>, можно выделить следующее определение, которое характеризует его как</w:t>
      </w:r>
      <w:r w:rsidR="00651F5B">
        <w:rPr>
          <w:rFonts w:ascii="Times New Roman" w:hAnsi="Times New Roman" w:cs="Times New Roman"/>
          <w:sz w:val="28"/>
        </w:rPr>
        <w:t xml:space="preserve"> целенаправленн</w:t>
      </w:r>
      <w:r>
        <w:rPr>
          <w:rFonts w:ascii="Times New Roman" w:hAnsi="Times New Roman" w:cs="Times New Roman"/>
          <w:sz w:val="28"/>
        </w:rPr>
        <w:t>ую</w:t>
      </w:r>
      <w:r w:rsidR="00651F5B">
        <w:rPr>
          <w:rFonts w:ascii="Times New Roman" w:hAnsi="Times New Roman" w:cs="Times New Roman"/>
          <w:sz w:val="28"/>
        </w:rPr>
        <w:t xml:space="preserve"> деятельность, осуществляем</w:t>
      </w:r>
      <w:r>
        <w:rPr>
          <w:rFonts w:ascii="Times New Roman" w:hAnsi="Times New Roman" w:cs="Times New Roman"/>
          <w:sz w:val="28"/>
        </w:rPr>
        <w:t>ую</w:t>
      </w:r>
      <w:r w:rsidR="00651F5B">
        <w:rPr>
          <w:rFonts w:ascii="Times New Roman" w:hAnsi="Times New Roman" w:cs="Times New Roman"/>
          <w:sz w:val="28"/>
        </w:rPr>
        <w:t xml:space="preserve"> с целью создания в организации системы набора, развития, использования и удержания таких работников, которые способны обеспечить высокие результаты труда, отвечающие критериям качества, новизны, общественной значимости</w:t>
      </w:r>
      <w:r w:rsidR="00BF4F6A">
        <w:rPr>
          <w:rFonts w:ascii="Times New Roman" w:hAnsi="Times New Roman" w:cs="Times New Roman"/>
          <w:sz w:val="28"/>
        </w:rPr>
        <w:t xml:space="preserve"> [8</w:t>
      </w:r>
      <w:r w:rsidR="00651F5B" w:rsidRPr="00A62136">
        <w:rPr>
          <w:rFonts w:ascii="Times New Roman" w:hAnsi="Times New Roman" w:cs="Times New Roman"/>
          <w:sz w:val="28"/>
        </w:rPr>
        <w:t>].</w:t>
      </w:r>
      <w:r w:rsidR="00651F5B">
        <w:rPr>
          <w:rFonts w:ascii="Times New Roman" w:hAnsi="Times New Roman" w:cs="Times New Roman"/>
          <w:sz w:val="28"/>
        </w:rPr>
        <w:t xml:space="preserve">  Данный процесс необходим для успешного развития компании, ведь именно люди, их знания и навыки являются двигателями прогресса. </w:t>
      </w:r>
    </w:p>
    <w:p w14:paraId="13665CA3" w14:textId="20635640" w:rsidR="00651F5B" w:rsidRDefault="00651F5B" w:rsidP="00651F5B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Стратегия управления талантами предусматривает</w:t>
      </w:r>
      <w:r w:rsidR="00B45DC4">
        <w:rPr>
          <w:rFonts w:ascii="Times New Roman" w:hAnsi="Times New Roman" w:cs="Times New Roman"/>
          <w:sz w:val="28"/>
        </w:rPr>
        <w:t xml:space="preserve"> следующие </w:t>
      </w:r>
      <w:r w:rsidR="007D15AE">
        <w:rPr>
          <w:rFonts w:ascii="Times New Roman" w:hAnsi="Times New Roman" w:cs="Times New Roman"/>
          <w:sz w:val="28"/>
        </w:rPr>
        <w:t>элементы</w:t>
      </w:r>
      <w:r>
        <w:rPr>
          <w:rFonts w:ascii="Times New Roman" w:hAnsi="Times New Roman" w:cs="Times New Roman"/>
          <w:sz w:val="28"/>
        </w:rPr>
        <w:t>:</w:t>
      </w:r>
    </w:p>
    <w:p w14:paraId="58FC8C77" w14:textId="2C3512FA" w:rsidR="00651F5B" w:rsidRDefault="00651F5B" w:rsidP="00651F5B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1</w:t>
      </w:r>
      <w:r w:rsidR="007F5D15">
        <w:rPr>
          <w:rFonts w:ascii="Times New Roman" w:hAnsi="Times New Roman" w:cs="Times New Roman"/>
          <w:sz w:val="28"/>
        </w:rPr>
        <w:t>.</w:t>
      </w:r>
      <w:r>
        <w:rPr>
          <w:rFonts w:ascii="Times New Roman" w:hAnsi="Times New Roman" w:cs="Times New Roman"/>
          <w:sz w:val="28"/>
        </w:rPr>
        <w:t xml:space="preserve"> рекрутинг и адаптацию (по принципу онбординга) квалифицированных кандидатов;</w:t>
      </w:r>
    </w:p>
    <w:p w14:paraId="6BA5945C" w14:textId="0B25C994" w:rsidR="00651F5B" w:rsidRDefault="00651F5B" w:rsidP="00651F5B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2</w:t>
      </w:r>
      <w:r w:rsidR="007F5D15">
        <w:rPr>
          <w:rFonts w:ascii="Times New Roman" w:hAnsi="Times New Roman" w:cs="Times New Roman"/>
          <w:sz w:val="28"/>
        </w:rPr>
        <w:t>.</w:t>
      </w:r>
      <w:r>
        <w:rPr>
          <w:rFonts w:ascii="Times New Roman" w:hAnsi="Times New Roman" w:cs="Times New Roman"/>
          <w:sz w:val="28"/>
        </w:rPr>
        <w:t xml:space="preserve"> управление и определение конкурентоспособной заработной платы и компенсаций;</w:t>
      </w:r>
    </w:p>
    <w:p w14:paraId="4A39732D" w14:textId="77777777" w:rsidR="00651F5B" w:rsidRDefault="00651F5B" w:rsidP="00651F5B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3. обучение и развитие талантов;</w:t>
      </w:r>
    </w:p>
    <w:p w14:paraId="1904529A" w14:textId="77777777" w:rsidR="00651F5B" w:rsidRDefault="00651F5B" w:rsidP="00651F5B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4. управление производительностью по принципу «Цели и эффективность»;</w:t>
      </w:r>
    </w:p>
    <w:p w14:paraId="55E19BD6" w14:textId="77777777" w:rsidR="00651F5B" w:rsidRDefault="00651F5B" w:rsidP="00651F5B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5. программы сохранения кадров;</w:t>
      </w:r>
    </w:p>
    <w:p w14:paraId="4B243BEE" w14:textId="4960FF34" w:rsidR="00651F5B" w:rsidRDefault="00651F5B" w:rsidP="00651F5B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6. продвижение по службе</w:t>
      </w:r>
      <w:r w:rsidR="00BF4F6A" w:rsidRPr="00735887">
        <w:rPr>
          <w:rFonts w:ascii="Times New Roman" w:hAnsi="Times New Roman" w:cs="Times New Roman"/>
          <w:sz w:val="28"/>
        </w:rPr>
        <w:t xml:space="preserve"> [12</w:t>
      </w:r>
      <w:r w:rsidR="00EA05B0" w:rsidRPr="00735887">
        <w:rPr>
          <w:rFonts w:ascii="Times New Roman" w:hAnsi="Times New Roman" w:cs="Times New Roman"/>
          <w:sz w:val="28"/>
        </w:rPr>
        <w:t>]</w:t>
      </w:r>
      <w:r>
        <w:rPr>
          <w:rFonts w:ascii="Times New Roman" w:hAnsi="Times New Roman" w:cs="Times New Roman"/>
          <w:sz w:val="28"/>
        </w:rPr>
        <w:t>.</w:t>
      </w:r>
    </w:p>
    <w:p w14:paraId="481BF579" w14:textId="77777777" w:rsidR="00651F5B" w:rsidRDefault="00651F5B" w:rsidP="00651F5B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Процесс управления талантами начинается уже в тот момент, когда эти самые таланты еще даже не перешли порог организации, то есть с момента набора персонала. На этом этапе организация определяет, кто ей нужен, и дает объявление. Это объявление должно максимально положительно презентовать </w:t>
      </w:r>
      <w:r>
        <w:rPr>
          <w:rFonts w:ascii="Times New Roman" w:hAnsi="Times New Roman" w:cs="Times New Roman"/>
          <w:sz w:val="28"/>
        </w:rPr>
        <w:lastRenderedPageBreak/>
        <w:t xml:space="preserve">компанию и должность, чтобы заинтересовать кандидатов, а после из отозвавшихся на объявление высококвалифицированные </w:t>
      </w:r>
      <w:r>
        <w:rPr>
          <w:rFonts w:ascii="Times New Roman" w:hAnsi="Times New Roman" w:cs="Times New Roman"/>
          <w:sz w:val="28"/>
          <w:lang w:val="en-US"/>
        </w:rPr>
        <w:t>HR</w:t>
      </w:r>
      <w:r>
        <w:rPr>
          <w:rFonts w:ascii="Times New Roman" w:hAnsi="Times New Roman" w:cs="Times New Roman"/>
          <w:sz w:val="28"/>
        </w:rPr>
        <w:t>-специалисты должны отобрать и нанять самых подходящих.</w:t>
      </w:r>
    </w:p>
    <w:p w14:paraId="73A4FEE4" w14:textId="6F125C51" w:rsidR="00651F5B" w:rsidRDefault="00651F5B" w:rsidP="00651F5B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Организации, заполучившей талант, теперь необходимо позаботиться о его комфорте на рабочем месте, то есть провести качественную адаптацию с опорой на принцип онбординга</w:t>
      </w:r>
      <w:r w:rsidR="007F5D15">
        <w:rPr>
          <w:rFonts w:ascii="Times New Roman" w:hAnsi="Times New Roman" w:cs="Times New Roman"/>
          <w:sz w:val="28"/>
        </w:rPr>
        <w:t xml:space="preserve"> </w:t>
      </w:r>
      <w:r w:rsidR="00BF4F6A">
        <w:rPr>
          <w:rFonts w:ascii="Times New Roman" w:hAnsi="Times New Roman" w:cs="Times New Roman"/>
          <w:sz w:val="28"/>
        </w:rPr>
        <w:t>[13</w:t>
      </w:r>
      <w:r w:rsidR="007F5D15" w:rsidRPr="007F5D15">
        <w:rPr>
          <w:rFonts w:ascii="Times New Roman" w:hAnsi="Times New Roman" w:cs="Times New Roman"/>
          <w:sz w:val="28"/>
        </w:rPr>
        <w:t>].</w:t>
      </w:r>
      <w:r>
        <w:rPr>
          <w:rFonts w:ascii="Times New Roman" w:hAnsi="Times New Roman" w:cs="Times New Roman"/>
          <w:sz w:val="28"/>
        </w:rPr>
        <w:t xml:space="preserve"> Данный принцип предполагает прививание новому сотруднику интереса к собственной деятельности, стремления к развитию профессионализма и вовлеченность в деятельность компании. Сама же компания должна предстать перед сотрудником, как </w:t>
      </w:r>
      <w:r>
        <w:rPr>
          <w:rFonts w:ascii="Times New Roman" w:hAnsi="Times New Roman" w:cs="Times New Roman"/>
          <w:sz w:val="28"/>
          <w:lang w:val="en-US"/>
        </w:rPr>
        <w:t>HR</w:t>
      </w:r>
      <w:r>
        <w:rPr>
          <w:rFonts w:ascii="Times New Roman" w:hAnsi="Times New Roman" w:cs="Times New Roman"/>
          <w:sz w:val="28"/>
        </w:rPr>
        <w:t>-бренд, ориентированный на персонал</w:t>
      </w:r>
      <w:r w:rsidR="0037634F">
        <w:rPr>
          <w:rFonts w:ascii="Times New Roman" w:hAnsi="Times New Roman" w:cs="Times New Roman"/>
          <w:sz w:val="28"/>
        </w:rPr>
        <w:t xml:space="preserve"> </w:t>
      </w:r>
      <w:r w:rsidR="00BF4F6A">
        <w:rPr>
          <w:rFonts w:ascii="Times New Roman" w:hAnsi="Times New Roman" w:cs="Times New Roman"/>
          <w:sz w:val="28"/>
        </w:rPr>
        <w:t>[14</w:t>
      </w:r>
      <w:r w:rsidR="0037634F" w:rsidRPr="0037634F">
        <w:rPr>
          <w:rFonts w:ascii="Times New Roman" w:hAnsi="Times New Roman" w:cs="Times New Roman"/>
          <w:sz w:val="28"/>
        </w:rPr>
        <w:t>]</w:t>
      </w:r>
      <w:r>
        <w:rPr>
          <w:rFonts w:ascii="Times New Roman" w:hAnsi="Times New Roman" w:cs="Times New Roman"/>
          <w:sz w:val="28"/>
        </w:rPr>
        <w:t>.</w:t>
      </w:r>
    </w:p>
    <w:p w14:paraId="1BD36C2A" w14:textId="125C6CDE" w:rsidR="00651F5B" w:rsidRDefault="00651F5B" w:rsidP="00651F5B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Не менее важным аспектом в работе с персоналом, в том числе с талантами, является финансовый вопрос. Заработная плата и иные материальные (финансовые) вознаграждения могут быть существенной мотивацией для работы. Соответственно, необходимо рассчитать оптимальную заработную плату и выстроить грамотную систему поощрений, но стоит помнить, что деньги являются мотивацией не для каждого сотрудника. Например, когда доход человека доходит до определенной точки и дальнейшее его увеличение не ощущается, деньги перестают мотивировать на какие-либо действия. В таком случае более существенными будут другие виды мотивации, например, дополнительные привилегии, обучение и карьерный рост</w:t>
      </w:r>
      <w:r w:rsidR="00AE1A28">
        <w:rPr>
          <w:rFonts w:ascii="Times New Roman" w:hAnsi="Times New Roman" w:cs="Times New Roman"/>
          <w:sz w:val="28"/>
        </w:rPr>
        <w:t xml:space="preserve"> </w:t>
      </w:r>
      <w:r w:rsidR="00BF4F6A">
        <w:rPr>
          <w:rFonts w:ascii="Times New Roman" w:hAnsi="Times New Roman" w:cs="Times New Roman"/>
          <w:sz w:val="28"/>
        </w:rPr>
        <w:t>[15</w:t>
      </w:r>
      <w:r w:rsidR="00AE1A28" w:rsidRPr="00AE1A28">
        <w:rPr>
          <w:rFonts w:ascii="Times New Roman" w:hAnsi="Times New Roman" w:cs="Times New Roman"/>
          <w:sz w:val="28"/>
        </w:rPr>
        <w:t>]</w:t>
      </w:r>
      <w:r>
        <w:rPr>
          <w:rFonts w:ascii="Times New Roman" w:hAnsi="Times New Roman" w:cs="Times New Roman"/>
          <w:sz w:val="28"/>
        </w:rPr>
        <w:t>.</w:t>
      </w:r>
    </w:p>
    <w:p w14:paraId="18E93A23" w14:textId="07B0A380" w:rsidR="00651F5B" w:rsidRDefault="00651F5B" w:rsidP="00651F5B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Обучение и развитие сотрудника – это не только часть программы мотивации, но и инструмент развития компании (с ростом квалификации кадров происходит рост потенциала компании), поэтому доступ к нему должен быть у сотрудников всё время</w:t>
      </w:r>
      <w:r w:rsidR="00A6625B" w:rsidRPr="00A6625B">
        <w:rPr>
          <w:rFonts w:ascii="Times New Roman" w:hAnsi="Times New Roman" w:cs="Times New Roman"/>
          <w:sz w:val="28"/>
        </w:rPr>
        <w:t xml:space="preserve"> [</w:t>
      </w:r>
      <w:r w:rsidR="00BF4F6A">
        <w:rPr>
          <w:rFonts w:ascii="Times New Roman" w:hAnsi="Times New Roman" w:cs="Times New Roman"/>
          <w:sz w:val="28"/>
        </w:rPr>
        <w:t>16</w:t>
      </w:r>
      <w:r w:rsidR="00A6625B" w:rsidRPr="00A6625B">
        <w:rPr>
          <w:rFonts w:ascii="Times New Roman" w:hAnsi="Times New Roman" w:cs="Times New Roman"/>
          <w:sz w:val="28"/>
        </w:rPr>
        <w:t>]</w:t>
      </w:r>
      <w:r>
        <w:rPr>
          <w:rFonts w:ascii="Times New Roman" w:hAnsi="Times New Roman" w:cs="Times New Roman"/>
          <w:sz w:val="28"/>
        </w:rPr>
        <w:t xml:space="preserve">. </w:t>
      </w:r>
    </w:p>
    <w:p w14:paraId="46681101" w14:textId="77777777" w:rsidR="00651F5B" w:rsidRDefault="00651F5B" w:rsidP="00651F5B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Обучение может быть в самой компании или же в другой, а также в университете или на специальной платформе. Главный критерий выбора – эффективность обучения. Оно должно давать сотрудникам такие знания, которые в последствии можно использовать в реальной ситуации и превратить в практические навыки.</w:t>
      </w:r>
    </w:p>
    <w:p w14:paraId="2161275C" w14:textId="3F25CCA6" w:rsidR="00651F5B" w:rsidRDefault="00651F5B" w:rsidP="00651F5B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lastRenderedPageBreak/>
        <w:t xml:space="preserve">Помимо мотивации и развития талантов, над ними нужно осуществлять непосредственное управление, т.е. во главе должен стоять менеджер, который способен создать слаженную беспрерывно работающую систему, основанную на определенной организационной структуре и имеющую определенную корпоративную культуру. Также менеджер должен заниматься грамотной постановкой целей по </w:t>
      </w:r>
      <w:r>
        <w:rPr>
          <w:rFonts w:ascii="Times New Roman" w:hAnsi="Times New Roman" w:cs="Times New Roman"/>
          <w:sz w:val="28"/>
          <w:lang w:val="en-US"/>
        </w:rPr>
        <w:t>SMART</w:t>
      </w:r>
      <w:r>
        <w:rPr>
          <w:rFonts w:ascii="Times New Roman" w:hAnsi="Times New Roman" w:cs="Times New Roman"/>
          <w:sz w:val="28"/>
        </w:rPr>
        <w:t xml:space="preserve"> (не забывая о соответствии целей компании и сотрудников) и их делегированием подходящим людям</w:t>
      </w:r>
      <w:r w:rsidR="00F93135">
        <w:rPr>
          <w:rFonts w:ascii="Times New Roman" w:hAnsi="Times New Roman" w:cs="Times New Roman"/>
          <w:sz w:val="28"/>
        </w:rPr>
        <w:t xml:space="preserve"> </w:t>
      </w:r>
      <w:r w:rsidR="00BF4F6A">
        <w:rPr>
          <w:rFonts w:ascii="Times New Roman" w:hAnsi="Times New Roman" w:cs="Times New Roman"/>
          <w:sz w:val="28"/>
        </w:rPr>
        <w:t>[17</w:t>
      </w:r>
      <w:r w:rsidR="00F93135" w:rsidRPr="00F93135">
        <w:rPr>
          <w:rFonts w:ascii="Times New Roman" w:hAnsi="Times New Roman" w:cs="Times New Roman"/>
          <w:sz w:val="28"/>
        </w:rPr>
        <w:t>]</w:t>
      </w:r>
      <w:r>
        <w:rPr>
          <w:rFonts w:ascii="Times New Roman" w:hAnsi="Times New Roman" w:cs="Times New Roman"/>
          <w:sz w:val="28"/>
        </w:rPr>
        <w:t>. После проводить оценку достигнутых результатов и эффективности их достижения, в зависимости от чего менеджеру необходимо перестраивать свою работу, повышая производительность труда сотрудников.</w:t>
      </w:r>
    </w:p>
    <w:p w14:paraId="272FBFA7" w14:textId="422A956C" w:rsidR="00651F5B" w:rsidRDefault="00651F5B" w:rsidP="00651F5B">
      <w:pPr>
        <w:tabs>
          <w:tab w:val="left" w:pos="426"/>
        </w:tabs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Разработав программы адаптации, развития и управления кадрами, компании необходимо обратить внимание на такую программ</w:t>
      </w:r>
      <w:r w:rsidR="00EA05B0">
        <w:rPr>
          <w:rFonts w:ascii="Times New Roman" w:hAnsi="Times New Roman" w:cs="Times New Roman"/>
          <w:sz w:val="28"/>
        </w:rPr>
        <w:t>у, как сохранение кадров, в том числе</w:t>
      </w:r>
      <w:r>
        <w:rPr>
          <w:rFonts w:ascii="Times New Roman" w:hAnsi="Times New Roman" w:cs="Times New Roman"/>
          <w:sz w:val="28"/>
        </w:rPr>
        <w:t xml:space="preserve"> кадровый резерв. Данная программа разрабатывается с целью удержания кадров от перехода в другую организацию</w:t>
      </w:r>
      <w:r w:rsidR="0037634F">
        <w:rPr>
          <w:rFonts w:ascii="Times New Roman" w:hAnsi="Times New Roman" w:cs="Times New Roman"/>
          <w:sz w:val="28"/>
        </w:rPr>
        <w:t xml:space="preserve"> </w:t>
      </w:r>
      <w:r w:rsidR="00573215" w:rsidRPr="00573215">
        <w:rPr>
          <w:rFonts w:ascii="Times New Roman" w:hAnsi="Times New Roman" w:cs="Times New Roman"/>
          <w:sz w:val="28"/>
        </w:rPr>
        <w:t>[</w:t>
      </w:r>
      <w:r w:rsidR="00BF4F6A">
        <w:rPr>
          <w:rFonts w:ascii="Times New Roman" w:hAnsi="Times New Roman" w:cs="Times New Roman"/>
          <w:sz w:val="28"/>
          <w:lang w:val="en-US"/>
        </w:rPr>
        <w:t>18</w:t>
      </w:r>
      <w:r w:rsidR="00573215">
        <w:rPr>
          <w:rFonts w:ascii="Times New Roman" w:hAnsi="Times New Roman" w:cs="Times New Roman"/>
          <w:sz w:val="28"/>
          <w:lang w:val="en-US"/>
        </w:rPr>
        <w:t>]</w:t>
      </w:r>
      <w:r>
        <w:rPr>
          <w:rFonts w:ascii="Times New Roman" w:hAnsi="Times New Roman" w:cs="Times New Roman"/>
          <w:sz w:val="28"/>
        </w:rPr>
        <w:t>. Другими словами, можно сказать, что данная программа мотивирует, позволяя сотрудникам проявлять свои таланты и реализовывать свои личные потребности, амбиции именно в этой организации. Сюда может относится мотивационная система, построение индивидуальной траектории развития и т.д.</w:t>
      </w:r>
    </w:p>
    <w:p w14:paraId="6DD82B3A" w14:textId="77777777" w:rsidR="00651F5B" w:rsidRDefault="00651F5B" w:rsidP="00651F5B">
      <w:pPr>
        <w:tabs>
          <w:tab w:val="left" w:pos="426"/>
        </w:tabs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Однако кроме удовлетворения своих потребностей, каждый человек стремится к улучшению уровня жизни, повышению статуса и продвижению по карьерной лестнице, что и является последним этапом в управлении талантами. Важно, чтобы этот процесс стал в организации максимально прозрачно и справедливо, а персонал понимал, как он может получить повышение. Если человек чётко знает, что ему необходимо сделать для достижения своей цели, то у него будет больше желания идти к ней.</w:t>
      </w:r>
    </w:p>
    <w:p w14:paraId="18FF4DCD" w14:textId="77777777" w:rsidR="00651F5B" w:rsidRDefault="00651F5B" w:rsidP="00651F5B">
      <w:pPr>
        <w:tabs>
          <w:tab w:val="left" w:pos="426"/>
        </w:tabs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Все этапы работы с персоналом в рамках программы управления талантами базируются на следующих принципах.</w:t>
      </w:r>
    </w:p>
    <w:p w14:paraId="15588386" w14:textId="53E31B3E" w:rsidR="00651F5B" w:rsidRPr="00DC43E4" w:rsidRDefault="00651F5B" w:rsidP="00651F5B">
      <w:pPr>
        <w:tabs>
          <w:tab w:val="left" w:pos="426"/>
        </w:tabs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1. Согласованность со стратегией организации. Управление талантами как стратегия управления человеческими ресурсами должна базироваться на общих глобальных принципах и целях всей организации</w:t>
      </w:r>
      <w:r w:rsidR="00EA05B0">
        <w:rPr>
          <w:rFonts w:ascii="Times New Roman" w:hAnsi="Times New Roman" w:cs="Times New Roman"/>
          <w:sz w:val="28"/>
        </w:rPr>
        <w:t xml:space="preserve"> [</w:t>
      </w:r>
      <w:r w:rsidR="00BF4F6A">
        <w:rPr>
          <w:rFonts w:ascii="Times New Roman" w:hAnsi="Times New Roman" w:cs="Times New Roman"/>
          <w:sz w:val="28"/>
        </w:rPr>
        <w:t>19</w:t>
      </w:r>
      <w:r w:rsidR="00EA05B0" w:rsidRPr="00EA05B0">
        <w:rPr>
          <w:rFonts w:ascii="Times New Roman" w:hAnsi="Times New Roman" w:cs="Times New Roman"/>
          <w:sz w:val="28"/>
        </w:rPr>
        <w:t>]</w:t>
      </w:r>
      <w:r>
        <w:rPr>
          <w:rFonts w:ascii="Times New Roman" w:hAnsi="Times New Roman" w:cs="Times New Roman"/>
          <w:sz w:val="28"/>
        </w:rPr>
        <w:t>.</w:t>
      </w:r>
    </w:p>
    <w:p w14:paraId="7FBA5B2E" w14:textId="77777777" w:rsidR="00651F5B" w:rsidRDefault="00651F5B" w:rsidP="00651F5B">
      <w:pPr>
        <w:tabs>
          <w:tab w:val="left" w:pos="426"/>
        </w:tabs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lastRenderedPageBreak/>
        <w:t>2. Последовательность. Программа должна иметь четкий, но гибкий план реализации, действия в котором будут последовательны, достижимы и не противоречивы.</w:t>
      </w:r>
    </w:p>
    <w:p w14:paraId="2B48FA0F" w14:textId="77777777" w:rsidR="00651F5B" w:rsidRDefault="00651F5B" w:rsidP="00651F5B">
      <w:pPr>
        <w:tabs>
          <w:tab w:val="left" w:pos="426"/>
        </w:tabs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3. Встраиваемость в корпоративную культуру. Программа не может противоречить корпоративной культуре.</w:t>
      </w:r>
    </w:p>
    <w:p w14:paraId="29ADDF27" w14:textId="6C26E124" w:rsidR="00651F5B" w:rsidRDefault="00651F5B" w:rsidP="00651F5B">
      <w:pPr>
        <w:tabs>
          <w:tab w:val="left" w:pos="426"/>
        </w:tabs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4. Заинтересованность руководителей всех уровней. Все менеджеры должны осознавать важность программы, её цели и содержание, а также иметь виденье итогового результата. Они должны быть максимально вовлечены в работу и заражать этим остальных</w:t>
      </w:r>
      <w:r w:rsidR="007F37EA">
        <w:rPr>
          <w:rFonts w:ascii="Times New Roman" w:hAnsi="Times New Roman" w:cs="Times New Roman"/>
          <w:sz w:val="28"/>
        </w:rPr>
        <w:t xml:space="preserve"> </w:t>
      </w:r>
      <w:r w:rsidR="00BF4F6A">
        <w:rPr>
          <w:rFonts w:ascii="Times New Roman" w:hAnsi="Times New Roman" w:cs="Times New Roman"/>
          <w:sz w:val="28"/>
        </w:rPr>
        <w:t>[20</w:t>
      </w:r>
      <w:r w:rsidR="007F37EA" w:rsidRPr="007F37EA">
        <w:rPr>
          <w:rFonts w:ascii="Times New Roman" w:hAnsi="Times New Roman" w:cs="Times New Roman"/>
          <w:sz w:val="28"/>
        </w:rPr>
        <w:t>]</w:t>
      </w:r>
      <w:r>
        <w:rPr>
          <w:rFonts w:ascii="Times New Roman" w:hAnsi="Times New Roman" w:cs="Times New Roman"/>
          <w:sz w:val="28"/>
        </w:rPr>
        <w:t>.</w:t>
      </w:r>
    </w:p>
    <w:p w14:paraId="0E569C82" w14:textId="77777777" w:rsidR="00651F5B" w:rsidRDefault="00651F5B" w:rsidP="00651F5B">
      <w:pPr>
        <w:tabs>
          <w:tab w:val="left" w:pos="426"/>
        </w:tabs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5. Сотрудничество. Качественная реализация программы будет возможна при оптимальном взаимодействии всех подразделений организации, готовых активно делится опытом и мыслями друг с другом.</w:t>
      </w:r>
    </w:p>
    <w:p w14:paraId="2BBEE9B1" w14:textId="77777777" w:rsidR="00651F5B" w:rsidRDefault="00651F5B" w:rsidP="00651F5B">
      <w:pPr>
        <w:tabs>
          <w:tab w:val="left" w:pos="426"/>
        </w:tabs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6. Справедливость и прозрачность. Все требования к сотрудникам должны быть ясными и одинаковыми для всех.</w:t>
      </w:r>
    </w:p>
    <w:p w14:paraId="5617E332" w14:textId="77777777" w:rsidR="00651F5B" w:rsidRDefault="00651F5B" w:rsidP="00651F5B">
      <w:pPr>
        <w:tabs>
          <w:tab w:val="left" w:pos="426"/>
        </w:tabs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7. Доступность. Абсолютно каждый сотрудник должен иметь возможность участвовать в программе.</w:t>
      </w:r>
    </w:p>
    <w:p w14:paraId="6D73E255" w14:textId="77777777" w:rsidR="00651F5B" w:rsidRDefault="00651F5B" w:rsidP="00651F5B">
      <w:pPr>
        <w:tabs>
          <w:tab w:val="left" w:pos="426"/>
        </w:tabs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E3F4A">
        <w:rPr>
          <w:rFonts w:ascii="Times New Roman" w:hAnsi="Times New Roman" w:cs="Times New Roman"/>
          <w:sz w:val="28"/>
          <w:szCs w:val="28"/>
        </w:rPr>
        <w:t>Самыми удачными оказываются те корпоративные программы, которые основываются на базовых принц</w:t>
      </w:r>
      <w:r>
        <w:rPr>
          <w:rFonts w:ascii="Times New Roman" w:hAnsi="Times New Roman" w:cs="Times New Roman"/>
          <w:sz w:val="28"/>
          <w:szCs w:val="28"/>
        </w:rPr>
        <w:t>ипах и к которым в организациях</w:t>
      </w:r>
      <w:r w:rsidRPr="003E3F4A">
        <w:rPr>
          <w:rFonts w:ascii="Times New Roman" w:hAnsi="Times New Roman" w:cs="Times New Roman"/>
          <w:sz w:val="28"/>
          <w:szCs w:val="28"/>
        </w:rPr>
        <w:t xml:space="preserve"> относятся как к делу стратегической значимости. Лидерство на рынке обеспечивается талантливым персоналом, поэтому иметь талантливых работников – одно из конкурентных преимуществ любой компании. </w:t>
      </w:r>
      <w:r>
        <w:rPr>
          <w:rFonts w:ascii="Times New Roman" w:hAnsi="Times New Roman" w:cs="Times New Roman"/>
          <w:sz w:val="28"/>
          <w:szCs w:val="28"/>
        </w:rPr>
        <w:t>Для того чтобы в компании всегда были столь ценные сотрудники, необходимо понимать ценности и потребности разных людей и в соответствии с ними выстраивать программу управления талантами, а также отслеживать их вовлеченность в деятельность организации и достигнутые результаты, вносить корректировки в программу.</w:t>
      </w:r>
    </w:p>
    <w:p w14:paraId="0B084094" w14:textId="77777777" w:rsidR="00B708E9" w:rsidRPr="007E645C" w:rsidRDefault="00B708E9" w:rsidP="00730E0C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  <w:r w:rsidRPr="007E645C">
        <w:rPr>
          <w:rFonts w:ascii="Times New Roman" w:hAnsi="Times New Roman" w:cs="Times New Roman"/>
          <w:b/>
          <w:sz w:val="28"/>
          <w:szCs w:val="28"/>
        </w:rPr>
        <w:t>Аналитическая часть</w:t>
      </w:r>
    </w:p>
    <w:p w14:paraId="3BDAAFFD" w14:textId="28ED1BE5" w:rsidR="00B5670D" w:rsidRDefault="00B5670D" w:rsidP="00730E0C">
      <w:pPr>
        <w:spacing w:after="0" w:line="360" w:lineRule="auto"/>
        <w:ind w:right="-284" w:firstLine="709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В целях выявления наиболее </w:t>
      </w:r>
      <w:r w:rsidR="00730E0C">
        <w:rPr>
          <w:rFonts w:ascii="Times New Roman" w:hAnsi="Times New Roman" w:cs="Times New Roman"/>
          <w:sz w:val="28"/>
        </w:rPr>
        <w:t xml:space="preserve">часто встречающихся причин увольнения талантливых сотрудников и наиболее </w:t>
      </w:r>
      <w:r>
        <w:rPr>
          <w:rFonts w:ascii="Times New Roman" w:hAnsi="Times New Roman" w:cs="Times New Roman"/>
          <w:sz w:val="28"/>
        </w:rPr>
        <w:t>значимых э</w:t>
      </w:r>
      <w:r w:rsidR="00730E0C">
        <w:rPr>
          <w:rFonts w:ascii="Times New Roman" w:hAnsi="Times New Roman" w:cs="Times New Roman"/>
          <w:sz w:val="28"/>
        </w:rPr>
        <w:t>тапов</w:t>
      </w:r>
      <w:r>
        <w:rPr>
          <w:rFonts w:ascii="Times New Roman" w:hAnsi="Times New Roman" w:cs="Times New Roman"/>
          <w:sz w:val="28"/>
        </w:rPr>
        <w:t xml:space="preserve"> процесса управления талантами была сформирована анкета, состоящая из 7 вопросов для сотрудников </w:t>
      </w:r>
      <w:r>
        <w:rPr>
          <w:rFonts w:ascii="Times New Roman" w:hAnsi="Times New Roman" w:cs="Times New Roman"/>
          <w:sz w:val="28"/>
          <w:lang w:val="en-US"/>
        </w:rPr>
        <w:t>HR</w:t>
      </w:r>
      <w:r>
        <w:rPr>
          <w:rFonts w:ascii="Times New Roman" w:hAnsi="Times New Roman" w:cs="Times New Roman"/>
          <w:sz w:val="28"/>
        </w:rPr>
        <w:t>-отдел</w:t>
      </w:r>
      <w:r w:rsidR="00730E0C">
        <w:rPr>
          <w:rFonts w:ascii="Times New Roman" w:hAnsi="Times New Roman" w:cs="Times New Roman"/>
          <w:sz w:val="28"/>
        </w:rPr>
        <w:t>ов</w:t>
      </w:r>
      <w:r>
        <w:rPr>
          <w:rFonts w:ascii="Times New Roman" w:hAnsi="Times New Roman" w:cs="Times New Roman"/>
          <w:sz w:val="28"/>
        </w:rPr>
        <w:t xml:space="preserve"> компаний различных отраслей и масштаба. </w:t>
      </w:r>
      <w:r w:rsidR="00730E0C">
        <w:rPr>
          <w:rFonts w:ascii="Times New Roman" w:hAnsi="Times New Roman" w:cs="Times New Roman"/>
          <w:sz w:val="28"/>
        </w:rPr>
        <w:t xml:space="preserve">Итоговое количество </w:t>
      </w:r>
      <w:r w:rsidR="00730E0C">
        <w:rPr>
          <w:rFonts w:ascii="Times New Roman" w:hAnsi="Times New Roman" w:cs="Times New Roman"/>
          <w:sz w:val="28"/>
        </w:rPr>
        <w:lastRenderedPageBreak/>
        <w:t xml:space="preserve">респондентов, участвующих в опросе, равно 53. Опрос проводился на основе </w:t>
      </w:r>
      <w:r w:rsidR="00730E0C">
        <w:rPr>
          <w:rFonts w:ascii="Times New Roman" w:hAnsi="Times New Roman" w:cs="Times New Roman"/>
          <w:sz w:val="28"/>
          <w:lang w:val="en-US"/>
        </w:rPr>
        <w:t>Google</w:t>
      </w:r>
      <w:r w:rsidR="00730E0C" w:rsidRPr="00730E0C">
        <w:rPr>
          <w:rFonts w:ascii="Times New Roman" w:hAnsi="Times New Roman" w:cs="Times New Roman"/>
          <w:sz w:val="28"/>
        </w:rPr>
        <w:t xml:space="preserve"> </w:t>
      </w:r>
      <w:r w:rsidR="00730E0C">
        <w:rPr>
          <w:rFonts w:ascii="Times New Roman" w:hAnsi="Times New Roman" w:cs="Times New Roman"/>
          <w:sz w:val="28"/>
          <w:lang w:val="en-US"/>
        </w:rPr>
        <w:t>Forms</w:t>
      </w:r>
      <w:r w:rsidR="00730E0C">
        <w:rPr>
          <w:rFonts w:ascii="Times New Roman" w:hAnsi="Times New Roman" w:cs="Times New Roman"/>
          <w:sz w:val="28"/>
        </w:rPr>
        <w:t xml:space="preserve"> путем распространения ссылки.</w:t>
      </w:r>
      <w:r w:rsidR="00FE3B70">
        <w:rPr>
          <w:rFonts w:ascii="Times New Roman" w:hAnsi="Times New Roman" w:cs="Times New Roman"/>
          <w:sz w:val="28"/>
        </w:rPr>
        <w:t xml:space="preserve"> Вопросы носили закрытый характер, однако, в нескольких из них был представлен вариант «Другое», где возможно было написать свой вариант ответа.</w:t>
      </w:r>
      <w:r w:rsidR="006B5A6B">
        <w:rPr>
          <w:rFonts w:ascii="Times New Roman" w:hAnsi="Times New Roman" w:cs="Times New Roman"/>
          <w:sz w:val="28"/>
        </w:rPr>
        <w:t xml:space="preserve"> Заданные в анкете вопросы предполагали один вариант ответа, кроме последнего (седьмого) вопроса.</w:t>
      </w:r>
    </w:p>
    <w:p w14:paraId="1F8E78CF" w14:textId="26B169C7" w:rsidR="00730E0C" w:rsidRDefault="00730E0C" w:rsidP="00730E0C">
      <w:pPr>
        <w:spacing w:after="0" w:line="360" w:lineRule="auto"/>
        <w:ind w:right="-284" w:firstLine="709"/>
        <w:jc w:val="both"/>
        <w:rPr>
          <w:rFonts w:ascii="Times New Roman" w:hAnsi="Times New Roman" w:cs="Times New Roman"/>
          <w:sz w:val="28"/>
        </w:rPr>
      </w:pPr>
      <w:r>
        <w:rPr>
          <w:noProof/>
        </w:rPr>
        <w:drawing>
          <wp:anchor distT="0" distB="0" distL="114300" distR="114300" simplePos="0" relativeHeight="251658240" behindDoc="1" locked="0" layoutInCell="1" allowOverlap="1" wp14:anchorId="2172A487" wp14:editId="14508117">
            <wp:simplePos x="0" y="0"/>
            <wp:positionH relativeFrom="column">
              <wp:posOffset>1108710</wp:posOffset>
            </wp:positionH>
            <wp:positionV relativeFrom="paragraph">
              <wp:posOffset>594360</wp:posOffset>
            </wp:positionV>
            <wp:extent cx="4572000" cy="2743200"/>
            <wp:effectExtent l="0" t="0" r="0" b="0"/>
            <wp:wrapTight wrapText="bothSides">
              <wp:wrapPolygon edited="0">
                <wp:start x="0" y="0"/>
                <wp:lineTo x="0" y="21450"/>
                <wp:lineTo x="21510" y="21450"/>
                <wp:lineTo x="21510" y="0"/>
                <wp:lineTo x="0" y="0"/>
              </wp:wrapPolygon>
            </wp:wrapTight>
            <wp:docPr id="1" name="Диаграмма 1">
              <a:extLst xmlns:a="http://schemas.openxmlformats.org/drawingml/2006/main">
                <a:ext uri="{FF2B5EF4-FFF2-40B4-BE49-F238E27FC236}">
                  <a16:creationId xmlns:a16="http://schemas.microsoft.com/office/drawing/2014/main" xmlns:w16se="http://schemas.microsoft.com/office/word/2015/wordml/symex" xmlns:w16cid="http://schemas.microsoft.com/office/word/2016/wordml/cid" xmlns:w="http://schemas.openxmlformats.org/wordprocessingml/2006/main" xmlns:w10="urn:schemas-microsoft-com:office:word" xmlns:v="urn:schemas-microsoft-com:vml" xmlns:o="urn:schemas-microsoft-com:office:office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="" id="{B1DBEAA0-4D6B-443D-8B87-A286E3217B8E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9"/>
              </a:graphicData>
            </a:graphic>
          </wp:anchor>
        </w:drawing>
      </w:r>
      <w:r>
        <w:rPr>
          <w:rFonts w:ascii="Times New Roman" w:hAnsi="Times New Roman" w:cs="Times New Roman"/>
          <w:sz w:val="28"/>
        </w:rPr>
        <w:t>Первый вопрос позволяет узнать распределение респондентов по отраслям</w:t>
      </w:r>
      <w:r w:rsidR="00E5686E">
        <w:rPr>
          <w:rFonts w:ascii="Times New Roman" w:hAnsi="Times New Roman" w:cs="Times New Roman"/>
          <w:sz w:val="28"/>
        </w:rPr>
        <w:t xml:space="preserve"> (рисунок 3)</w:t>
      </w:r>
      <w:r>
        <w:rPr>
          <w:rFonts w:ascii="Times New Roman" w:hAnsi="Times New Roman" w:cs="Times New Roman"/>
          <w:sz w:val="28"/>
        </w:rPr>
        <w:t>.</w:t>
      </w:r>
    </w:p>
    <w:p w14:paraId="79EC9A70" w14:textId="0A4788E4" w:rsidR="00730E0C" w:rsidRPr="00730E0C" w:rsidRDefault="00E5686E" w:rsidP="00E5686E">
      <w:pPr>
        <w:spacing w:after="0" w:line="360" w:lineRule="auto"/>
        <w:ind w:right="-284" w:firstLine="709"/>
        <w:jc w:val="center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Рисунок 3 – Отрасль компаний, участвовавших в опросе</w:t>
      </w:r>
    </w:p>
    <w:p w14:paraId="077C6F0B" w14:textId="4BBCA667" w:rsidR="00E5686E" w:rsidRDefault="00E5686E" w:rsidP="00AD4A92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Количество предприятий торговли в опросе представлено 34 %, компании строительной сферы, образования и сельского хозяйства представлены примерно равным количествам и в относительных показателях занимают от 11 до 17 %, меньше всего компаний фармацевтической отрасли. </w:t>
      </w:r>
    </w:p>
    <w:p w14:paraId="1F489A1B" w14:textId="3310BE18" w:rsidR="00E5686E" w:rsidRDefault="00E5686E" w:rsidP="00AD4A92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</w:rPr>
      </w:pPr>
      <w:r>
        <w:rPr>
          <w:noProof/>
        </w:rPr>
        <w:lastRenderedPageBreak/>
        <w:drawing>
          <wp:anchor distT="0" distB="0" distL="114300" distR="114300" simplePos="0" relativeHeight="251659264" behindDoc="0" locked="0" layoutInCell="1" allowOverlap="1" wp14:anchorId="7F0E6C2E" wp14:editId="133DFAED">
            <wp:simplePos x="0" y="0"/>
            <wp:positionH relativeFrom="column">
              <wp:posOffset>1108710</wp:posOffset>
            </wp:positionH>
            <wp:positionV relativeFrom="paragraph">
              <wp:posOffset>927735</wp:posOffset>
            </wp:positionV>
            <wp:extent cx="4572000" cy="2581275"/>
            <wp:effectExtent l="0" t="0" r="0" b="0"/>
            <wp:wrapTopAndBottom/>
            <wp:docPr id="4" name="Диаграмма 4">
              <a:extLst xmlns:a="http://schemas.openxmlformats.org/drawingml/2006/main">
                <a:ext uri="{FF2B5EF4-FFF2-40B4-BE49-F238E27FC236}">
                  <a16:creationId xmlns:a16="http://schemas.microsoft.com/office/drawing/2014/main" xmlns:w16se="http://schemas.microsoft.com/office/word/2015/wordml/symex" xmlns:w16cid="http://schemas.microsoft.com/office/word/2016/wordml/cid" xmlns:w="http://schemas.openxmlformats.org/wordprocessingml/2006/main" xmlns:w10="urn:schemas-microsoft-com:office:word" xmlns:v="urn:schemas-microsoft-com:vml" xmlns:o="urn:schemas-microsoft-com:office:office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="" id="{10DE9B1D-0784-480A-ADA9-DB750B953974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0"/>
              </a:graphicData>
            </a:graphic>
            <wp14:sizeRelV relativeFrom="margin">
              <wp14:pctHeight>0</wp14:pctHeight>
            </wp14:sizeRelV>
          </wp:anchor>
        </w:drawing>
      </w:r>
      <w:r>
        <w:rPr>
          <w:rFonts w:ascii="Times New Roman" w:hAnsi="Times New Roman" w:cs="Times New Roman"/>
          <w:sz w:val="28"/>
        </w:rPr>
        <w:t>Второй вопрос касался масштаба компании и ответы были поделены почти поровну между малым и средним бизнесом. Однако в опросе участвовал и представитель крупного бизнеса (рисунок 4).</w:t>
      </w:r>
    </w:p>
    <w:p w14:paraId="52E63923" w14:textId="6AADF23E" w:rsidR="00FE3B70" w:rsidRDefault="00E5686E" w:rsidP="00FE3B70">
      <w:pPr>
        <w:spacing w:after="0" w:line="360" w:lineRule="auto"/>
        <w:ind w:right="-284" w:firstLine="709"/>
        <w:jc w:val="center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Рисунок 4 – Масштаб компаний, участвовавших в опросе</w:t>
      </w:r>
    </w:p>
    <w:p w14:paraId="3750246C" w14:textId="589F8008" w:rsidR="00FE3B70" w:rsidRDefault="00730E0C" w:rsidP="00FE3B70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Таким образом, </w:t>
      </w:r>
      <w:r w:rsidR="00E5686E">
        <w:rPr>
          <w:rFonts w:ascii="Times New Roman" w:hAnsi="Times New Roman" w:cs="Times New Roman"/>
          <w:sz w:val="28"/>
        </w:rPr>
        <w:t>мы видим, что в опросе участвовали компании из разных отраслей, что позволяет сформировать вывод об универсальности ответов.</w:t>
      </w:r>
    </w:p>
    <w:p w14:paraId="4BDE7FC0" w14:textId="157598AC" w:rsidR="00FE3B70" w:rsidRDefault="00FE3B70" w:rsidP="00FE3B70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</w:rPr>
      </w:pPr>
      <w:r>
        <w:rPr>
          <w:noProof/>
        </w:rPr>
        <w:drawing>
          <wp:anchor distT="0" distB="0" distL="114300" distR="114300" simplePos="0" relativeHeight="251660288" behindDoc="0" locked="0" layoutInCell="1" allowOverlap="1" wp14:anchorId="039EF35B" wp14:editId="4BD01436">
            <wp:simplePos x="0" y="0"/>
            <wp:positionH relativeFrom="column">
              <wp:posOffset>1108710</wp:posOffset>
            </wp:positionH>
            <wp:positionV relativeFrom="paragraph">
              <wp:posOffset>838200</wp:posOffset>
            </wp:positionV>
            <wp:extent cx="4572000" cy="2638425"/>
            <wp:effectExtent l="0" t="0" r="0" b="0"/>
            <wp:wrapTopAndBottom/>
            <wp:docPr id="5" name="Диаграмма 5">
              <a:extLst xmlns:a="http://schemas.openxmlformats.org/drawingml/2006/main">
                <a:ext uri="{FF2B5EF4-FFF2-40B4-BE49-F238E27FC236}">
                  <a16:creationId xmlns:a16="http://schemas.microsoft.com/office/drawing/2014/main" xmlns:w16se="http://schemas.microsoft.com/office/word/2015/wordml/symex" xmlns:w16cid="http://schemas.microsoft.com/office/word/2016/wordml/cid" xmlns:w="http://schemas.openxmlformats.org/wordprocessingml/2006/main" xmlns:w10="urn:schemas-microsoft-com:office:word" xmlns:v="urn:schemas-microsoft-com:vml" xmlns:o="urn:schemas-microsoft-com:office:office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="" id="{80FD8AD7-4DA1-4DDF-A13C-BF5A3877CB23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1"/>
              </a:graphicData>
            </a:graphic>
            <wp14:sizeRelV relativeFrom="margin">
              <wp14:pctHeight>0</wp14:pctHeight>
            </wp14:sizeRelV>
          </wp:anchor>
        </w:drawing>
      </w:r>
      <w:r>
        <w:rPr>
          <w:rFonts w:ascii="Times New Roman" w:hAnsi="Times New Roman" w:cs="Times New Roman"/>
          <w:sz w:val="28"/>
        </w:rPr>
        <w:t>Третий вопрос заключался в том, чтобы определить, понимают ли компании, кто такие талантливые сотрудники и существует ли в их компаниях такая категория сотрудников (рисунок 5).</w:t>
      </w:r>
    </w:p>
    <w:p w14:paraId="3C392B2A" w14:textId="3DAD9BA6" w:rsidR="00FE3B70" w:rsidRDefault="00FE3B70" w:rsidP="00FE3B70">
      <w:pPr>
        <w:spacing w:after="0" w:line="360" w:lineRule="auto"/>
        <w:ind w:right="-284" w:firstLine="709"/>
        <w:jc w:val="center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Рисунок </w:t>
      </w:r>
      <w:r w:rsidR="00C73F5D">
        <w:rPr>
          <w:rFonts w:ascii="Times New Roman" w:hAnsi="Times New Roman" w:cs="Times New Roman"/>
          <w:sz w:val="28"/>
        </w:rPr>
        <w:t>5</w:t>
      </w:r>
      <w:r>
        <w:rPr>
          <w:rFonts w:ascii="Times New Roman" w:hAnsi="Times New Roman" w:cs="Times New Roman"/>
          <w:sz w:val="28"/>
        </w:rPr>
        <w:t xml:space="preserve"> – </w:t>
      </w:r>
      <w:r w:rsidRPr="00FE3B70">
        <w:rPr>
          <w:rFonts w:ascii="Times New Roman" w:hAnsi="Times New Roman" w:cs="Times New Roman"/>
          <w:sz w:val="28"/>
        </w:rPr>
        <w:t>Выделяете ли вы среди своих сотрудников отдельно "талантливых" сотрудников?</w:t>
      </w:r>
    </w:p>
    <w:p w14:paraId="592CF444" w14:textId="6F5C6D1F" w:rsidR="00FE3B70" w:rsidRDefault="00C73F5D" w:rsidP="00FE3B70">
      <w:pPr>
        <w:spacing w:after="0" w:line="360" w:lineRule="auto"/>
        <w:ind w:right="-284" w:firstLine="709"/>
        <w:jc w:val="both"/>
        <w:rPr>
          <w:rFonts w:ascii="Times New Roman" w:hAnsi="Times New Roman" w:cs="Times New Roman"/>
          <w:sz w:val="28"/>
        </w:rPr>
      </w:pPr>
      <w:r>
        <w:rPr>
          <w:noProof/>
        </w:rPr>
        <w:lastRenderedPageBreak/>
        <w:drawing>
          <wp:anchor distT="0" distB="0" distL="114300" distR="114300" simplePos="0" relativeHeight="251661312" behindDoc="0" locked="0" layoutInCell="1" allowOverlap="1" wp14:anchorId="4FC4B92B" wp14:editId="08A44BB7">
            <wp:simplePos x="0" y="0"/>
            <wp:positionH relativeFrom="column">
              <wp:posOffset>1089660</wp:posOffset>
            </wp:positionH>
            <wp:positionV relativeFrom="paragraph">
              <wp:posOffset>1644015</wp:posOffset>
            </wp:positionV>
            <wp:extent cx="4572000" cy="2543175"/>
            <wp:effectExtent l="0" t="0" r="0" b="0"/>
            <wp:wrapSquare wrapText="bothSides"/>
            <wp:docPr id="6" name="Диаграмма 6">
              <a:extLst xmlns:a="http://schemas.openxmlformats.org/drawingml/2006/main">
                <a:ext uri="{FF2B5EF4-FFF2-40B4-BE49-F238E27FC236}">
                  <a16:creationId xmlns:a16="http://schemas.microsoft.com/office/drawing/2014/main" xmlns:w16se="http://schemas.microsoft.com/office/word/2015/wordml/symex" xmlns:w16cid="http://schemas.microsoft.com/office/word/2016/wordml/cid" xmlns:w="http://schemas.openxmlformats.org/wordprocessingml/2006/main" xmlns:w10="urn:schemas-microsoft-com:office:word" xmlns:v="urn:schemas-microsoft-com:vml" xmlns:o="urn:schemas-microsoft-com:office:office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="" id="{2853A38F-D26A-4310-95E6-D1B9D4EFB12B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2"/>
              </a:graphicData>
            </a:graphic>
            <wp14:sizeRelV relativeFrom="margin">
              <wp14:pctHeight>0</wp14:pctHeight>
            </wp14:sizeRelV>
          </wp:anchor>
        </w:drawing>
      </w:r>
      <w:r w:rsidR="00FE3B70">
        <w:rPr>
          <w:rFonts w:ascii="Times New Roman" w:hAnsi="Times New Roman" w:cs="Times New Roman"/>
          <w:sz w:val="28"/>
        </w:rPr>
        <w:t>Большая часть выбрала вариант «Да», причем в 58 % входит крупный бизнес и большая часть среднего. Представители малого бизнеса в большинстве своем ответили отрицательно. Для ответивших на данный вопрос отрицательно опрос был завершен.</w:t>
      </w:r>
      <w:r>
        <w:rPr>
          <w:rFonts w:ascii="Times New Roman" w:hAnsi="Times New Roman" w:cs="Times New Roman"/>
          <w:sz w:val="28"/>
        </w:rPr>
        <w:t xml:space="preserve"> Ответившим же положительно далее был задан вопрос о том, какое количество талантливых сотрудников уволилось за последние 3 года из компании (рисунок 6).</w:t>
      </w:r>
    </w:p>
    <w:p w14:paraId="68663932" w14:textId="04159F7C" w:rsidR="00E5686E" w:rsidRDefault="00E5686E" w:rsidP="00FE3B70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</w:rPr>
      </w:pPr>
    </w:p>
    <w:p w14:paraId="38D98BED" w14:textId="12E8283D" w:rsidR="00BE636B" w:rsidRDefault="00BE636B" w:rsidP="00AD4A92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</w:rPr>
      </w:pPr>
    </w:p>
    <w:p w14:paraId="41D88431" w14:textId="7125B764" w:rsidR="00C73F5D" w:rsidRDefault="00C73F5D" w:rsidP="00C73F5D">
      <w:pPr>
        <w:spacing w:after="0" w:line="360" w:lineRule="auto"/>
        <w:ind w:right="-284" w:firstLine="709"/>
        <w:jc w:val="center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Рисунок </w:t>
      </w:r>
      <w:r w:rsidR="00BE1524">
        <w:rPr>
          <w:rFonts w:ascii="Times New Roman" w:hAnsi="Times New Roman" w:cs="Times New Roman"/>
          <w:sz w:val="28"/>
        </w:rPr>
        <w:t>6</w:t>
      </w:r>
      <w:r>
        <w:rPr>
          <w:rFonts w:ascii="Times New Roman" w:hAnsi="Times New Roman" w:cs="Times New Roman"/>
          <w:sz w:val="28"/>
        </w:rPr>
        <w:t xml:space="preserve"> – </w:t>
      </w:r>
      <w:r w:rsidRPr="00C73F5D">
        <w:rPr>
          <w:rFonts w:ascii="Times New Roman" w:hAnsi="Times New Roman" w:cs="Times New Roman"/>
          <w:sz w:val="28"/>
        </w:rPr>
        <w:t>Уходили ли от вас талантливые сотрудники за последние 3 года?</w:t>
      </w:r>
    </w:p>
    <w:p w14:paraId="01395B7B" w14:textId="190381B1" w:rsidR="00C73F5D" w:rsidRDefault="00C73F5D" w:rsidP="00730E0C">
      <w:pPr>
        <w:spacing w:line="360" w:lineRule="auto"/>
        <w:ind w:firstLine="709"/>
        <w:contextualSpacing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Более половины респондентов отметили, что за последние 3 года в их компании уволилось от 1 до 3 сотрудников, которые были отнесены к категории «талантливых». Более 10 талантливых сотрудников уволилось из 6 % компаний. Стоит отметить, что варианты «Нет, не уходили», «Да, более 20» и «Другое» выбраны не были.</w:t>
      </w:r>
    </w:p>
    <w:p w14:paraId="36931102" w14:textId="534A5581" w:rsidR="00BE1524" w:rsidRDefault="00BE1524" w:rsidP="00730E0C">
      <w:pPr>
        <w:spacing w:line="360" w:lineRule="auto"/>
        <w:ind w:firstLine="709"/>
        <w:contextualSpacing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noProof/>
        </w:rPr>
        <w:lastRenderedPageBreak/>
        <w:drawing>
          <wp:anchor distT="0" distB="0" distL="114300" distR="114300" simplePos="0" relativeHeight="251662336" behindDoc="0" locked="0" layoutInCell="1" allowOverlap="1" wp14:anchorId="50721A60" wp14:editId="21F954C5">
            <wp:simplePos x="0" y="0"/>
            <wp:positionH relativeFrom="column">
              <wp:posOffset>1261110</wp:posOffset>
            </wp:positionH>
            <wp:positionV relativeFrom="paragraph">
              <wp:posOffset>584835</wp:posOffset>
            </wp:positionV>
            <wp:extent cx="4572000" cy="2743200"/>
            <wp:effectExtent l="0" t="0" r="0" b="0"/>
            <wp:wrapTopAndBottom/>
            <wp:docPr id="7" name="Диаграмма 7">
              <a:extLst xmlns:a="http://schemas.openxmlformats.org/drawingml/2006/main">
                <a:ext uri="{FF2B5EF4-FFF2-40B4-BE49-F238E27FC236}">
                  <a16:creationId xmlns:a16="http://schemas.microsoft.com/office/drawing/2014/main" xmlns:w16se="http://schemas.microsoft.com/office/word/2015/wordml/symex" xmlns:w16cid="http://schemas.microsoft.com/office/word/2016/wordml/cid" xmlns:w="http://schemas.openxmlformats.org/wordprocessingml/2006/main" xmlns:w10="urn:schemas-microsoft-com:office:word" xmlns:v="urn:schemas-microsoft-com:vml" xmlns:o="urn:schemas-microsoft-com:office:office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="" id="{D8A37BFE-80E8-4BB9-9BAC-4CEE62162742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3"/>
              </a:graphicData>
            </a:graphic>
          </wp:anchor>
        </w:drawing>
      </w:r>
      <w:r>
        <w:rPr>
          <w:rFonts w:ascii="Times New Roman" w:hAnsi="Times New Roman" w:cs="Times New Roman"/>
          <w:bCs/>
          <w:sz w:val="28"/>
          <w:szCs w:val="28"/>
        </w:rPr>
        <w:t>Пятый вопрос направлен на то, чтобы узнать причины увольнения талантливых людей из компаний.</w:t>
      </w:r>
    </w:p>
    <w:p w14:paraId="7EFD17FA" w14:textId="1430333A" w:rsidR="00BE1524" w:rsidRDefault="00BE1524" w:rsidP="00BE1524">
      <w:pPr>
        <w:spacing w:after="0" w:line="360" w:lineRule="auto"/>
        <w:ind w:right="-284" w:firstLine="709"/>
        <w:jc w:val="center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Рисунок 7 – </w:t>
      </w:r>
      <w:r w:rsidR="00DC6A23" w:rsidRPr="00DC6A23">
        <w:rPr>
          <w:rFonts w:ascii="Times New Roman" w:hAnsi="Times New Roman" w:cs="Times New Roman"/>
          <w:sz w:val="28"/>
        </w:rPr>
        <w:t>Какие были основные причины их ухода из компании</w:t>
      </w:r>
      <w:r w:rsidRPr="00C73F5D">
        <w:rPr>
          <w:rFonts w:ascii="Times New Roman" w:hAnsi="Times New Roman" w:cs="Times New Roman"/>
          <w:sz w:val="28"/>
        </w:rPr>
        <w:t>?</w:t>
      </w:r>
    </w:p>
    <w:p w14:paraId="1829F78A" w14:textId="473B43C1" w:rsidR="00DC6A23" w:rsidRDefault="00DC6A23" w:rsidP="00DC6A23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Все респонденты отметили, как основную причину более выгодные предложения для талантливых сотрудник со стороны других компаний: для наименьшего количества респондентов это предложение поступило из другой страны (6 %), для большинства – из другого региона (55 %).</w:t>
      </w:r>
    </w:p>
    <w:p w14:paraId="47A31D2D" w14:textId="6562D31F" w:rsidR="00DC6A23" w:rsidRDefault="00DC6A23" w:rsidP="00DC6A23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Далее резюмирую информацию о различных этапах (элементах и характеристиках) процесса управления талантами, был составлен шестой вопрос. Он подразумевает определение ключевого этапа при управлении персоналом.</w:t>
      </w:r>
    </w:p>
    <w:p w14:paraId="1B4A28E0" w14:textId="6A9BA71B" w:rsidR="00DC6A23" w:rsidRDefault="00DC6A23" w:rsidP="00DC6A23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</w:rPr>
      </w:pPr>
      <w:r>
        <w:rPr>
          <w:noProof/>
        </w:rPr>
        <w:drawing>
          <wp:inline distT="0" distB="0" distL="0" distR="0" wp14:anchorId="70669956" wp14:editId="04FF31D9">
            <wp:extent cx="4972050" cy="3028950"/>
            <wp:effectExtent l="0" t="0" r="0" b="0"/>
            <wp:docPr id="8" name="Диаграмма 8">
              <a:extLst xmlns:a="http://schemas.openxmlformats.org/drawingml/2006/main">
                <a:ext uri="{FF2B5EF4-FFF2-40B4-BE49-F238E27FC236}">
                  <a16:creationId xmlns:a16="http://schemas.microsoft.com/office/drawing/2014/main" xmlns:w16se="http://schemas.microsoft.com/office/word/2015/wordml/symex" xmlns:w16cid="http://schemas.microsoft.com/office/word/2016/wordml/cid" xmlns:w="http://schemas.openxmlformats.org/wordprocessingml/2006/main" xmlns:w10="urn:schemas-microsoft-com:office:word" xmlns:v="urn:schemas-microsoft-com:vml" xmlns:o="urn:schemas-microsoft-com:office:office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="" id="{11292102-7AE1-4605-990F-16F748507308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4"/>
              </a:graphicData>
            </a:graphic>
          </wp:inline>
        </w:drawing>
      </w:r>
    </w:p>
    <w:p w14:paraId="55FB8047" w14:textId="359FFDF5" w:rsidR="00DC6A23" w:rsidRDefault="00DC6A23" w:rsidP="006B5A6B">
      <w:pPr>
        <w:spacing w:after="0" w:line="360" w:lineRule="auto"/>
        <w:ind w:right="-284" w:firstLine="709"/>
        <w:jc w:val="center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lastRenderedPageBreak/>
        <w:t xml:space="preserve">Рисунок 8 – </w:t>
      </w:r>
      <w:r w:rsidR="006B5A6B" w:rsidRPr="006B5A6B">
        <w:rPr>
          <w:rFonts w:ascii="Times New Roman" w:hAnsi="Times New Roman" w:cs="Times New Roman"/>
          <w:sz w:val="28"/>
        </w:rPr>
        <w:t xml:space="preserve">Какой из </w:t>
      </w:r>
      <w:r w:rsidR="007D15AE">
        <w:rPr>
          <w:rFonts w:ascii="Times New Roman" w:hAnsi="Times New Roman" w:cs="Times New Roman"/>
          <w:sz w:val="28"/>
        </w:rPr>
        <w:t>элементов</w:t>
      </w:r>
      <w:r w:rsidR="006B5A6B" w:rsidRPr="006B5A6B">
        <w:rPr>
          <w:rFonts w:ascii="Times New Roman" w:hAnsi="Times New Roman" w:cs="Times New Roman"/>
          <w:sz w:val="28"/>
        </w:rPr>
        <w:t xml:space="preserve"> </w:t>
      </w:r>
      <w:r w:rsidR="006B5A6B">
        <w:rPr>
          <w:rFonts w:ascii="Times New Roman" w:hAnsi="Times New Roman" w:cs="Times New Roman"/>
          <w:sz w:val="28"/>
        </w:rPr>
        <w:t xml:space="preserve">процесса управления талантами </w:t>
      </w:r>
      <w:r w:rsidR="006B5A6B" w:rsidRPr="006B5A6B">
        <w:rPr>
          <w:rFonts w:ascii="Times New Roman" w:hAnsi="Times New Roman" w:cs="Times New Roman"/>
          <w:sz w:val="28"/>
        </w:rPr>
        <w:t>является наиболее важным при управлении талантами?</w:t>
      </w:r>
    </w:p>
    <w:p w14:paraId="3B5C513D" w14:textId="32EAECB9" w:rsidR="006B5A6B" w:rsidRDefault="006B5A6B" w:rsidP="006B5A6B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Наиболее важными э</w:t>
      </w:r>
      <w:r w:rsidR="007D15AE">
        <w:rPr>
          <w:rFonts w:ascii="Times New Roman" w:hAnsi="Times New Roman" w:cs="Times New Roman"/>
          <w:bCs/>
          <w:sz w:val="28"/>
          <w:szCs w:val="28"/>
        </w:rPr>
        <w:t>лементами</w:t>
      </w:r>
      <w:r>
        <w:rPr>
          <w:rFonts w:ascii="Times New Roman" w:hAnsi="Times New Roman" w:cs="Times New Roman"/>
          <w:bCs/>
          <w:sz w:val="28"/>
          <w:szCs w:val="28"/>
        </w:rPr>
        <w:t xml:space="preserve"> оказались</w:t>
      </w:r>
      <w:r w:rsidR="007D15AE">
        <w:rPr>
          <w:rFonts w:ascii="Times New Roman" w:hAnsi="Times New Roman" w:cs="Times New Roman"/>
          <w:bCs/>
          <w:sz w:val="28"/>
          <w:szCs w:val="28"/>
        </w:rPr>
        <w:t>:</w:t>
      </w:r>
      <w:r>
        <w:rPr>
          <w:rFonts w:ascii="Times New Roman" w:hAnsi="Times New Roman" w:cs="Times New Roman"/>
          <w:bCs/>
          <w:sz w:val="28"/>
          <w:szCs w:val="28"/>
        </w:rPr>
        <w:t xml:space="preserve"> продвижение по службе и управление конкурентоспособной заработной платой (по 32 %). Далее респонденты выбрали обучение и развитие (19 %), рекрутинг и адаптация как основной этап был выбран 10 % опрошенных, и только 7 % отметили результат управление производительностью. </w:t>
      </w:r>
      <w:r w:rsidR="00B45DC4">
        <w:rPr>
          <w:rFonts w:ascii="Times New Roman" w:hAnsi="Times New Roman" w:cs="Times New Roman"/>
          <w:bCs/>
          <w:sz w:val="28"/>
          <w:szCs w:val="28"/>
        </w:rPr>
        <w:t xml:space="preserve">Не был выбран ответ «программы сохранение кадров». </w:t>
      </w:r>
      <w:r>
        <w:rPr>
          <w:rFonts w:ascii="Times New Roman" w:hAnsi="Times New Roman" w:cs="Times New Roman"/>
          <w:bCs/>
          <w:sz w:val="28"/>
          <w:szCs w:val="28"/>
        </w:rPr>
        <w:t xml:space="preserve">Таким образом, мотивация такой категории сотрудников как «талантливые» схожа с мотивацией любого другого сотрудника, однако необходимо понимать, что продвижение по службе связано с решением новых задач, вызовов самому себе, что подтверждает выделенные </w:t>
      </w:r>
      <w:r w:rsidR="00AF0B9D">
        <w:rPr>
          <w:rFonts w:ascii="Times New Roman" w:hAnsi="Times New Roman" w:cs="Times New Roman"/>
          <w:bCs/>
          <w:sz w:val="28"/>
          <w:szCs w:val="28"/>
        </w:rPr>
        <w:t>особенности</w:t>
      </w:r>
      <w:r>
        <w:rPr>
          <w:rFonts w:ascii="Times New Roman" w:hAnsi="Times New Roman" w:cs="Times New Roman"/>
          <w:bCs/>
          <w:sz w:val="28"/>
          <w:szCs w:val="28"/>
        </w:rPr>
        <w:t xml:space="preserve"> талантливого сотрудника.</w:t>
      </w:r>
    </w:p>
    <w:p w14:paraId="4EA7DCAE" w14:textId="43BDDCCB" w:rsidR="006B5A6B" w:rsidRDefault="006B5A6B" w:rsidP="006B5A6B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Седьмой вопрос позволяет определить, каким образом респонденты удерживают талантливых сотрудников в компаниях.</w:t>
      </w:r>
    </w:p>
    <w:p w14:paraId="351C7AEB" w14:textId="039E65B5" w:rsidR="00AC327A" w:rsidRDefault="006B5A6B" w:rsidP="00AC327A">
      <w:pPr>
        <w:spacing w:after="0" w:line="360" w:lineRule="auto"/>
        <w:ind w:firstLine="709"/>
        <w:contextualSpacing/>
        <w:jc w:val="center"/>
        <w:rPr>
          <w:rFonts w:ascii="Times New Roman" w:hAnsi="Times New Roman" w:cs="Times New Roman"/>
          <w:sz w:val="28"/>
        </w:rPr>
      </w:pPr>
      <w:r>
        <w:rPr>
          <w:noProof/>
        </w:rPr>
        <w:drawing>
          <wp:anchor distT="0" distB="0" distL="114300" distR="114300" simplePos="0" relativeHeight="251663360" behindDoc="0" locked="0" layoutInCell="1" allowOverlap="1" wp14:anchorId="75826C33" wp14:editId="3D9C7724">
            <wp:simplePos x="0" y="0"/>
            <wp:positionH relativeFrom="column">
              <wp:posOffset>499110</wp:posOffset>
            </wp:positionH>
            <wp:positionV relativeFrom="paragraph">
              <wp:posOffset>0</wp:posOffset>
            </wp:positionV>
            <wp:extent cx="5791200" cy="2676525"/>
            <wp:effectExtent l="0" t="0" r="0" b="0"/>
            <wp:wrapTopAndBottom/>
            <wp:docPr id="9" name="Диаграмма 9">
              <a:extLst xmlns:a="http://schemas.openxmlformats.org/drawingml/2006/main">
                <a:ext uri="{FF2B5EF4-FFF2-40B4-BE49-F238E27FC236}">
                  <a16:creationId xmlns:a16="http://schemas.microsoft.com/office/drawing/2014/main" xmlns:w16se="http://schemas.microsoft.com/office/word/2015/wordml/symex" xmlns:w16cid="http://schemas.microsoft.com/office/word/2016/wordml/cid" xmlns:w="http://schemas.openxmlformats.org/wordprocessingml/2006/main" xmlns:w10="urn:schemas-microsoft-com:office:word" xmlns:v="urn:schemas-microsoft-com:vml" xmlns:o="urn:schemas-microsoft-com:office:office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="" id="{99836650-5294-4D73-B61C-500F145D701E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5"/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D17BBC">
        <w:rPr>
          <w:rFonts w:ascii="Times New Roman" w:hAnsi="Times New Roman" w:cs="Times New Roman"/>
          <w:sz w:val="28"/>
        </w:rPr>
        <w:t>Рисунок 9</w:t>
      </w:r>
      <w:r w:rsidR="00AC327A">
        <w:rPr>
          <w:rFonts w:ascii="Times New Roman" w:hAnsi="Times New Roman" w:cs="Times New Roman"/>
          <w:sz w:val="28"/>
        </w:rPr>
        <w:t xml:space="preserve"> – </w:t>
      </w:r>
      <w:r w:rsidR="00D17BBC">
        <w:rPr>
          <w:rFonts w:ascii="Times New Roman" w:hAnsi="Times New Roman" w:cs="Times New Roman"/>
          <w:sz w:val="28"/>
        </w:rPr>
        <w:t>Какие меры вы применяете для удержания талантливых сотрудников?</w:t>
      </w:r>
    </w:p>
    <w:p w14:paraId="5237A3DD" w14:textId="1E1EFD74" w:rsidR="00AC327A" w:rsidRPr="00AC327A" w:rsidRDefault="00AC327A" w:rsidP="00AC327A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AC327A">
        <w:rPr>
          <w:rFonts w:ascii="Times New Roman" w:hAnsi="Times New Roman" w:cs="Times New Roman"/>
          <w:bCs/>
          <w:sz w:val="28"/>
          <w:szCs w:val="28"/>
        </w:rPr>
        <w:t xml:space="preserve">Чаще всего </w:t>
      </w:r>
      <w:r>
        <w:rPr>
          <w:rFonts w:ascii="Times New Roman" w:hAnsi="Times New Roman" w:cs="Times New Roman"/>
          <w:bCs/>
          <w:sz w:val="28"/>
          <w:szCs w:val="28"/>
        </w:rPr>
        <w:t>респонденты выбирали варианты предоставления новых задач, запуск новых проектов и составление индивидуальной траектории развития. Реже всего представители компаний выбирали вариант о составлении четких целей. Также дважды был выбран ответ «Другое», где респонденты написали о присоединении к кадровому резерву.</w:t>
      </w:r>
    </w:p>
    <w:p w14:paraId="71D6B604" w14:textId="3693768C" w:rsidR="00730E0C" w:rsidRPr="007E645C" w:rsidRDefault="00730E0C" w:rsidP="00730E0C">
      <w:pPr>
        <w:spacing w:line="36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7E645C">
        <w:rPr>
          <w:rFonts w:ascii="Times New Roman" w:hAnsi="Times New Roman" w:cs="Times New Roman"/>
          <w:b/>
          <w:sz w:val="28"/>
          <w:szCs w:val="28"/>
        </w:rPr>
        <w:lastRenderedPageBreak/>
        <w:t>Рекомендательная часть</w:t>
      </w:r>
    </w:p>
    <w:p w14:paraId="3A2A9895" w14:textId="461F9F12" w:rsidR="00AC327A" w:rsidRDefault="00AC327A" w:rsidP="00AC327A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 xml:space="preserve">Говоря о совершенствовании процесса управления талантами в компаниях, следует акцентировать внимание на каждом из этапов этого процесса, т.к. только полное «погружение» в деятельность и ценности компании обеспечит лояльность талантливых сотрудников. Особое внимание следует обратить на анализ заработной платы и продвижение по службе, что поможет удержать сотрудников от </w:t>
      </w:r>
      <w:r w:rsidR="00B45DC4">
        <w:rPr>
          <w:rFonts w:ascii="Times New Roman" w:hAnsi="Times New Roman" w:cs="Times New Roman"/>
          <w:bCs/>
          <w:sz w:val="28"/>
          <w:szCs w:val="28"/>
        </w:rPr>
        <w:t xml:space="preserve">согласия на </w:t>
      </w:r>
      <w:r>
        <w:rPr>
          <w:rFonts w:ascii="Times New Roman" w:hAnsi="Times New Roman" w:cs="Times New Roman"/>
          <w:bCs/>
          <w:sz w:val="28"/>
          <w:szCs w:val="28"/>
        </w:rPr>
        <w:t>оффер</w:t>
      </w:r>
      <w:r w:rsidR="00B45DC4">
        <w:rPr>
          <w:rFonts w:ascii="Times New Roman" w:hAnsi="Times New Roman" w:cs="Times New Roman"/>
          <w:bCs/>
          <w:sz w:val="28"/>
          <w:szCs w:val="28"/>
        </w:rPr>
        <w:t>ы</w:t>
      </w:r>
      <w:r>
        <w:rPr>
          <w:rFonts w:ascii="Times New Roman" w:hAnsi="Times New Roman" w:cs="Times New Roman"/>
          <w:bCs/>
          <w:sz w:val="28"/>
          <w:szCs w:val="28"/>
        </w:rPr>
        <w:t>, сделанны</w:t>
      </w:r>
      <w:r w:rsidR="00B45DC4">
        <w:rPr>
          <w:rFonts w:ascii="Times New Roman" w:hAnsi="Times New Roman" w:cs="Times New Roman"/>
          <w:bCs/>
          <w:sz w:val="28"/>
          <w:szCs w:val="28"/>
        </w:rPr>
        <w:t>е</w:t>
      </w:r>
      <w:r>
        <w:rPr>
          <w:rFonts w:ascii="Times New Roman" w:hAnsi="Times New Roman" w:cs="Times New Roman"/>
          <w:bCs/>
          <w:sz w:val="28"/>
          <w:szCs w:val="28"/>
        </w:rPr>
        <w:t xml:space="preserve"> другими компаниями.</w:t>
      </w:r>
    </w:p>
    <w:p w14:paraId="0BA4F919" w14:textId="722866E3" w:rsidR="00AC327A" w:rsidRDefault="00AC327A" w:rsidP="00AC327A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 xml:space="preserve">На самом деле, продвижение по службе включает в себя </w:t>
      </w:r>
      <w:r w:rsidR="00B45DC4">
        <w:rPr>
          <w:rFonts w:ascii="Times New Roman" w:hAnsi="Times New Roman" w:cs="Times New Roman"/>
          <w:bCs/>
          <w:sz w:val="28"/>
          <w:szCs w:val="28"/>
        </w:rPr>
        <w:t>такие выделенные респондентами меры как делегирование полномочий, запуск новых проектов, решение неординарных задач, составление индивидуальной траектории развития.</w:t>
      </w:r>
    </w:p>
    <w:p w14:paraId="1300118C" w14:textId="3FDDC673" w:rsidR="00B45DC4" w:rsidRPr="00AC327A" w:rsidRDefault="00B45DC4" w:rsidP="00AC327A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Соответственно, при увеличении полномочий сотрудника, а также его ответственности необходимо анализировать рынок труда, обращая внимание на среднюю заработную плату сотрудник, выполняющих схожие функции.</w:t>
      </w:r>
    </w:p>
    <w:p w14:paraId="5511BD0D" w14:textId="3A12EE30" w:rsidR="00730E0C" w:rsidRDefault="00730E0C" w:rsidP="00730E0C">
      <w:pPr>
        <w:spacing w:line="360" w:lineRule="auto"/>
        <w:ind w:firstLine="709"/>
        <w:jc w:val="both"/>
        <w:rPr>
          <w:noProof/>
        </w:rPr>
      </w:pPr>
      <w:r w:rsidRPr="007E645C">
        <w:rPr>
          <w:rFonts w:ascii="Times New Roman" w:hAnsi="Times New Roman" w:cs="Times New Roman"/>
          <w:b/>
          <w:sz w:val="28"/>
          <w:szCs w:val="28"/>
        </w:rPr>
        <w:t>Заключение</w:t>
      </w:r>
      <w:r w:rsidRPr="00730E0C">
        <w:rPr>
          <w:noProof/>
        </w:rPr>
        <w:t xml:space="preserve"> </w:t>
      </w:r>
    </w:p>
    <w:p w14:paraId="03487B10" w14:textId="57EFB960" w:rsidR="00B45DC4" w:rsidRDefault="00B45DC4" w:rsidP="00730E0C">
      <w:pPr>
        <w:spacing w:line="36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B45DC4">
        <w:rPr>
          <w:rFonts w:ascii="Times New Roman" w:hAnsi="Times New Roman" w:cs="Times New Roman"/>
          <w:sz w:val="28"/>
          <w:szCs w:val="28"/>
        </w:rPr>
        <w:t>Выполненное исследование позволило сформулировать ряд</w:t>
      </w:r>
      <w:r>
        <w:rPr>
          <w:rFonts w:ascii="Times New Roman" w:hAnsi="Times New Roman" w:cs="Times New Roman"/>
          <w:sz w:val="28"/>
          <w:szCs w:val="28"/>
        </w:rPr>
        <w:t xml:space="preserve"> следующих</w:t>
      </w:r>
      <w:r w:rsidRPr="00B45DC4">
        <w:rPr>
          <w:rFonts w:ascii="Times New Roman" w:hAnsi="Times New Roman" w:cs="Times New Roman"/>
          <w:sz w:val="28"/>
          <w:szCs w:val="28"/>
        </w:rPr>
        <w:t xml:space="preserve"> выводов.</w:t>
      </w:r>
    </w:p>
    <w:p w14:paraId="05FAC63B" w14:textId="082AF754" w:rsidR="00B45DC4" w:rsidRDefault="00B45DC4" w:rsidP="00730E0C">
      <w:pPr>
        <w:spacing w:line="36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Во-первых, </w:t>
      </w:r>
      <w:r w:rsidR="000C656E">
        <w:rPr>
          <w:rFonts w:ascii="Times New Roman" w:hAnsi="Times New Roman" w:cs="Times New Roman"/>
          <w:sz w:val="28"/>
          <w:szCs w:val="28"/>
        </w:rPr>
        <w:t>проанализировав обширное количество научных и бизнес источников были выявлены различные подходы к талантам, талантливым сотрудникам (эксклюзивный, инклюзивный, субъектный, объектный, базовый) и процессу управления ими, который, на первый взгляд, не отличается от традиционного управления персоналом, однако имеет свои особенности относительно «глубины» каждого из этапов.</w:t>
      </w:r>
    </w:p>
    <w:p w14:paraId="212AC08D" w14:textId="14AA8EE6" w:rsidR="000C656E" w:rsidRDefault="000C656E" w:rsidP="00730E0C">
      <w:pPr>
        <w:spacing w:line="36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Во-вторых, были выявлены основные причины увольнения талантливых сотрудников, заключающиеся в обобщенном виде в более выгодных предложениях от других компаний. Однако, стоит отметить, что такие предложения, если они поступают из других регионов и стран, только снижают темпы регионального развития, что в особенности остро сказывается на регионах </w:t>
      </w:r>
      <w:r>
        <w:rPr>
          <w:rFonts w:ascii="Times New Roman" w:hAnsi="Times New Roman" w:cs="Times New Roman"/>
          <w:sz w:val="28"/>
          <w:szCs w:val="28"/>
        </w:rPr>
        <w:lastRenderedPageBreak/>
        <w:t>с традиционно высоким оттоком трудоспособного населения (например, Приморский край).</w:t>
      </w:r>
    </w:p>
    <w:p w14:paraId="66C21C7D" w14:textId="669552BF" w:rsidR="000C656E" w:rsidRDefault="000C656E" w:rsidP="00730E0C">
      <w:pPr>
        <w:spacing w:line="36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В-третьих, были выделены те э</w:t>
      </w:r>
      <w:r w:rsidR="00AF0B9D">
        <w:rPr>
          <w:rFonts w:ascii="Times New Roman" w:hAnsi="Times New Roman" w:cs="Times New Roman"/>
          <w:sz w:val="28"/>
          <w:szCs w:val="28"/>
        </w:rPr>
        <w:t>лементы</w:t>
      </w:r>
      <w:r>
        <w:rPr>
          <w:rFonts w:ascii="Times New Roman" w:hAnsi="Times New Roman" w:cs="Times New Roman"/>
          <w:sz w:val="28"/>
          <w:szCs w:val="28"/>
        </w:rPr>
        <w:t xml:space="preserve"> управления </w:t>
      </w:r>
      <w:r w:rsidR="00177C03">
        <w:rPr>
          <w:rFonts w:ascii="Times New Roman" w:hAnsi="Times New Roman" w:cs="Times New Roman"/>
          <w:sz w:val="28"/>
          <w:szCs w:val="28"/>
        </w:rPr>
        <w:t>талантами</w:t>
      </w:r>
      <w:r>
        <w:rPr>
          <w:rFonts w:ascii="Times New Roman" w:hAnsi="Times New Roman" w:cs="Times New Roman"/>
          <w:sz w:val="28"/>
          <w:szCs w:val="28"/>
        </w:rPr>
        <w:t>, котор</w:t>
      </w:r>
      <w:r w:rsidR="00177C03">
        <w:rPr>
          <w:rFonts w:ascii="Times New Roman" w:hAnsi="Times New Roman" w:cs="Times New Roman"/>
          <w:sz w:val="28"/>
          <w:szCs w:val="28"/>
        </w:rPr>
        <w:t>ые нуждаются в более тщательной проработке компаниями для удержания у себя талантов, а также даны рекомендации по применяемым мерам</w:t>
      </w:r>
      <w:r w:rsidR="00AF0B9D">
        <w:rPr>
          <w:rFonts w:ascii="Times New Roman" w:hAnsi="Times New Roman" w:cs="Times New Roman"/>
          <w:sz w:val="28"/>
          <w:szCs w:val="28"/>
        </w:rPr>
        <w:t xml:space="preserve"> на основ</w:t>
      </w:r>
      <w:r w:rsidR="00EC1C4D">
        <w:rPr>
          <w:rFonts w:ascii="Times New Roman" w:hAnsi="Times New Roman" w:cs="Times New Roman"/>
          <w:sz w:val="28"/>
          <w:szCs w:val="28"/>
        </w:rPr>
        <w:t>е</w:t>
      </w:r>
      <w:r w:rsidR="00AF0B9D">
        <w:rPr>
          <w:rFonts w:ascii="Times New Roman" w:hAnsi="Times New Roman" w:cs="Times New Roman"/>
          <w:sz w:val="28"/>
          <w:szCs w:val="28"/>
        </w:rPr>
        <w:t xml:space="preserve"> проведенного опроса.</w:t>
      </w:r>
    </w:p>
    <w:p w14:paraId="5BA9CAD6" w14:textId="2C47133D" w:rsidR="00177C03" w:rsidRPr="00B45DC4" w:rsidRDefault="00177C03" w:rsidP="00730E0C">
      <w:pPr>
        <w:spacing w:line="36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В-четвертых, намечено дальнейшее развитие научных исследовани</w:t>
      </w:r>
      <w:r w:rsidR="002F3372">
        <w:rPr>
          <w:rFonts w:ascii="Times New Roman" w:hAnsi="Times New Roman" w:cs="Times New Roman"/>
          <w:sz w:val="28"/>
          <w:szCs w:val="28"/>
        </w:rPr>
        <w:t>й,</w:t>
      </w:r>
      <w:r>
        <w:rPr>
          <w:rFonts w:ascii="Times New Roman" w:hAnsi="Times New Roman" w:cs="Times New Roman"/>
          <w:sz w:val="28"/>
          <w:szCs w:val="28"/>
        </w:rPr>
        <w:t xml:space="preserve"> связанных с расширением проведенного опроса количественно, так и добавлением дополнительных вопросов для формирования наиболее эффективной стратегии </w:t>
      </w:r>
      <w:r w:rsidR="00EC1C4D">
        <w:rPr>
          <w:rFonts w:ascii="Times New Roman" w:hAnsi="Times New Roman" w:cs="Times New Roman"/>
          <w:sz w:val="28"/>
          <w:szCs w:val="28"/>
        </w:rPr>
        <w:t>развития</w:t>
      </w:r>
      <w:r>
        <w:rPr>
          <w:rFonts w:ascii="Times New Roman" w:hAnsi="Times New Roman" w:cs="Times New Roman"/>
          <w:sz w:val="28"/>
          <w:szCs w:val="28"/>
        </w:rPr>
        <w:t xml:space="preserve"> компаний различных отраслей</w:t>
      </w:r>
      <w:r w:rsidR="00EC1C4D">
        <w:rPr>
          <w:rFonts w:ascii="Times New Roman" w:hAnsi="Times New Roman" w:cs="Times New Roman"/>
          <w:sz w:val="28"/>
          <w:szCs w:val="28"/>
        </w:rPr>
        <w:t xml:space="preserve"> за счет процесса управления талантами</w:t>
      </w:r>
      <w:r>
        <w:rPr>
          <w:rFonts w:ascii="Times New Roman" w:hAnsi="Times New Roman" w:cs="Times New Roman"/>
          <w:sz w:val="28"/>
          <w:szCs w:val="28"/>
        </w:rPr>
        <w:t>, что станет еще одним инструментом для формирования общей стратеги</w:t>
      </w:r>
      <w:r w:rsidR="00EC1C4D">
        <w:rPr>
          <w:rFonts w:ascii="Times New Roman" w:hAnsi="Times New Roman" w:cs="Times New Roman"/>
          <w:sz w:val="28"/>
          <w:szCs w:val="28"/>
        </w:rPr>
        <w:t>и</w:t>
      </w:r>
      <w:r>
        <w:rPr>
          <w:rFonts w:ascii="Times New Roman" w:hAnsi="Times New Roman" w:cs="Times New Roman"/>
          <w:sz w:val="28"/>
          <w:szCs w:val="28"/>
        </w:rPr>
        <w:t xml:space="preserve"> удержания талантов на территории регионов.</w:t>
      </w:r>
    </w:p>
    <w:p w14:paraId="248E7078" w14:textId="77777777" w:rsidR="00730E0C" w:rsidRPr="00BE636B" w:rsidRDefault="00730E0C" w:rsidP="00730E0C">
      <w:pPr>
        <w:spacing w:line="36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7E645C">
        <w:rPr>
          <w:rFonts w:ascii="Times New Roman" w:hAnsi="Times New Roman" w:cs="Times New Roman"/>
          <w:b/>
          <w:sz w:val="28"/>
          <w:szCs w:val="28"/>
        </w:rPr>
        <w:t>С</w:t>
      </w:r>
      <w:r>
        <w:rPr>
          <w:rFonts w:ascii="Times New Roman" w:hAnsi="Times New Roman" w:cs="Times New Roman"/>
          <w:b/>
          <w:sz w:val="28"/>
          <w:szCs w:val="28"/>
        </w:rPr>
        <w:t>писок использованной литературы</w:t>
      </w:r>
    </w:p>
    <w:p w14:paraId="4EC37E90" w14:textId="67FA2FAC" w:rsidR="00D607FF" w:rsidRPr="00EA05B0" w:rsidRDefault="00D607FF" w:rsidP="00EA05B0">
      <w:pPr>
        <w:pStyle w:val="a4"/>
        <w:spacing w:line="36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EA05B0">
        <w:rPr>
          <w:rFonts w:ascii="Times New Roman" w:hAnsi="Times New Roman" w:cs="Times New Roman"/>
          <w:sz w:val="28"/>
          <w:szCs w:val="28"/>
        </w:rPr>
        <w:t xml:space="preserve">1. Минтруд заявил о нехватке кадров в России // </w:t>
      </w:r>
      <w:r w:rsidRPr="00EA05B0">
        <w:rPr>
          <w:rFonts w:ascii="Times New Roman" w:hAnsi="Times New Roman" w:cs="Times New Roman"/>
          <w:sz w:val="28"/>
          <w:szCs w:val="28"/>
          <w:lang w:val="en-US"/>
        </w:rPr>
        <w:t>Lenta</w:t>
      </w:r>
      <w:r w:rsidRPr="00EA05B0">
        <w:rPr>
          <w:rFonts w:ascii="Times New Roman" w:hAnsi="Times New Roman" w:cs="Times New Roman"/>
          <w:sz w:val="28"/>
          <w:szCs w:val="28"/>
        </w:rPr>
        <w:t>.</w:t>
      </w:r>
      <w:r w:rsidRPr="00EA05B0">
        <w:rPr>
          <w:rFonts w:ascii="Times New Roman" w:hAnsi="Times New Roman" w:cs="Times New Roman"/>
          <w:sz w:val="28"/>
          <w:szCs w:val="28"/>
          <w:lang w:val="en-US"/>
        </w:rPr>
        <w:t>ru</w:t>
      </w:r>
      <w:r w:rsidRPr="00EA05B0">
        <w:rPr>
          <w:rFonts w:ascii="Times New Roman" w:hAnsi="Times New Roman" w:cs="Times New Roman"/>
          <w:sz w:val="28"/>
          <w:szCs w:val="28"/>
        </w:rPr>
        <w:t xml:space="preserve">. – </w:t>
      </w:r>
      <w:r w:rsidRPr="00EA05B0">
        <w:rPr>
          <w:rFonts w:ascii="Times New Roman" w:hAnsi="Times New Roman" w:cs="Times New Roman"/>
          <w:sz w:val="28"/>
          <w:szCs w:val="28"/>
          <w:lang w:val="en-US"/>
        </w:rPr>
        <w:t>URL</w:t>
      </w:r>
      <w:r w:rsidRPr="00EA05B0">
        <w:rPr>
          <w:rFonts w:ascii="Times New Roman" w:hAnsi="Times New Roman" w:cs="Times New Roman"/>
          <w:sz w:val="28"/>
          <w:szCs w:val="28"/>
        </w:rPr>
        <w:t>: https://lenta.ru/news/2022/10/17/deficit/</w:t>
      </w:r>
    </w:p>
    <w:p w14:paraId="3CDB4529" w14:textId="22448C4D" w:rsidR="00D607FF" w:rsidRPr="00EA05B0" w:rsidRDefault="00D607FF" w:rsidP="00EA05B0">
      <w:pPr>
        <w:pStyle w:val="a4"/>
        <w:spacing w:line="36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EA05B0">
        <w:rPr>
          <w:rFonts w:ascii="Times New Roman" w:hAnsi="Times New Roman" w:cs="Times New Roman"/>
          <w:sz w:val="28"/>
          <w:szCs w:val="28"/>
        </w:rPr>
        <w:t>2. Мотрич Е.Л. Современные демографические процессы на Дальнем Востоке России // Власть и управление на Востоке России № 4 (101). – Хабаровск: Дальневосточный институт управления, 2022. – 59-68 с.</w:t>
      </w:r>
    </w:p>
    <w:p w14:paraId="1D492232" w14:textId="77777777" w:rsidR="00D607FF" w:rsidRPr="00EA05B0" w:rsidRDefault="00D607FF" w:rsidP="00EA05B0">
      <w:pPr>
        <w:pStyle w:val="a4"/>
        <w:spacing w:line="360" w:lineRule="auto"/>
        <w:ind w:firstLine="851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EA05B0">
        <w:rPr>
          <w:rFonts w:ascii="Times New Roman" w:hAnsi="Times New Roman" w:cs="Times New Roman"/>
          <w:sz w:val="28"/>
          <w:szCs w:val="28"/>
        </w:rPr>
        <w:t xml:space="preserve">3. Горбунова А.Ю., Горбунов Ю.В., Межова Л.Н. О создании внутреннего источника устойчивого экономического роста организации на базе метода управления талантами // Экономика Профессия Бизнес. </w:t>
      </w:r>
      <w:r w:rsidRPr="00EA05B0">
        <w:rPr>
          <w:rFonts w:ascii="Times New Roman" w:hAnsi="Times New Roman" w:cs="Times New Roman"/>
          <w:sz w:val="28"/>
          <w:szCs w:val="28"/>
          <w:lang w:val="en-US"/>
        </w:rPr>
        <w:t>2021. №2. URL: https://cyberleninka.ru/article/n/o-sozdanii-vnutrennego-istochnika-ustoychivogo-ekonomicheskogo-rosta-organizatsii-na-baze-metoda-upravleniya-talantami</w:t>
      </w:r>
    </w:p>
    <w:p w14:paraId="3329843E" w14:textId="16912D71" w:rsidR="00D607FF" w:rsidRDefault="00D607FF" w:rsidP="00EA05B0">
      <w:pPr>
        <w:spacing w:after="0" w:line="36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EA05B0">
        <w:rPr>
          <w:rFonts w:ascii="Times New Roman" w:hAnsi="Times New Roman" w:cs="Times New Roman"/>
          <w:sz w:val="28"/>
          <w:szCs w:val="28"/>
        </w:rPr>
        <w:t>4. Маколов В.И. Управление талантами как приоритетное направление кадровой политики организации</w:t>
      </w:r>
      <w:r w:rsidR="007F5D15">
        <w:rPr>
          <w:rFonts w:ascii="Times New Roman" w:hAnsi="Times New Roman" w:cs="Times New Roman"/>
          <w:sz w:val="28"/>
          <w:szCs w:val="28"/>
        </w:rPr>
        <w:t xml:space="preserve"> / В.И. Маколов</w:t>
      </w:r>
      <w:r w:rsidRPr="00EA05B0">
        <w:rPr>
          <w:rFonts w:ascii="Times New Roman" w:hAnsi="Times New Roman" w:cs="Times New Roman"/>
          <w:sz w:val="28"/>
          <w:szCs w:val="28"/>
        </w:rPr>
        <w:t xml:space="preserve"> // Экономика и бизнес: теория и практика. 2022. № 11-2. – Новосибирск: ОО «Капитал», 2022. – 25-28 с.</w:t>
      </w:r>
    </w:p>
    <w:p w14:paraId="225086FE" w14:textId="65BBED03" w:rsidR="00D5024A" w:rsidRPr="00EA05B0" w:rsidRDefault="00D5024A" w:rsidP="00D5024A">
      <w:pPr>
        <w:pStyle w:val="a4"/>
        <w:spacing w:line="36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5. Инчина Е.П. Современные подходы к повышению эффективности управления талантами в сложноструктурированной организации / Е.П. Инчина // Вестник Воронежского Государственного университета. Серия: экономика и управление № 2. – Воронеж: ФГБОУ ВО ВГУ, 2021. – 74-84 с.</w:t>
      </w:r>
    </w:p>
    <w:p w14:paraId="7EEB07A5" w14:textId="46A45F35" w:rsidR="00D607FF" w:rsidRDefault="00D5024A" w:rsidP="00EA05B0">
      <w:pPr>
        <w:pStyle w:val="a4"/>
        <w:spacing w:line="36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6</w:t>
      </w:r>
      <w:r w:rsidR="00D607FF" w:rsidRPr="00EA05B0">
        <w:rPr>
          <w:rFonts w:ascii="Times New Roman" w:hAnsi="Times New Roman" w:cs="Times New Roman"/>
          <w:sz w:val="28"/>
          <w:szCs w:val="28"/>
        </w:rPr>
        <w:t xml:space="preserve">. </w:t>
      </w:r>
      <w:r w:rsidR="00BF4F6A">
        <w:rPr>
          <w:rFonts w:ascii="Times New Roman" w:hAnsi="Times New Roman" w:cs="Times New Roman"/>
          <w:sz w:val="28"/>
          <w:szCs w:val="28"/>
        </w:rPr>
        <w:t xml:space="preserve">Котельникова </w:t>
      </w:r>
      <w:r w:rsidR="0082304D">
        <w:rPr>
          <w:rFonts w:ascii="Times New Roman" w:hAnsi="Times New Roman" w:cs="Times New Roman"/>
          <w:sz w:val="28"/>
          <w:szCs w:val="28"/>
        </w:rPr>
        <w:t xml:space="preserve">К.А. Современные подходы к управлению талантами в организации / К.А. Котельникова // </w:t>
      </w:r>
      <w:r w:rsidR="00D607FF" w:rsidRPr="00EA05B0">
        <w:rPr>
          <w:rFonts w:ascii="Times New Roman" w:hAnsi="Times New Roman" w:cs="Times New Roman"/>
          <w:sz w:val="28"/>
          <w:szCs w:val="28"/>
        </w:rPr>
        <w:t>Сборник трудов V Международной научно-практической конференции: Современные те</w:t>
      </w:r>
      <w:r w:rsidR="0082304D">
        <w:rPr>
          <w:rFonts w:ascii="Times New Roman" w:hAnsi="Times New Roman" w:cs="Times New Roman"/>
          <w:sz w:val="28"/>
          <w:szCs w:val="28"/>
        </w:rPr>
        <w:t xml:space="preserve">хнологии управления персоналом. </w:t>
      </w:r>
      <w:r w:rsidR="00D607FF" w:rsidRPr="00EA05B0">
        <w:rPr>
          <w:rFonts w:ascii="Times New Roman" w:hAnsi="Times New Roman" w:cs="Times New Roman"/>
          <w:sz w:val="28"/>
          <w:szCs w:val="28"/>
        </w:rPr>
        <w:t>– Симферополь: ООО «Издательство</w:t>
      </w:r>
      <w:r w:rsidR="0082304D">
        <w:rPr>
          <w:rFonts w:ascii="Times New Roman" w:hAnsi="Times New Roman" w:cs="Times New Roman"/>
          <w:sz w:val="28"/>
          <w:szCs w:val="28"/>
        </w:rPr>
        <w:t xml:space="preserve"> типография «Ариал», 2018. – 331-334</w:t>
      </w:r>
      <w:r w:rsidR="00D607FF" w:rsidRPr="00EA05B0">
        <w:rPr>
          <w:rFonts w:ascii="Times New Roman" w:hAnsi="Times New Roman" w:cs="Times New Roman"/>
          <w:sz w:val="28"/>
          <w:szCs w:val="28"/>
        </w:rPr>
        <w:t xml:space="preserve"> с.</w:t>
      </w:r>
    </w:p>
    <w:p w14:paraId="2A9808A8" w14:textId="69614787" w:rsidR="00BF4F6A" w:rsidRDefault="00BF4F6A" w:rsidP="00EA05B0">
      <w:pPr>
        <w:pStyle w:val="a4"/>
        <w:spacing w:line="36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7. Куделин А.С. Инновационные подходы к управлению талантами в организации / А.С. Куделин // Сборник материалов научно-практической конференции преподавателей, магистрантов и студентов «Дни науки – 2018». – Великий Новгород: Новгородский филиал РАНХиГС, 2018. – 34-37 с.</w:t>
      </w:r>
    </w:p>
    <w:p w14:paraId="6D1145EC" w14:textId="2D996B8D" w:rsidR="00D607FF" w:rsidRPr="00EA05B0" w:rsidRDefault="00BF4F6A" w:rsidP="00EA05B0">
      <w:pPr>
        <w:pStyle w:val="a4"/>
        <w:spacing w:line="36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8</w:t>
      </w:r>
      <w:r w:rsidR="00D607FF" w:rsidRPr="00EA05B0">
        <w:rPr>
          <w:rFonts w:ascii="Times New Roman" w:hAnsi="Times New Roman" w:cs="Times New Roman"/>
          <w:sz w:val="28"/>
          <w:szCs w:val="28"/>
        </w:rPr>
        <w:t xml:space="preserve">. </w:t>
      </w:r>
      <w:r w:rsidR="00573215">
        <w:rPr>
          <w:rFonts w:ascii="Times New Roman" w:hAnsi="Times New Roman" w:cs="Times New Roman"/>
          <w:sz w:val="28"/>
          <w:szCs w:val="28"/>
        </w:rPr>
        <w:t xml:space="preserve">Егорова И.А. Основные проблемы, принципы и подходы в концепции управления талантами / И.А. Егорова // </w:t>
      </w:r>
      <w:r w:rsidR="00D607FF" w:rsidRPr="00EA05B0">
        <w:rPr>
          <w:rFonts w:ascii="Times New Roman" w:hAnsi="Times New Roman" w:cs="Times New Roman"/>
          <w:sz w:val="28"/>
          <w:szCs w:val="28"/>
        </w:rPr>
        <w:t>Социально-экономическое развитие территорий и субъектов хозяйствования в России: диагностика, анализ и разработка управленческих решений: монография / под ред. И.Я. Янкиной. – Таганрог: ЧОУ ВО ТИУиЭ, 2018. –</w:t>
      </w:r>
      <w:r w:rsidR="00573215">
        <w:rPr>
          <w:rFonts w:ascii="Times New Roman" w:hAnsi="Times New Roman" w:cs="Times New Roman"/>
          <w:sz w:val="28"/>
          <w:szCs w:val="28"/>
        </w:rPr>
        <w:t xml:space="preserve"> 77-90</w:t>
      </w:r>
      <w:r w:rsidR="00D607FF" w:rsidRPr="00EA05B0">
        <w:rPr>
          <w:rFonts w:ascii="Times New Roman" w:hAnsi="Times New Roman" w:cs="Times New Roman"/>
          <w:sz w:val="28"/>
          <w:szCs w:val="28"/>
        </w:rPr>
        <w:t xml:space="preserve"> с.</w:t>
      </w:r>
    </w:p>
    <w:p w14:paraId="1CCF0649" w14:textId="68540706" w:rsidR="00D607FF" w:rsidRPr="00EA05B0" w:rsidRDefault="00BF4F6A" w:rsidP="00EA05B0">
      <w:pPr>
        <w:pStyle w:val="a4"/>
        <w:spacing w:line="36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9</w:t>
      </w:r>
      <w:r w:rsidR="00D607FF" w:rsidRPr="00EA05B0">
        <w:rPr>
          <w:rFonts w:ascii="Times New Roman" w:hAnsi="Times New Roman" w:cs="Times New Roman"/>
          <w:sz w:val="28"/>
          <w:szCs w:val="28"/>
        </w:rPr>
        <w:t>. Симагина С.Г., Никулин Л.Ф. Общая дескриптивная модель управления талантами как акме / С.Г.Симагина, Л.Ф.Никулин // Вестник Московского университета МВД России. 2013. № 9. – Москва: Московский университет МВД России, 2013. – 276-279 с.</w:t>
      </w:r>
    </w:p>
    <w:p w14:paraId="0B626574" w14:textId="2B25D1A3" w:rsidR="00EA05B0" w:rsidRDefault="00BF4F6A" w:rsidP="00EA05B0">
      <w:pPr>
        <w:pStyle w:val="a4"/>
        <w:spacing w:line="36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10</w:t>
      </w:r>
      <w:r w:rsidR="00EA05B0" w:rsidRPr="00EA05B0">
        <w:rPr>
          <w:rFonts w:ascii="Times New Roman" w:hAnsi="Times New Roman" w:cs="Times New Roman"/>
          <w:sz w:val="28"/>
          <w:szCs w:val="28"/>
        </w:rPr>
        <w:t>. Руденко Г.Г. и др. Отечественный опыт управления талантами / Г.Г. Руденко, В.Н. Сидорова, Н.В. Сидоров // Вестник ОмГУ. – Серия: Экономика. 2016. №3. – Омск: ФГАОУ ВО «ОмГУ им. Ф.М. Достоевского», 2016. – 139-144 с.</w:t>
      </w:r>
    </w:p>
    <w:p w14:paraId="1D1FB120" w14:textId="39DFDD3E" w:rsidR="00525D1B" w:rsidRPr="00525D1B" w:rsidRDefault="00BF4F6A" w:rsidP="00EA05B0">
      <w:pPr>
        <w:pStyle w:val="a4"/>
        <w:spacing w:line="36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11</w:t>
      </w:r>
      <w:r w:rsidR="00525D1B" w:rsidRPr="00525D1B">
        <w:rPr>
          <w:rFonts w:ascii="Times New Roman" w:hAnsi="Times New Roman" w:cs="Times New Roman"/>
          <w:sz w:val="28"/>
          <w:szCs w:val="28"/>
        </w:rPr>
        <w:t xml:space="preserve">. </w:t>
      </w:r>
      <w:r w:rsidR="00525D1B">
        <w:rPr>
          <w:rFonts w:ascii="Times New Roman" w:hAnsi="Times New Roman" w:cs="Times New Roman"/>
          <w:sz w:val="28"/>
          <w:szCs w:val="28"/>
        </w:rPr>
        <w:t>Парчук Д.С. Управление талантами как современный подход к повышению эффективности деятельности организации / Д.С. Парчук // Векторы благополучия: экономика и социум № 1 (44). – Томск: ГОУ ВПО ТПУ, 2022. – 147-159 с.</w:t>
      </w:r>
    </w:p>
    <w:p w14:paraId="5E20E183" w14:textId="5588192A" w:rsidR="00EA05B0" w:rsidRDefault="00BF4F6A" w:rsidP="00EA05B0">
      <w:pPr>
        <w:pStyle w:val="a4"/>
        <w:spacing w:line="36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12</w:t>
      </w:r>
      <w:r w:rsidR="00EA05B0" w:rsidRPr="00EA05B0">
        <w:rPr>
          <w:rFonts w:ascii="Times New Roman" w:hAnsi="Times New Roman" w:cs="Times New Roman"/>
          <w:sz w:val="28"/>
          <w:szCs w:val="28"/>
        </w:rPr>
        <w:t>. Шабаршина Я.В., Бондалетова Н.Ф. Управление талантами в организации: модное течение или вынужденная необходимость? // Материалы ивановских чтений. 2019. № 1(23) – Москва: АНО «Научно-исследовательский центр в области организации управления», 2019. – 79-88 с.</w:t>
      </w:r>
    </w:p>
    <w:p w14:paraId="2EAF54E1" w14:textId="11552873" w:rsidR="007F5D15" w:rsidRDefault="00BF4F6A" w:rsidP="00EA05B0">
      <w:pPr>
        <w:pStyle w:val="a4"/>
        <w:spacing w:line="36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13</w:t>
      </w:r>
      <w:r w:rsidR="007F5D15" w:rsidRPr="007F5D15">
        <w:rPr>
          <w:rFonts w:ascii="Times New Roman" w:hAnsi="Times New Roman" w:cs="Times New Roman"/>
          <w:sz w:val="28"/>
          <w:szCs w:val="28"/>
        </w:rPr>
        <w:t xml:space="preserve">. </w:t>
      </w:r>
      <w:r w:rsidR="007F5D15">
        <w:rPr>
          <w:rFonts w:ascii="Times New Roman" w:hAnsi="Times New Roman" w:cs="Times New Roman"/>
          <w:sz w:val="28"/>
          <w:szCs w:val="28"/>
        </w:rPr>
        <w:t>Тимохина О.А., Кондратенко Д.С. Обзор современных методов управления адаптацией персонала: особенности применения, преимущества и недостатки / О.А. Тимохина, Д.С. Кондратенко // Экономика и социум № 1-1(104) – Саратов: ООО «Институт управления и социально-экономического развития», 2023. – 286-</w:t>
      </w:r>
      <w:r w:rsidR="003B2C5D">
        <w:rPr>
          <w:rFonts w:ascii="Times New Roman" w:hAnsi="Times New Roman" w:cs="Times New Roman"/>
          <w:sz w:val="28"/>
          <w:szCs w:val="28"/>
        </w:rPr>
        <w:t>294 с.</w:t>
      </w:r>
    </w:p>
    <w:p w14:paraId="28F1E7D9" w14:textId="37311D2B" w:rsidR="0037634F" w:rsidRDefault="00BF4F6A" w:rsidP="00EA05B0">
      <w:pPr>
        <w:pStyle w:val="a4"/>
        <w:spacing w:line="36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14</w:t>
      </w:r>
      <w:r w:rsidR="0037634F" w:rsidRPr="0037634F">
        <w:rPr>
          <w:rFonts w:ascii="Times New Roman" w:hAnsi="Times New Roman" w:cs="Times New Roman"/>
          <w:sz w:val="28"/>
          <w:szCs w:val="28"/>
        </w:rPr>
        <w:t xml:space="preserve">. </w:t>
      </w:r>
      <w:r w:rsidR="0037634F">
        <w:rPr>
          <w:rFonts w:ascii="Times New Roman" w:hAnsi="Times New Roman" w:cs="Times New Roman"/>
          <w:sz w:val="28"/>
          <w:szCs w:val="28"/>
        </w:rPr>
        <w:t xml:space="preserve">Дементьева А.В. Роль </w:t>
      </w:r>
      <w:r w:rsidR="0037634F">
        <w:rPr>
          <w:rFonts w:ascii="Times New Roman" w:hAnsi="Times New Roman" w:cs="Times New Roman"/>
          <w:sz w:val="28"/>
          <w:szCs w:val="28"/>
          <w:lang w:val="en-US"/>
        </w:rPr>
        <w:t>HR</w:t>
      </w:r>
      <w:r w:rsidR="0037634F">
        <w:rPr>
          <w:rFonts w:ascii="Times New Roman" w:hAnsi="Times New Roman" w:cs="Times New Roman"/>
          <w:sz w:val="28"/>
          <w:szCs w:val="28"/>
        </w:rPr>
        <w:t>-бренда в обеспечении конкурентоспособности компании / А.В. Дементьева // Наука ХХ</w:t>
      </w:r>
      <w:r w:rsidR="0037634F">
        <w:rPr>
          <w:rFonts w:ascii="Times New Roman" w:hAnsi="Times New Roman" w:cs="Times New Roman"/>
          <w:sz w:val="28"/>
          <w:szCs w:val="28"/>
          <w:lang w:val="en-US"/>
        </w:rPr>
        <w:t>I</w:t>
      </w:r>
      <w:r w:rsidR="0037634F">
        <w:rPr>
          <w:rFonts w:ascii="Times New Roman" w:hAnsi="Times New Roman" w:cs="Times New Roman"/>
          <w:sz w:val="28"/>
          <w:szCs w:val="28"/>
        </w:rPr>
        <w:t xml:space="preserve"> века: актуальные направления развития № 1-1. / Самара: Самарский государственный экономический университет, 2019. – 216-221 с.</w:t>
      </w:r>
    </w:p>
    <w:p w14:paraId="052FC7EC" w14:textId="07589A45" w:rsidR="00AE1A28" w:rsidRDefault="00BF4F6A" w:rsidP="00EA05B0">
      <w:pPr>
        <w:pStyle w:val="a4"/>
        <w:spacing w:line="36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15</w:t>
      </w:r>
      <w:r w:rsidR="00AE1A28">
        <w:rPr>
          <w:rFonts w:ascii="Times New Roman" w:hAnsi="Times New Roman" w:cs="Times New Roman"/>
          <w:sz w:val="28"/>
          <w:szCs w:val="28"/>
        </w:rPr>
        <w:t>. Канаев А.С., Венкова В.А. Материальная и нематериальная мотивация как элемент эффективного управления персоналом / А.С. Канаев, В.А. Венкова // Вектор экономики № 1 (55). – Пермь: ИП Мухин М.Н., 2021. – 66 с.</w:t>
      </w:r>
    </w:p>
    <w:p w14:paraId="533747F1" w14:textId="7278AF94" w:rsidR="00A6625B" w:rsidRPr="00A6625B" w:rsidRDefault="00BF4F6A" w:rsidP="00EA05B0">
      <w:pPr>
        <w:pStyle w:val="a4"/>
        <w:spacing w:line="36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16</w:t>
      </w:r>
      <w:r w:rsidR="00A6625B" w:rsidRPr="00A6625B">
        <w:rPr>
          <w:rFonts w:ascii="Times New Roman" w:hAnsi="Times New Roman" w:cs="Times New Roman"/>
          <w:sz w:val="28"/>
          <w:szCs w:val="28"/>
        </w:rPr>
        <w:t>.</w:t>
      </w:r>
      <w:r w:rsidR="00A6625B">
        <w:rPr>
          <w:rFonts w:ascii="Times New Roman" w:hAnsi="Times New Roman" w:cs="Times New Roman"/>
          <w:sz w:val="28"/>
          <w:szCs w:val="28"/>
        </w:rPr>
        <w:t xml:space="preserve"> Кабанова Л.В. Основные этапы формирования эффективной системы обучения персонала / Л.В. Кабанова // Сборник научных трудов </w:t>
      </w:r>
      <w:r w:rsidR="00A6625B">
        <w:rPr>
          <w:rFonts w:ascii="Times New Roman" w:hAnsi="Times New Roman" w:cs="Times New Roman"/>
          <w:sz w:val="28"/>
          <w:szCs w:val="28"/>
          <w:lang w:val="en-US"/>
        </w:rPr>
        <w:t>V</w:t>
      </w:r>
      <w:r w:rsidR="00A6625B">
        <w:rPr>
          <w:rFonts w:ascii="Times New Roman" w:hAnsi="Times New Roman" w:cs="Times New Roman"/>
          <w:sz w:val="28"/>
          <w:szCs w:val="28"/>
        </w:rPr>
        <w:t>-й Национальной научно-практической конференции научно-педагогических и практических работников с международным участием в 2 томах. Том 1. – Ярославль: «СОЮЗ-ПРЕСС», 2022. – 94-99 с.</w:t>
      </w:r>
    </w:p>
    <w:p w14:paraId="126D1187" w14:textId="39B5C630" w:rsidR="00F93135" w:rsidRDefault="00BF4F6A" w:rsidP="00EA05B0">
      <w:pPr>
        <w:pStyle w:val="a4"/>
        <w:spacing w:line="36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17</w:t>
      </w:r>
      <w:r w:rsidR="00F93135" w:rsidRPr="00F93135">
        <w:rPr>
          <w:rFonts w:ascii="Times New Roman" w:hAnsi="Times New Roman" w:cs="Times New Roman"/>
          <w:sz w:val="28"/>
          <w:szCs w:val="28"/>
        </w:rPr>
        <w:t xml:space="preserve">. </w:t>
      </w:r>
      <w:r w:rsidR="00F93135">
        <w:rPr>
          <w:rFonts w:ascii="Times New Roman" w:hAnsi="Times New Roman" w:cs="Times New Roman"/>
          <w:sz w:val="28"/>
          <w:szCs w:val="28"/>
        </w:rPr>
        <w:t xml:space="preserve">Ягудина А.И. Мотивация персонала с помощью постановки целей по методике </w:t>
      </w:r>
      <w:r w:rsidR="00F93135">
        <w:rPr>
          <w:rFonts w:ascii="Times New Roman" w:hAnsi="Times New Roman" w:cs="Times New Roman"/>
          <w:sz w:val="28"/>
          <w:szCs w:val="28"/>
          <w:lang w:val="en-US"/>
        </w:rPr>
        <w:t>SMART</w:t>
      </w:r>
      <w:r w:rsidR="00F93135">
        <w:rPr>
          <w:rFonts w:ascii="Times New Roman" w:hAnsi="Times New Roman" w:cs="Times New Roman"/>
          <w:sz w:val="28"/>
          <w:szCs w:val="28"/>
        </w:rPr>
        <w:t xml:space="preserve"> / А.И. Ягудина // Форум молодых ученых № 10 (62) - Саратов: ООО «Институт управления и социально-экономического развития», 2021. – 238-241 с.</w:t>
      </w:r>
    </w:p>
    <w:p w14:paraId="06BF7BDA" w14:textId="268C1A1D" w:rsidR="00573215" w:rsidRPr="00573215" w:rsidRDefault="00BF4F6A" w:rsidP="00EA05B0">
      <w:pPr>
        <w:pStyle w:val="a4"/>
        <w:spacing w:line="36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18</w:t>
      </w:r>
      <w:r w:rsidR="00573215" w:rsidRPr="00573215">
        <w:rPr>
          <w:rFonts w:ascii="Times New Roman" w:hAnsi="Times New Roman" w:cs="Times New Roman"/>
          <w:sz w:val="28"/>
          <w:szCs w:val="28"/>
        </w:rPr>
        <w:t xml:space="preserve">. </w:t>
      </w:r>
      <w:r w:rsidR="00573215">
        <w:rPr>
          <w:rFonts w:ascii="Times New Roman" w:hAnsi="Times New Roman" w:cs="Times New Roman"/>
          <w:sz w:val="28"/>
          <w:szCs w:val="28"/>
        </w:rPr>
        <w:t xml:space="preserve">Девятайкин В.Е. </w:t>
      </w:r>
      <w:r w:rsidR="00573215">
        <w:rPr>
          <w:rFonts w:ascii="Times New Roman" w:hAnsi="Times New Roman" w:cs="Times New Roman"/>
          <w:sz w:val="28"/>
          <w:szCs w:val="28"/>
          <w:lang w:val="en-US"/>
        </w:rPr>
        <w:t>HR</w:t>
      </w:r>
      <w:r w:rsidR="00573215">
        <w:rPr>
          <w:rFonts w:ascii="Times New Roman" w:hAnsi="Times New Roman" w:cs="Times New Roman"/>
          <w:sz w:val="28"/>
          <w:szCs w:val="28"/>
        </w:rPr>
        <w:t xml:space="preserve">-бренд и ценностное предложение работодателя6 связь и место в системе привлечения и удержания кадров / В.Е. Девятойкин // Материалы </w:t>
      </w:r>
      <w:r w:rsidR="00573215">
        <w:rPr>
          <w:rFonts w:ascii="Times New Roman" w:hAnsi="Times New Roman" w:cs="Times New Roman"/>
          <w:sz w:val="28"/>
          <w:szCs w:val="28"/>
          <w:lang w:val="en-US"/>
        </w:rPr>
        <w:t>XXI</w:t>
      </w:r>
      <w:r w:rsidR="00573215" w:rsidRPr="00573215">
        <w:rPr>
          <w:rFonts w:ascii="Times New Roman" w:hAnsi="Times New Roman" w:cs="Times New Roman"/>
          <w:sz w:val="28"/>
          <w:szCs w:val="28"/>
        </w:rPr>
        <w:t xml:space="preserve"> </w:t>
      </w:r>
      <w:r w:rsidR="00573215">
        <w:rPr>
          <w:rFonts w:ascii="Times New Roman" w:hAnsi="Times New Roman" w:cs="Times New Roman"/>
          <w:sz w:val="28"/>
          <w:szCs w:val="28"/>
        </w:rPr>
        <w:t>Всероссийского экономического форума молодых ученых и студентов. Часть 1. – Екатеринбург: Уральский государственный экономический университет, 2018. – 136-138 с.</w:t>
      </w:r>
    </w:p>
    <w:p w14:paraId="3ED77116" w14:textId="16E4A974" w:rsidR="00EA05B0" w:rsidRPr="00EA05B0" w:rsidRDefault="00BF4F6A" w:rsidP="00EA05B0">
      <w:pPr>
        <w:pStyle w:val="a4"/>
        <w:spacing w:line="36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19</w:t>
      </w:r>
      <w:r w:rsidR="00EA05B0" w:rsidRPr="00EA05B0">
        <w:rPr>
          <w:rFonts w:ascii="Times New Roman" w:hAnsi="Times New Roman" w:cs="Times New Roman"/>
          <w:sz w:val="28"/>
          <w:szCs w:val="28"/>
        </w:rPr>
        <w:t>. Новокшонова В.С. Принципы и этапы управления талантами в организации. // Современные научные исследования и инновации. 2017. № 6. – Москва: Международный научно-инновационный центр, 2017. – 41 с.</w:t>
      </w:r>
    </w:p>
    <w:p w14:paraId="47D6910B" w14:textId="51BF400E" w:rsidR="007F37EA" w:rsidRPr="007F37EA" w:rsidRDefault="00BF4F6A" w:rsidP="007F37EA">
      <w:pPr>
        <w:tabs>
          <w:tab w:val="left" w:pos="426"/>
        </w:tabs>
        <w:spacing w:afterLines="160" w:after="384" w:line="36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20</w:t>
      </w:r>
      <w:r w:rsidR="007F37EA">
        <w:rPr>
          <w:rFonts w:ascii="Times New Roman" w:hAnsi="Times New Roman" w:cs="Times New Roman"/>
          <w:sz w:val="28"/>
          <w:szCs w:val="28"/>
        </w:rPr>
        <w:t xml:space="preserve">. Чжан Синьцун. Принципы управления талантами в современной организации / Чжан Синьцун // Сборник статей </w:t>
      </w:r>
      <w:r w:rsidR="007F37EA">
        <w:rPr>
          <w:rFonts w:ascii="Times New Roman" w:hAnsi="Times New Roman" w:cs="Times New Roman"/>
          <w:sz w:val="28"/>
          <w:szCs w:val="28"/>
          <w:lang w:val="en-US"/>
        </w:rPr>
        <w:t>VII</w:t>
      </w:r>
      <w:r w:rsidR="007F37EA">
        <w:rPr>
          <w:rFonts w:ascii="Times New Roman" w:hAnsi="Times New Roman" w:cs="Times New Roman"/>
          <w:sz w:val="28"/>
          <w:szCs w:val="28"/>
        </w:rPr>
        <w:t xml:space="preserve"> Международного научно-исследовательского конкурса. – Пенза: Наука и Просвещение, 2022. – 127-130 с.</w:t>
      </w:r>
    </w:p>
    <w:sectPr w:rsidR="007F37EA" w:rsidRPr="007F37EA" w:rsidSect="00FE2BCA"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3CD021C0" w14:textId="77777777" w:rsidR="00FF2122" w:rsidRDefault="00FF2122" w:rsidP="0009344C">
      <w:pPr>
        <w:spacing w:after="0" w:line="240" w:lineRule="auto"/>
      </w:pPr>
      <w:r>
        <w:separator/>
      </w:r>
    </w:p>
  </w:endnote>
  <w:endnote w:type="continuationSeparator" w:id="0">
    <w:p w14:paraId="2B391A55" w14:textId="77777777" w:rsidR="00FF2122" w:rsidRDefault="00FF2122" w:rsidP="0009344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5A40A262" w14:textId="77777777" w:rsidR="00FF2122" w:rsidRDefault="00FF2122" w:rsidP="0009344C">
      <w:pPr>
        <w:spacing w:after="0" w:line="240" w:lineRule="auto"/>
      </w:pPr>
      <w:r>
        <w:separator/>
      </w:r>
    </w:p>
  </w:footnote>
  <w:footnote w:type="continuationSeparator" w:id="0">
    <w:p w14:paraId="7E68C53A" w14:textId="77777777" w:rsidR="00FF2122" w:rsidRDefault="00FF2122" w:rsidP="0009344C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22DC4"/>
    <w:rsid w:val="000157C1"/>
    <w:rsid w:val="0009344C"/>
    <w:rsid w:val="000C656E"/>
    <w:rsid w:val="000D3E48"/>
    <w:rsid w:val="00146A0B"/>
    <w:rsid w:val="00146EFE"/>
    <w:rsid w:val="00162A39"/>
    <w:rsid w:val="00177C03"/>
    <w:rsid w:val="001E45EE"/>
    <w:rsid w:val="00264AF7"/>
    <w:rsid w:val="0028076C"/>
    <w:rsid w:val="002C1257"/>
    <w:rsid w:val="002F3372"/>
    <w:rsid w:val="00374543"/>
    <w:rsid w:val="0037634F"/>
    <w:rsid w:val="003B0129"/>
    <w:rsid w:val="003B2C5D"/>
    <w:rsid w:val="003E3F4A"/>
    <w:rsid w:val="00442CA6"/>
    <w:rsid w:val="00456762"/>
    <w:rsid w:val="004574B3"/>
    <w:rsid w:val="00492FDD"/>
    <w:rsid w:val="004A225B"/>
    <w:rsid w:val="004B096B"/>
    <w:rsid w:val="004D2224"/>
    <w:rsid w:val="004D65B5"/>
    <w:rsid w:val="00523DDC"/>
    <w:rsid w:val="00525D1B"/>
    <w:rsid w:val="00573215"/>
    <w:rsid w:val="0059467E"/>
    <w:rsid w:val="005D6223"/>
    <w:rsid w:val="00622DC4"/>
    <w:rsid w:val="00646E01"/>
    <w:rsid w:val="00651F5B"/>
    <w:rsid w:val="0065781B"/>
    <w:rsid w:val="006A63B1"/>
    <w:rsid w:val="006B5A6B"/>
    <w:rsid w:val="00730E0C"/>
    <w:rsid w:val="00735887"/>
    <w:rsid w:val="007C5A64"/>
    <w:rsid w:val="007D09C0"/>
    <w:rsid w:val="007D15AE"/>
    <w:rsid w:val="007F37EA"/>
    <w:rsid w:val="007F5D15"/>
    <w:rsid w:val="0082304D"/>
    <w:rsid w:val="00823523"/>
    <w:rsid w:val="00853EBC"/>
    <w:rsid w:val="008977D3"/>
    <w:rsid w:val="008A1AE1"/>
    <w:rsid w:val="008C2829"/>
    <w:rsid w:val="00922407"/>
    <w:rsid w:val="00925732"/>
    <w:rsid w:val="0098320D"/>
    <w:rsid w:val="00993946"/>
    <w:rsid w:val="009A7485"/>
    <w:rsid w:val="00A62136"/>
    <w:rsid w:val="00A6555B"/>
    <w:rsid w:val="00A6625B"/>
    <w:rsid w:val="00A91E1A"/>
    <w:rsid w:val="00AB08D5"/>
    <w:rsid w:val="00AC16CD"/>
    <w:rsid w:val="00AC327A"/>
    <w:rsid w:val="00AD4A92"/>
    <w:rsid w:val="00AE1A28"/>
    <w:rsid w:val="00AF0B9D"/>
    <w:rsid w:val="00B45DC4"/>
    <w:rsid w:val="00B5670D"/>
    <w:rsid w:val="00B707A0"/>
    <w:rsid w:val="00B708E9"/>
    <w:rsid w:val="00BE1524"/>
    <w:rsid w:val="00BE636B"/>
    <w:rsid w:val="00BE7B55"/>
    <w:rsid w:val="00BF4F6A"/>
    <w:rsid w:val="00C73F5D"/>
    <w:rsid w:val="00CE2827"/>
    <w:rsid w:val="00CF7923"/>
    <w:rsid w:val="00D17BBC"/>
    <w:rsid w:val="00D5024A"/>
    <w:rsid w:val="00D607FF"/>
    <w:rsid w:val="00DC43E4"/>
    <w:rsid w:val="00DC6A23"/>
    <w:rsid w:val="00DE3E96"/>
    <w:rsid w:val="00E32840"/>
    <w:rsid w:val="00E45DD3"/>
    <w:rsid w:val="00E46242"/>
    <w:rsid w:val="00E5686E"/>
    <w:rsid w:val="00EA05B0"/>
    <w:rsid w:val="00EC1C4D"/>
    <w:rsid w:val="00EF3D25"/>
    <w:rsid w:val="00F0693D"/>
    <w:rsid w:val="00F93086"/>
    <w:rsid w:val="00F93135"/>
    <w:rsid w:val="00FD7A34"/>
    <w:rsid w:val="00FE2BCA"/>
    <w:rsid w:val="00FE3B70"/>
    <w:rsid w:val="00FF21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89CC9CF"/>
  <w15:chartTrackingRefBased/>
  <w15:docId w15:val="{1E40DF35-A77D-45CC-A798-9D95C1A675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ko-K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82352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footnote text"/>
    <w:basedOn w:val="a"/>
    <w:link w:val="a5"/>
    <w:uiPriority w:val="99"/>
    <w:unhideWhenUsed/>
    <w:rsid w:val="0009344C"/>
    <w:pPr>
      <w:spacing w:after="0" w:line="240" w:lineRule="auto"/>
    </w:pPr>
    <w:rPr>
      <w:sz w:val="20"/>
      <w:szCs w:val="20"/>
    </w:rPr>
  </w:style>
  <w:style w:type="character" w:customStyle="1" w:styleId="a5">
    <w:name w:val="Текст сноски Знак"/>
    <w:basedOn w:val="a0"/>
    <w:link w:val="a4"/>
    <w:uiPriority w:val="99"/>
    <w:rsid w:val="0009344C"/>
    <w:rPr>
      <w:sz w:val="20"/>
      <w:szCs w:val="20"/>
    </w:rPr>
  </w:style>
  <w:style w:type="character" w:styleId="a6">
    <w:name w:val="footnote reference"/>
    <w:basedOn w:val="a0"/>
    <w:uiPriority w:val="99"/>
    <w:semiHidden/>
    <w:unhideWhenUsed/>
    <w:rsid w:val="0009344C"/>
    <w:rPr>
      <w:vertAlign w:val="superscript"/>
    </w:rPr>
  </w:style>
  <w:style w:type="paragraph" w:styleId="a7">
    <w:name w:val="header"/>
    <w:basedOn w:val="a"/>
    <w:link w:val="a8"/>
    <w:uiPriority w:val="99"/>
    <w:unhideWhenUsed/>
    <w:rsid w:val="00C73F5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rsid w:val="00C73F5D"/>
  </w:style>
  <w:style w:type="paragraph" w:styleId="a9">
    <w:name w:val="footer"/>
    <w:basedOn w:val="a"/>
    <w:link w:val="aa"/>
    <w:uiPriority w:val="99"/>
    <w:unhideWhenUsed/>
    <w:rsid w:val="00C73F5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Нижний колонтитул Знак"/>
    <w:basedOn w:val="a0"/>
    <w:link w:val="a9"/>
    <w:uiPriority w:val="99"/>
    <w:rsid w:val="00C73F5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34009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0921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596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325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hart" Target="charts/chart2.xml"/><Relationship Id="rId13" Type="http://schemas.openxmlformats.org/officeDocument/2006/relationships/chart" Target="charts/chart7.xml"/><Relationship Id="rId3" Type="http://schemas.openxmlformats.org/officeDocument/2006/relationships/settings" Target="settings.xml"/><Relationship Id="rId7" Type="http://schemas.openxmlformats.org/officeDocument/2006/relationships/chart" Target="charts/chart1.xml"/><Relationship Id="rId12" Type="http://schemas.openxmlformats.org/officeDocument/2006/relationships/chart" Target="charts/chart6.xml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chart" Target="charts/chart5.xml"/><Relationship Id="rId5" Type="http://schemas.openxmlformats.org/officeDocument/2006/relationships/footnotes" Target="footnotes.xml"/><Relationship Id="rId15" Type="http://schemas.openxmlformats.org/officeDocument/2006/relationships/chart" Target="charts/chart9.xml"/><Relationship Id="rId10" Type="http://schemas.openxmlformats.org/officeDocument/2006/relationships/chart" Target="charts/chart4.xml"/><Relationship Id="rId4" Type="http://schemas.openxmlformats.org/officeDocument/2006/relationships/webSettings" Target="webSettings.xml"/><Relationship Id="rId9" Type="http://schemas.openxmlformats.org/officeDocument/2006/relationships/chart" Target="charts/chart3.xml"/><Relationship Id="rId14" Type="http://schemas.openxmlformats.org/officeDocument/2006/relationships/chart" Target="charts/chart8.xml"/></Relationships>
</file>

<file path=word/charts/_rels/chart1.xml.rels><?xml version="1.0" encoding="UTF-8" standalone="yes"?>
<Relationships xmlns="http://schemas.openxmlformats.org/package/2006/relationships"><Relationship Id="rId3" Type="http://schemas.openxmlformats.org/officeDocument/2006/relationships/package" Target="../embeddings/_____Microsoft_Excel1.xlsx"/><Relationship Id="rId2" Type="http://schemas.microsoft.com/office/2011/relationships/chartColorStyle" Target="colors1.xml"/><Relationship Id="rId1" Type="http://schemas.microsoft.com/office/2011/relationships/chartStyle" Target="style1.xml"/></Relationships>
</file>

<file path=word/charts/_rels/chart2.xml.rels><?xml version="1.0" encoding="UTF-8" standalone="yes"?>
<Relationships xmlns="http://schemas.openxmlformats.org/package/2006/relationships"><Relationship Id="rId3" Type="http://schemas.openxmlformats.org/officeDocument/2006/relationships/package" Target="../embeddings/_____Microsoft_Excel2.xlsx"/><Relationship Id="rId2" Type="http://schemas.microsoft.com/office/2011/relationships/chartColorStyle" Target="colors2.xml"/><Relationship Id="rId1" Type="http://schemas.microsoft.com/office/2011/relationships/chartStyle" Target="style2.xml"/></Relationships>
</file>

<file path=word/charts/_rels/chart3.xml.rels><?xml version="1.0" encoding="UTF-8" standalone="yes"?>
<Relationships xmlns="http://schemas.openxmlformats.org/package/2006/relationships"><Relationship Id="rId3" Type="http://schemas.openxmlformats.org/officeDocument/2006/relationships/oleObject" Target="file:///C:\Users\Admin\Desktop\&#1051;&#1080;&#1089;&#1090;%20Microsoft%20Excel.xlsx" TargetMode="External"/><Relationship Id="rId2" Type="http://schemas.microsoft.com/office/2011/relationships/chartColorStyle" Target="colors3.xml"/><Relationship Id="rId1" Type="http://schemas.microsoft.com/office/2011/relationships/chartStyle" Target="style3.xml"/></Relationships>
</file>

<file path=word/charts/_rels/chart4.xml.rels><?xml version="1.0" encoding="UTF-8" standalone="yes"?>
<Relationships xmlns="http://schemas.openxmlformats.org/package/2006/relationships"><Relationship Id="rId3" Type="http://schemas.openxmlformats.org/officeDocument/2006/relationships/oleObject" Target="file:///C:\Users\Admin\Desktop\&#1051;&#1080;&#1089;&#1090;%20Microsoft%20Excel.xlsx" TargetMode="External"/><Relationship Id="rId2" Type="http://schemas.microsoft.com/office/2011/relationships/chartColorStyle" Target="colors4.xml"/><Relationship Id="rId1" Type="http://schemas.microsoft.com/office/2011/relationships/chartStyle" Target="style4.xml"/></Relationships>
</file>

<file path=word/charts/_rels/chart5.xml.rels><?xml version="1.0" encoding="UTF-8" standalone="yes"?>
<Relationships xmlns="http://schemas.openxmlformats.org/package/2006/relationships"><Relationship Id="rId3" Type="http://schemas.openxmlformats.org/officeDocument/2006/relationships/oleObject" Target="file:///C:\Users\Admin\Desktop\&#1051;&#1080;&#1089;&#1090;%20Microsoft%20Excel.xlsx" TargetMode="External"/><Relationship Id="rId2" Type="http://schemas.microsoft.com/office/2011/relationships/chartColorStyle" Target="colors5.xml"/><Relationship Id="rId1" Type="http://schemas.microsoft.com/office/2011/relationships/chartStyle" Target="style5.xml"/></Relationships>
</file>

<file path=word/charts/_rels/chart6.xml.rels><?xml version="1.0" encoding="UTF-8" standalone="yes"?>
<Relationships xmlns="http://schemas.openxmlformats.org/package/2006/relationships"><Relationship Id="rId3" Type="http://schemas.openxmlformats.org/officeDocument/2006/relationships/oleObject" Target="file:///C:\Users\Admin\Desktop\&#1051;&#1080;&#1089;&#1090;%20Microsoft%20Excel.xlsx" TargetMode="External"/><Relationship Id="rId2" Type="http://schemas.microsoft.com/office/2011/relationships/chartColorStyle" Target="colors6.xml"/><Relationship Id="rId1" Type="http://schemas.microsoft.com/office/2011/relationships/chartStyle" Target="style6.xml"/></Relationships>
</file>

<file path=word/charts/_rels/chart7.xml.rels><?xml version="1.0" encoding="UTF-8" standalone="yes"?>
<Relationships xmlns="http://schemas.openxmlformats.org/package/2006/relationships"><Relationship Id="rId3" Type="http://schemas.openxmlformats.org/officeDocument/2006/relationships/oleObject" Target="file:///C:\Users\Admin\Desktop\&#1051;&#1080;&#1089;&#1090;%20Microsoft%20Excel.xlsx" TargetMode="External"/><Relationship Id="rId2" Type="http://schemas.microsoft.com/office/2011/relationships/chartColorStyle" Target="colors7.xml"/><Relationship Id="rId1" Type="http://schemas.microsoft.com/office/2011/relationships/chartStyle" Target="style7.xml"/></Relationships>
</file>

<file path=word/charts/_rels/chart8.xml.rels><?xml version="1.0" encoding="UTF-8" standalone="yes"?>
<Relationships xmlns="http://schemas.openxmlformats.org/package/2006/relationships"><Relationship Id="rId3" Type="http://schemas.openxmlformats.org/officeDocument/2006/relationships/oleObject" Target="file:///C:\Users\Admin\Desktop\&#1051;&#1080;&#1089;&#1090;%20Microsoft%20Excel.xlsx" TargetMode="External"/><Relationship Id="rId2" Type="http://schemas.microsoft.com/office/2011/relationships/chartColorStyle" Target="colors8.xml"/><Relationship Id="rId1" Type="http://schemas.microsoft.com/office/2011/relationships/chartStyle" Target="style8.xml"/></Relationships>
</file>

<file path=word/charts/_rels/chart9.xml.rels><?xml version="1.0" encoding="UTF-8" standalone="yes"?>
<Relationships xmlns="http://schemas.openxmlformats.org/package/2006/relationships"><Relationship Id="rId3" Type="http://schemas.openxmlformats.org/officeDocument/2006/relationships/oleObject" Target="file:///C:\Users\Admin\Desktop\&#1051;&#1080;&#1089;&#1090;%20Microsoft%20Excel.xlsx" TargetMode="External"/><Relationship Id="rId2" Type="http://schemas.microsoft.com/office/2011/relationships/chartColorStyle" Target="colors9.xml"/><Relationship Id="rId1" Type="http://schemas.microsoft.com/office/2011/relationships/chartStyle" Target="style9.xm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Лист1!$B$1</c:f>
              <c:strCache>
                <c:ptCount val="1"/>
                <c:pt idx="0">
                  <c:v>Столбец4</c:v>
                </c:pt>
              </c:strCache>
            </c:strRef>
          </c:tx>
          <c:spPr>
            <a:pattFill prst="narHorz">
              <a:fgClr>
                <a:schemeClr val="accent1"/>
              </a:fgClr>
              <a:bgClr>
                <a:schemeClr val="accent1">
                  <a:lumMod val="20000"/>
                  <a:lumOff val="80000"/>
                </a:schemeClr>
              </a:bgClr>
            </a:pattFill>
            <a:ln>
              <a:noFill/>
            </a:ln>
            <a:effectLst>
              <a:innerShdw blurRad="114300">
                <a:schemeClr val="accent1"/>
              </a:innerShdw>
            </a:effectLst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10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Times New Roman" panose="02020603050405020304" pitchFamily="18" charset="0"/>
                    <a:ea typeface="+mn-ea"/>
                    <a:cs typeface="Times New Roman" panose="02020603050405020304" pitchFamily="18" charset="0"/>
                  </a:defRPr>
                </a:pPr>
                <a:endParaRPr lang="ru-RU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 xmlns:c16r2="http://schemas.microsoft.com/office/drawing/2015/06/chart">
              <c:ext xmlns:c15="http://schemas.microsoft.com/office/drawing/2012/chart" uri="{CE6537A1-D6FC-4f65-9D91-7224C49458BB}">
                <c15:showLeaderLines val="1"/>
                <c15:leaderLines>
                  <c:spPr>
                    <a:ln w="9525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</a:ln>
                    <a:effectLst/>
                  </c:spPr>
                </c15:leaderLines>
              </c:ext>
            </c:extLst>
          </c:dLbls>
          <c:cat>
            <c:numRef>
              <c:f>Лист1!$A$2:$A$5</c:f>
              <c:numCache>
                <c:formatCode>General</c:formatCode>
                <c:ptCount val="4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</c:numCache>
            </c:numRef>
          </c:cat>
          <c:val>
            <c:numRef>
              <c:f>Лист1!$B$2:$B$5</c:f>
              <c:numCache>
                <c:formatCode>General</c:formatCode>
                <c:ptCount val="4"/>
                <c:pt idx="0">
                  <c:v>-11731</c:v>
                </c:pt>
                <c:pt idx="1">
                  <c:v>-19925</c:v>
                </c:pt>
                <c:pt idx="2">
                  <c:v>7445</c:v>
                </c:pt>
                <c:pt idx="3">
                  <c:v>-25012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0-A7E1-4716-9F10-C3F8D7714432}"/>
            </c:ext>
          </c:extLst>
        </c:ser>
        <c:ser>
          <c:idx val="1"/>
          <c:order val="1"/>
          <c:tx>
            <c:strRef>
              <c:f>Лист1!$C$1</c:f>
              <c:strCache>
                <c:ptCount val="1"/>
                <c:pt idx="0">
                  <c:v>Столбец3</c:v>
                </c:pt>
              </c:strCache>
            </c:strRef>
          </c:tx>
          <c:spPr>
            <a:pattFill prst="narHorz">
              <a:fgClr>
                <a:schemeClr val="accent2"/>
              </a:fgClr>
              <a:bgClr>
                <a:schemeClr val="accent2">
                  <a:lumMod val="20000"/>
                  <a:lumOff val="80000"/>
                </a:schemeClr>
              </a:bgClr>
            </a:pattFill>
            <a:ln>
              <a:noFill/>
            </a:ln>
            <a:effectLst>
              <a:innerShdw blurRad="114300">
                <a:schemeClr val="accent2"/>
              </a:innerShdw>
            </a:effectLst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10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Times New Roman" panose="02020603050405020304" pitchFamily="18" charset="0"/>
                    <a:ea typeface="+mn-ea"/>
                    <a:cs typeface="Times New Roman" panose="02020603050405020304" pitchFamily="18" charset="0"/>
                  </a:defRPr>
                </a:pPr>
                <a:endParaRPr lang="ru-RU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 xmlns:c16r2="http://schemas.microsoft.com/office/drawing/2015/06/chart">
              <c:ext xmlns:c15="http://schemas.microsoft.com/office/drawing/2012/chart" uri="{CE6537A1-D6FC-4f65-9D91-7224C49458BB}">
                <c15:showLeaderLines val="1"/>
                <c15:leaderLines>
                  <c:spPr>
                    <a:ln w="9525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</a:ln>
                    <a:effectLst/>
                  </c:spPr>
                </c15:leaderLines>
              </c:ext>
            </c:extLst>
          </c:dLbls>
          <c:cat>
            <c:numRef>
              <c:f>Лист1!$A$2:$A$5</c:f>
              <c:numCache>
                <c:formatCode>General</c:formatCode>
                <c:ptCount val="4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</c:numCache>
            </c:numRef>
          </c:cat>
          <c:val>
            <c:numRef>
              <c:f>Лист1!$C$2:$C$5</c:f>
              <c:numCache>
                <c:formatCode>General</c:formatCode>
                <c:ptCount val="4"/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1-A7E1-4716-9F10-C3F8D7714432}"/>
            </c:ext>
          </c:extLst>
        </c:ser>
        <c:ser>
          <c:idx val="2"/>
          <c:order val="2"/>
          <c:tx>
            <c:strRef>
              <c:f>Лист1!$D$1</c:f>
              <c:strCache>
                <c:ptCount val="1"/>
                <c:pt idx="0">
                  <c:v>Столбец2</c:v>
                </c:pt>
              </c:strCache>
            </c:strRef>
          </c:tx>
          <c:spPr>
            <a:pattFill prst="narHorz">
              <a:fgClr>
                <a:schemeClr val="accent3"/>
              </a:fgClr>
              <a:bgClr>
                <a:schemeClr val="accent3">
                  <a:lumMod val="20000"/>
                  <a:lumOff val="80000"/>
                </a:schemeClr>
              </a:bgClr>
            </a:pattFill>
            <a:ln>
              <a:noFill/>
            </a:ln>
            <a:effectLst>
              <a:innerShdw blurRad="114300">
                <a:schemeClr val="accent3"/>
              </a:innerShdw>
            </a:effectLst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10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Times New Roman" panose="02020603050405020304" pitchFamily="18" charset="0"/>
                    <a:ea typeface="+mn-ea"/>
                    <a:cs typeface="Times New Roman" panose="02020603050405020304" pitchFamily="18" charset="0"/>
                  </a:defRPr>
                </a:pPr>
                <a:endParaRPr lang="ru-RU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 xmlns:c16r2="http://schemas.microsoft.com/office/drawing/2015/06/chart">
              <c:ext xmlns:c15="http://schemas.microsoft.com/office/drawing/2012/chart" uri="{CE6537A1-D6FC-4f65-9D91-7224C49458BB}">
                <c15:showLeaderLines val="1"/>
                <c15:leaderLines>
                  <c:spPr>
                    <a:ln w="9525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</a:ln>
                    <a:effectLst/>
                  </c:spPr>
                </c15:leaderLines>
              </c:ext>
            </c:extLst>
          </c:dLbls>
          <c:cat>
            <c:numRef>
              <c:f>Лист1!$A$2:$A$5</c:f>
              <c:numCache>
                <c:formatCode>General</c:formatCode>
                <c:ptCount val="4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</c:numCache>
            </c:numRef>
          </c:cat>
          <c:val>
            <c:numRef>
              <c:f>Лист1!$D$2:$D$5</c:f>
              <c:numCache>
                <c:formatCode>General</c:formatCode>
                <c:ptCount val="4"/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2-A7E1-4716-9F10-C3F8D7714432}"/>
            </c:ext>
          </c:extLst>
        </c:ser>
        <c:ser>
          <c:idx val="3"/>
          <c:order val="3"/>
          <c:tx>
            <c:strRef>
              <c:f>Лист1!$E$1</c:f>
              <c:strCache>
                <c:ptCount val="1"/>
                <c:pt idx="0">
                  <c:v>Столбец1</c:v>
                </c:pt>
              </c:strCache>
            </c:strRef>
          </c:tx>
          <c:spPr>
            <a:pattFill prst="narHorz">
              <a:fgClr>
                <a:schemeClr val="accent4"/>
              </a:fgClr>
              <a:bgClr>
                <a:schemeClr val="accent4">
                  <a:lumMod val="20000"/>
                  <a:lumOff val="80000"/>
                </a:schemeClr>
              </a:bgClr>
            </a:pattFill>
            <a:ln>
              <a:noFill/>
            </a:ln>
            <a:effectLst>
              <a:innerShdw blurRad="114300">
                <a:schemeClr val="accent4"/>
              </a:innerShdw>
            </a:effectLst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10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Times New Roman" panose="02020603050405020304" pitchFamily="18" charset="0"/>
                    <a:ea typeface="+mn-ea"/>
                    <a:cs typeface="Times New Roman" panose="02020603050405020304" pitchFamily="18" charset="0"/>
                  </a:defRPr>
                </a:pPr>
                <a:endParaRPr lang="ru-RU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 xmlns:c16r2="http://schemas.microsoft.com/office/drawing/2015/06/chart">
              <c:ext xmlns:c15="http://schemas.microsoft.com/office/drawing/2012/chart" uri="{CE6537A1-D6FC-4f65-9D91-7224C49458BB}">
                <c15:showLeaderLines val="1"/>
                <c15:leaderLines>
                  <c:spPr>
                    <a:ln w="9525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</a:ln>
                    <a:effectLst/>
                  </c:spPr>
                </c15:leaderLines>
              </c:ext>
            </c:extLst>
          </c:dLbls>
          <c:cat>
            <c:numRef>
              <c:f>Лист1!$A$2:$A$5</c:f>
              <c:numCache>
                <c:formatCode>General</c:formatCode>
                <c:ptCount val="4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</c:numCache>
            </c:numRef>
          </c:cat>
          <c:val>
            <c:numRef>
              <c:f>Лист1!$E$2:$E$5</c:f>
              <c:numCache>
                <c:formatCode>General</c:formatCode>
                <c:ptCount val="4"/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3-A7E1-4716-9F10-C3F8D7714432}"/>
            </c:ext>
          </c:extLst>
        </c:ser>
        <c:dLbls>
          <c:dLblPos val="outEnd"/>
          <c:showLegendKey val="0"/>
          <c:showVal val="1"/>
          <c:showCatName val="0"/>
          <c:showSerName val="0"/>
          <c:showPercent val="0"/>
          <c:showBubbleSize val="0"/>
        </c:dLbls>
        <c:gapWidth val="164"/>
        <c:overlap val="-22"/>
        <c:axId val="491852128"/>
        <c:axId val="491845856"/>
      </c:barChart>
      <c:catAx>
        <c:axId val="491852128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19050" cap="flat" cmpd="sng" algn="ctr">
            <a:solidFill>
              <a:schemeClr val="tx1">
                <a:lumMod val="25000"/>
                <a:lumOff val="7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0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ru-RU"/>
          </a:p>
        </c:txPr>
        <c:crossAx val="491845856"/>
        <c:crosses val="autoZero"/>
        <c:auto val="1"/>
        <c:lblAlgn val="ctr"/>
        <c:lblOffset val="100"/>
        <c:noMultiLvlLbl val="0"/>
      </c:catAx>
      <c:valAx>
        <c:axId val="491845856"/>
        <c:scaling>
          <c:orientation val="minMax"/>
        </c:scaling>
        <c:delete val="0"/>
        <c:axPos val="l"/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0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ru-RU"/>
          </a:p>
        </c:txPr>
        <c:crossAx val="491852128"/>
        <c:crosses val="autoZero"/>
        <c:crossBetween val="between"/>
      </c:valAx>
      <c:spPr>
        <a:noFill/>
        <a:ln>
          <a:noFill/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 sz="1000">
          <a:latin typeface="Times New Roman" panose="02020603050405020304" pitchFamily="18" charset="0"/>
          <a:cs typeface="Times New Roman" panose="02020603050405020304" pitchFamily="18" charset="0"/>
        </a:defRPr>
      </a:pPr>
      <a:endParaRPr lang="ru-RU"/>
    </a:p>
  </c:txPr>
  <c:externalData r:id="rId3">
    <c:autoUpdate val="0"/>
  </c:externalData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Лист1!$B$1</c:f>
              <c:strCache>
                <c:ptCount val="1"/>
                <c:pt idx="0">
                  <c:v>Межрегиональная</c:v>
                </c:pt>
              </c:strCache>
            </c:strRef>
          </c:tx>
          <c:spPr>
            <a:pattFill prst="narHorz">
              <a:fgClr>
                <a:schemeClr val="accent1"/>
              </a:fgClr>
              <a:bgClr>
                <a:schemeClr val="accent1">
                  <a:lumMod val="20000"/>
                  <a:lumOff val="80000"/>
                </a:schemeClr>
              </a:bgClr>
            </a:pattFill>
            <a:ln>
              <a:noFill/>
            </a:ln>
            <a:effectLst>
              <a:innerShdw blurRad="114300">
                <a:schemeClr val="accent1"/>
              </a:innerShdw>
            </a:effectLst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ru-RU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 xmlns:c16r2="http://schemas.microsoft.com/office/drawing/2015/06/chart">
              <c:ext xmlns:c15="http://schemas.microsoft.com/office/drawing/2012/chart" uri="{CE6537A1-D6FC-4f65-9D91-7224C49458BB}">
                <c15:showLeaderLines val="1"/>
                <c15:leaderLines>
                  <c:spPr>
                    <a:ln w="9525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</a:ln>
                    <a:effectLst/>
                  </c:spPr>
                </c15:leaderLines>
              </c:ext>
            </c:extLst>
          </c:dLbls>
          <c:cat>
            <c:numRef>
              <c:f>Лист1!$A$2:$A$3</c:f>
              <c:numCache>
                <c:formatCode>General</c:formatCode>
                <c:ptCount val="2"/>
                <c:pt idx="0">
                  <c:v>2019</c:v>
                </c:pt>
                <c:pt idx="1">
                  <c:v>2021</c:v>
                </c:pt>
              </c:numCache>
            </c:numRef>
          </c:cat>
          <c:val>
            <c:numRef>
              <c:f>Лист1!$B$2:$B$3</c:f>
              <c:numCache>
                <c:formatCode>General</c:formatCode>
                <c:ptCount val="2"/>
                <c:pt idx="0">
                  <c:v>134808</c:v>
                </c:pt>
                <c:pt idx="1">
                  <c:v>123809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0-A1B3-423D-BBEA-D22313DF244F}"/>
            </c:ext>
          </c:extLst>
        </c:ser>
        <c:ser>
          <c:idx val="1"/>
          <c:order val="1"/>
          <c:tx>
            <c:strRef>
              <c:f>Лист1!$C$1</c:f>
              <c:strCache>
                <c:ptCount val="1"/>
                <c:pt idx="0">
                  <c:v>Со странами СНГ</c:v>
                </c:pt>
              </c:strCache>
            </c:strRef>
          </c:tx>
          <c:spPr>
            <a:pattFill prst="narHorz">
              <a:fgClr>
                <a:schemeClr val="accent2"/>
              </a:fgClr>
              <a:bgClr>
                <a:schemeClr val="accent2">
                  <a:lumMod val="20000"/>
                  <a:lumOff val="80000"/>
                </a:schemeClr>
              </a:bgClr>
            </a:pattFill>
            <a:ln>
              <a:noFill/>
            </a:ln>
            <a:effectLst>
              <a:innerShdw blurRad="114300">
                <a:schemeClr val="accent2"/>
              </a:innerShdw>
            </a:effectLst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ru-RU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 xmlns:c16r2="http://schemas.microsoft.com/office/drawing/2015/06/chart">
              <c:ext xmlns:c15="http://schemas.microsoft.com/office/drawing/2012/chart" uri="{CE6537A1-D6FC-4f65-9D91-7224C49458BB}">
                <c15:showLeaderLines val="1"/>
                <c15:leaderLines>
                  <c:spPr>
                    <a:ln w="9525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</a:ln>
                    <a:effectLst/>
                  </c:spPr>
                </c15:leaderLines>
              </c:ext>
            </c:extLst>
          </c:dLbls>
          <c:cat>
            <c:numRef>
              <c:f>Лист1!$A$2:$A$3</c:f>
              <c:numCache>
                <c:formatCode>General</c:formatCode>
                <c:ptCount val="2"/>
                <c:pt idx="0">
                  <c:v>2019</c:v>
                </c:pt>
                <c:pt idx="1">
                  <c:v>2021</c:v>
                </c:pt>
              </c:numCache>
            </c:numRef>
          </c:cat>
          <c:val>
            <c:numRef>
              <c:f>Лист1!$C$2:$C$3</c:f>
              <c:numCache>
                <c:formatCode>General</c:formatCode>
                <c:ptCount val="2"/>
                <c:pt idx="0">
                  <c:v>26340</c:v>
                </c:pt>
                <c:pt idx="1">
                  <c:v>16498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1-A1B3-423D-BBEA-D22313DF244F}"/>
            </c:ext>
          </c:extLst>
        </c:ser>
        <c:ser>
          <c:idx val="2"/>
          <c:order val="2"/>
          <c:tx>
            <c:strRef>
              <c:f>Лист1!$D$1</c:f>
              <c:strCache>
                <c:ptCount val="1"/>
                <c:pt idx="0">
                  <c:v>Со странами дальнего зарубежья</c:v>
                </c:pt>
              </c:strCache>
            </c:strRef>
          </c:tx>
          <c:spPr>
            <a:pattFill prst="narHorz">
              <a:fgClr>
                <a:schemeClr val="accent3"/>
              </a:fgClr>
              <a:bgClr>
                <a:schemeClr val="accent3">
                  <a:lumMod val="20000"/>
                  <a:lumOff val="80000"/>
                </a:schemeClr>
              </a:bgClr>
            </a:pattFill>
            <a:ln>
              <a:noFill/>
            </a:ln>
            <a:effectLst>
              <a:innerShdw blurRad="114300">
                <a:schemeClr val="accent3"/>
              </a:innerShdw>
            </a:effectLst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ru-RU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 xmlns:c16r2="http://schemas.microsoft.com/office/drawing/2015/06/chart">
              <c:ext xmlns:c15="http://schemas.microsoft.com/office/drawing/2012/chart" uri="{CE6537A1-D6FC-4f65-9D91-7224C49458BB}">
                <c15:showLeaderLines val="1"/>
                <c15:leaderLines>
                  <c:spPr>
                    <a:ln w="9525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</a:ln>
                    <a:effectLst/>
                  </c:spPr>
                </c15:leaderLines>
              </c:ext>
            </c:extLst>
          </c:dLbls>
          <c:cat>
            <c:numRef>
              <c:f>Лист1!$A$2:$A$3</c:f>
              <c:numCache>
                <c:formatCode>General</c:formatCode>
                <c:ptCount val="2"/>
                <c:pt idx="0">
                  <c:v>2019</c:v>
                </c:pt>
                <c:pt idx="1">
                  <c:v>2021</c:v>
                </c:pt>
              </c:numCache>
            </c:numRef>
          </c:cat>
          <c:val>
            <c:numRef>
              <c:f>Лист1!$D$2:$D$3</c:f>
              <c:numCache>
                <c:formatCode>General</c:formatCode>
                <c:ptCount val="2"/>
                <c:pt idx="0">
                  <c:v>8559</c:v>
                </c:pt>
                <c:pt idx="1">
                  <c:v>2016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2-A1B3-423D-BBEA-D22313DF244F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64"/>
        <c:overlap val="-22"/>
        <c:axId val="491846640"/>
        <c:axId val="491845072"/>
      </c:barChart>
      <c:catAx>
        <c:axId val="491846640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19050" cap="flat" cmpd="sng" algn="ctr">
            <a:solidFill>
              <a:schemeClr val="tx1">
                <a:lumMod val="25000"/>
                <a:lumOff val="7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ru-RU"/>
          </a:p>
        </c:txPr>
        <c:crossAx val="491845072"/>
        <c:crosses val="autoZero"/>
        <c:auto val="1"/>
        <c:lblAlgn val="ctr"/>
        <c:lblOffset val="100"/>
        <c:noMultiLvlLbl val="0"/>
      </c:catAx>
      <c:valAx>
        <c:axId val="491845072"/>
        <c:scaling>
          <c:orientation val="minMax"/>
        </c:scaling>
        <c:delete val="0"/>
        <c:axPos val="l"/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ru-RU"/>
          </a:p>
        </c:txPr>
        <c:crossAx val="491846640"/>
        <c:crosses val="autoZero"/>
        <c:crossBetween val="between"/>
        <c:majorUnit val="20000"/>
      </c:valAx>
      <c:spPr>
        <a:noFill/>
        <a:ln>
          <a:noFill/>
        </a:ln>
        <a:effectLst/>
      </c:spPr>
    </c:plotArea>
    <c:legend>
      <c:legendPos val="t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ru-RU"/>
        </a:p>
      </c:txPr>
    </c:legend>
    <c:plotVisOnly val="1"/>
    <c:dispBlanksAs val="gap"/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/>
      </a:pPr>
      <a:endParaRPr lang="ru-RU"/>
    </a:p>
  </c:txPr>
  <c:externalData r:id="rId3">
    <c:autoUpdate val="0"/>
  </c:externalData>
</c:chartSpace>
</file>

<file path=word/charts/chart3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pieChart>
        <c:varyColors val="1"/>
        <c:ser>
          <c:idx val="0"/>
          <c:order val="0"/>
          <c:dPt>
            <c:idx val="0"/>
            <c:bubble3D val="0"/>
            <c:spPr>
              <a:pattFill prst="ltUpDiag">
                <a:fgClr>
                  <a:schemeClr val="accent1"/>
                </a:fgClr>
                <a:bgClr>
                  <a:schemeClr val="accent1">
                    <a:lumMod val="20000"/>
                    <a:lumOff val="80000"/>
                  </a:schemeClr>
                </a:bgClr>
              </a:pattFill>
              <a:ln w="19050">
                <a:solidFill>
                  <a:schemeClr val="lt1"/>
                </a:solidFill>
              </a:ln>
              <a:effectLst>
                <a:innerShdw blurRad="114300">
                  <a:schemeClr val="accent1"/>
                </a:innerShdw>
              </a:effectLst>
            </c:spPr>
            <c:extLst xmlns:c16r2="http://schemas.microsoft.com/office/drawing/2015/06/chart">
              <c:ext xmlns:c16="http://schemas.microsoft.com/office/drawing/2014/chart" uri="{C3380CC4-5D6E-409C-BE32-E72D297353CC}">
                <c16:uniqueId val="{00000001-FB72-4997-897B-3CDB8D746583}"/>
              </c:ext>
            </c:extLst>
          </c:dPt>
          <c:dPt>
            <c:idx val="1"/>
            <c:bubble3D val="0"/>
            <c:spPr>
              <a:pattFill prst="ltUpDiag">
                <a:fgClr>
                  <a:schemeClr val="accent2"/>
                </a:fgClr>
                <a:bgClr>
                  <a:schemeClr val="accent2">
                    <a:lumMod val="20000"/>
                    <a:lumOff val="80000"/>
                  </a:schemeClr>
                </a:bgClr>
              </a:pattFill>
              <a:ln w="19050">
                <a:solidFill>
                  <a:schemeClr val="lt1"/>
                </a:solidFill>
              </a:ln>
              <a:effectLst>
                <a:innerShdw blurRad="114300">
                  <a:schemeClr val="accent2"/>
                </a:innerShdw>
              </a:effectLst>
            </c:spPr>
            <c:extLst xmlns:c16r2="http://schemas.microsoft.com/office/drawing/2015/06/chart">
              <c:ext xmlns:c16="http://schemas.microsoft.com/office/drawing/2014/chart" uri="{C3380CC4-5D6E-409C-BE32-E72D297353CC}">
                <c16:uniqueId val="{00000003-FB72-4997-897B-3CDB8D746583}"/>
              </c:ext>
            </c:extLst>
          </c:dPt>
          <c:dPt>
            <c:idx val="2"/>
            <c:bubble3D val="0"/>
            <c:spPr>
              <a:pattFill prst="ltUpDiag">
                <a:fgClr>
                  <a:schemeClr val="accent3"/>
                </a:fgClr>
                <a:bgClr>
                  <a:schemeClr val="accent3">
                    <a:lumMod val="20000"/>
                    <a:lumOff val="80000"/>
                  </a:schemeClr>
                </a:bgClr>
              </a:pattFill>
              <a:ln w="19050">
                <a:solidFill>
                  <a:schemeClr val="lt1"/>
                </a:solidFill>
              </a:ln>
              <a:effectLst>
                <a:innerShdw blurRad="114300">
                  <a:schemeClr val="accent3"/>
                </a:innerShdw>
              </a:effectLst>
            </c:spPr>
            <c:extLst xmlns:c16r2="http://schemas.microsoft.com/office/drawing/2015/06/chart">
              <c:ext xmlns:c16="http://schemas.microsoft.com/office/drawing/2014/chart" uri="{C3380CC4-5D6E-409C-BE32-E72D297353CC}">
                <c16:uniqueId val="{00000005-FB72-4997-897B-3CDB8D746583}"/>
              </c:ext>
            </c:extLst>
          </c:dPt>
          <c:dPt>
            <c:idx val="3"/>
            <c:bubble3D val="0"/>
            <c:spPr>
              <a:pattFill prst="ltUpDiag">
                <a:fgClr>
                  <a:schemeClr val="accent4"/>
                </a:fgClr>
                <a:bgClr>
                  <a:schemeClr val="accent4">
                    <a:lumMod val="20000"/>
                    <a:lumOff val="80000"/>
                  </a:schemeClr>
                </a:bgClr>
              </a:pattFill>
              <a:ln w="19050">
                <a:solidFill>
                  <a:schemeClr val="lt1"/>
                </a:solidFill>
              </a:ln>
              <a:effectLst>
                <a:innerShdw blurRad="114300">
                  <a:schemeClr val="accent4"/>
                </a:innerShdw>
              </a:effectLst>
            </c:spPr>
            <c:extLst xmlns:c16r2="http://schemas.microsoft.com/office/drawing/2015/06/chart">
              <c:ext xmlns:c16="http://schemas.microsoft.com/office/drawing/2014/chart" uri="{C3380CC4-5D6E-409C-BE32-E72D297353CC}">
                <c16:uniqueId val="{00000007-FB72-4997-897B-3CDB8D746583}"/>
              </c:ext>
            </c:extLst>
          </c:dPt>
          <c:dPt>
            <c:idx val="4"/>
            <c:bubble3D val="0"/>
            <c:spPr>
              <a:pattFill prst="ltUpDiag">
                <a:fgClr>
                  <a:schemeClr val="accent5"/>
                </a:fgClr>
                <a:bgClr>
                  <a:schemeClr val="accent5">
                    <a:lumMod val="20000"/>
                    <a:lumOff val="80000"/>
                  </a:schemeClr>
                </a:bgClr>
              </a:pattFill>
              <a:ln w="19050">
                <a:solidFill>
                  <a:schemeClr val="lt1"/>
                </a:solidFill>
              </a:ln>
              <a:effectLst>
                <a:innerShdw blurRad="114300">
                  <a:schemeClr val="accent5"/>
                </a:innerShdw>
              </a:effectLst>
            </c:spPr>
            <c:extLst xmlns:c16r2="http://schemas.microsoft.com/office/drawing/2015/06/chart">
              <c:ext xmlns:c16="http://schemas.microsoft.com/office/drawing/2014/chart" uri="{C3380CC4-5D6E-409C-BE32-E72D297353CC}">
                <c16:uniqueId val="{00000009-FB72-4997-897B-3CDB8D746583}"/>
              </c:ext>
            </c:extLst>
          </c:dPt>
          <c:dPt>
            <c:idx val="5"/>
            <c:bubble3D val="0"/>
            <c:spPr>
              <a:pattFill prst="ltUpDiag">
                <a:fgClr>
                  <a:schemeClr val="accent6"/>
                </a:fgClr>
                <a:bgClr>
                  <a:schemeClr val="accent6">
                    <a:lumMod val="20000"/>
                    <a:lumOff val="80000"/>
                  </a:schemeClr>
                </a:bgClr>
              </a:pattFill>
              <a:ln w="19050">
                <a:solidFill>
                  <a:schemeClr val="lt1"/>
                </a:solidFill>
              </a:ln>
              <a:effectLst>
                <a:innerShdw blurRad="114300">
                  <a:schemeClr val="accent6"/>
                </a:innerShdw>
              </a:effectLst>
            </c:spPr>
            <c:extLst xmlns:c16r2="http://schemas.microsoft.com/office/drawing/2015/06/chart">
              <c:ext xmlns:c16="http://schemas.microsoft.com/office/drawing/2014/chart" uri="{C3380CC4-5D6E-409C-BE32-E72D297353CC}">
                <c16:uniqueId val="{0000000B-FB72-4997-897B-3CDB8D746583}"/>
              </c:ext>
            </c:extLst>
          </c:dPt>
          <c:dLbls>
            <c:spPr>
              <a:solidFill>
                <a:sysClr val="window" lastClr="FFFFFF"/>
              </a:solidFill>
              <a:ln>
                <a:solidFill>
                  <a:sysClr val="windowText" lastClr="000000">
                    <a:lumMod val="25000"/>
                    <a:lumOff val="75000"/>
                  </a:sysClr>
                </a:solidFill>
              </a:ln>
              <a:effectLst/>
            </c:spPr>
            <c:txPr>
              <a:bodyPr rot="0" spcFirstLastPara="1" vertOverflow="clip" horzOverflow="clip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dk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ru-RU"/>
              </a:p>
            </c:txPr>
            <c:dLblPos val="outEnd"/>
            <c:showLegendKey val="0"/>
            <c:showVal val="0"/>
            <c:showCatName val="1"/>
            <c:showSerName val="0"/>
            <c:showPercent val="1"/>
            <c:showBubbleSize val="0"/>
            <c:showLeaderLines val="0"/>
            <c:extLst xmlns:c16r2="http://schemas.microsoft.com/office/drawing/2015/06/chart">
              <c:ext xmlns:c15="http://schemas.microsoft.com/office/drawing/2012/chart" uri="{CE6537A1-D6FC-4f65-9D91-7224C49458BB}">
                <c15:spPr xmlns:c15="http://schemas.microsoft.com/office/drawing/2012/chart">
                  <a:prstGeom prst="wedgeRectCallout">
                    <a:avLst/>
                  </a:prstGeom>
                  <a:noFill/>
                  <a:ln>
                    <a:noFill/>
                  </a:ln>
                </c15:spPr>
              </c:ext>
            </c:extLst>
          </c:dLbls>
          <c:cat>
            <c:strRef>
              <c:f>Лист1!$A$3:$A$8</c:f>
              <c:strCache>
                <c:ptCount val="6"/>
                <c:pt idx="0">
                  <c:v>Сельское хозяйство</c:v>
                </c:pt>
                <c:pt idx="1">
                  <c:v>Образование</c:v>
                </c:pt>
                <c:pt idx="2">
                  <c:v>Торговля</c:v>
                </c:pt>
                <c:pt idx="3">
                  <c:v>Строительство</c:v>
                </c:pt>
                <c:pt idx="4">
                  <c:v>Фармацевтика</c:v>
                </c:pt>
                <c:pt idx="5">
                  <c:v>Общественное питание</c:v>
                </c:pt>
              </c:strCache>
            </c:strRef>
          </c:cat>
          <c:val>
            <c:numRef>
              <c:f>Лист1!$B$3:$B$8</c:f>
              <c:numCache>
                <c:formatCode>General</c:formatCode>
                <c:ptCount val="6"/>
                <c:pt idx="0">
                  <c:v>6</c:v>
                </c:pt>
                <c:pt idx="1">
                  <c:v>8</c:v>
                </c:pt>
                <c:pt idx="2">
                  <c:v>18</c:v>
                </c:pt>
                <c:pt idx="3">
                  <c:v>9</c:v>
                </c:pt>
                <c:pt idx="4">
                  <c:v>4</c:v>
                </c:pt>
                <c:pt idx="5">
                  <c:v>8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C-FB72-4997-897B-3CDB8D746583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  <c:showLeaderLines val="0"/>
        </c:dLbls>
        <c:firstSliceAng val="0"/>
      </c:pieChart>
      <c:spPr>
        <a:noFill/>
        <a:ln>
          <a:noFill/>
        </a:ln>
        <a:effectLst/>
      </c:spPr>
    </c:plotArea>
    <c:plotVisOnly val="1"/>
    <c:dispBlanksAs val="gap"/>
    <c:showDLblsOverMax val="0"/>
    <c:extLst xmlns:c16r2="http://schemas.microsoft.com/office/drawing/2015/06/chart"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/>
      </a:pPr>
      <a:endParaRPr lang="ru-RU"/>
    </a:p>
  </c:txPr>
  <c:externalData r:id="rId3">
    <c:autoUpdate val="0"/>
  </c:externalData>
</c:chartSpace>
</file>

<file path=word/charts/chart4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pieChart>
        <c:varyColors val="1"/>
        <c:ser>
          <c:idx val="0"/>
          <c:order val="0"/>
          <c:dPt>
            <c:idx val="0"/>
            <c:bubble3D val="0"/>
            <c:spPr>
              <a:pattFill prst="ltUpDiag">
                <a:fgClr>
                  <a:schemeClr val="accent1"/>
                </a:fgClr>
                <a:bgClr>
                  <a:schemeClr val="accent1">
                    <a:lumMod val="20000"/>
                    <a:lumOff val="80000"/>
                  </a:schemeClr>
                </a:bgClr>
              </a:pattFill>
              <a:ln w="19050">
                <a:solidFill>
                  <a:schemeClr val="lt1"/>
                </a:solidFill>
              </a:ln>
              <a:effectLst>
                <a:innerShdw blurRad="114300">
                  <a:schemeClr val="accent1"/>
                </a:innerShdw>
              </a:effectLst>
            </c:spPr>
            <c:extLst xmlns:c16r2="http://schemas.microsoft.com/office/drawing/2015/06/chart">
              <c:ext xmlns:c16="http://schemas.microsoft.com/office/drawing/2014/chart" uri="{C3380CC4-5D6E-409C-BE32-E72D297353CC}">
                <c16:uniqueId val="{00000001-8D48-4CEC-B49A-4DEAD0845DD0}"/>
              </c:ext>
            </c:extLst>
          </c:dPt>
          <c:dPt>
            <c:idx val="1"/>
            <c:bubble3D val="0"/>
            <c:spPr>
              <a:pattFill prst="ltUpDiag">
                <a:fgClr>
                  <a:schemeClr val="accent2"/>
                </a:fgClr>
                <a:bgClr>
                  <a:schemeClr val="accent2">
                    <a:lumMod val="20000"/>
                    <a:lumOff val="80000"/>
                  </a:schemeClr>
                </a:bgClr>
              </a:pattFill>
              <a:ln w="19050">
                <a:solidFill>
                  <a:schemeClr val="lt1"/>
                </a:solidFill>
              </a:ln>
              <a:effectLst>
                <a:innerShdw blurRad="114300">
                  <a:schemeClr val="accent2"/>
                </a:innerShdw>
              </a:effectLst>
            </c:spPr>
            <c:extLst xmlns:c16r2="http://schemas.microsoft.com/office/drawing/2015/06/chart">
              <c:ext xmlns:c16="http://schemas.microsoft.com/office/drawing/2014/chart" uri="{C3380CC4-5D6E-409C-BE32-E72D297353CC}">
                <c16:uniqueId val="{00000003-8D48-4CEC-B49A-4DEAD0845DD0}"/>
              </c:ext>
            </c:extLst>
          </c:dPt>
          <c:dPt>
            <c:idx val="2"/>
            <c:bubble3D val="0"/>
            <c:spPr>
              <a:pattFill prst="ltUpDiag">
                <a:fgClr>
                  <a:schemeClr val="accent3"/>
                </a:fgClr>
                <a:bgClr>
                  <a:schemeClr val="accent3">
                    <a:lumMod val="20000"/>
                    <a:lumOff val="80000"/>
                  </a:schemeClr>
                </a:bgClr>
              </a:pattFill>
              <a:ln w="19050">
                <a:solidFill>
                  <a:schemeClr val="lt1"/>
                </a:solidFill>
              </a:ln>
              <a:effectLst>
                <a:innerShdw blurRad="114300">
                  <a:schemeClr val="accent3"/>
                </a:innerShdw>
              </a:effectLst>
            </c:spPr>
            <c:extLst xmlns:c16r2="http://schemas.microsoft.com/office/drawing/2015/06/chart">
              <c:ext xmlns:c16="http://schemas.microsoft.com/office/drawing/2014/chart" uri="{C3380CC4-5D6E-409C-BE32-E72D297353CC}">
                <c16:uniqueId val="{00000005-8D48-4CEC-B49A-4DEAD0845DD0}"/>
              </c:ext>
            </c:extLst>
          </c:dPt>
          <c:dLbls>
            <c:spPr>
              <a:solidFill>
                <a:sysClr val="window" lastClr="FFFFFF"/>
              </a:solidFill>
              <a:ln>
                <a:solidFill>
                  <a:sysClr val="windowText" lastClr="000000">
                    <a:lumMod val="25000"/>
                    <a:lumOff val="75000"/>
                  </a:sysClr>
                </a:solidFill>
              </a:ln>
              <a:effectLst/>
            </c:spPr>
            <c:txPr>
              <a:bodyPr rot="0" spcFirstLastPara="1" vertOverflow="clip" horzOverflow="clip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dk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ru-RU"/>
              </a:p>
            </c:txPr>
            <c:dLblPos val="outEnd"/>
            <c:showLegendKey val="0"/>
            <c:showVal val="0"/>
            <c:showCatName val="1"/>
            <c:showSerName val="0"/>
            <c:showPercent val="1"/>
            <c:showBubbleSize val="0"/>
            <c:showLeaderLines val="0"/>
            <c:extLst xmlns:c16r2="http://schemas.microsoft.com/office/drawing/2015/06/chart">
              <c:ext xmlns:c15="http://schemas.microsoft.com/office/drawing/2012/chart" uri="{CE6537A1-D6FC-4f65-9D91-7224C49458BB}">
                <c15:spPr xmlns:c15="http://schemas.microsoft.com/office/drawing/2012/chart">
                  <a:prstGeom prst="wedgeRectCallout">
                    <a:avLst/>
                  </a:prstGeom>
                  <a:noFill/>
                  <a:ln>
                    <a:noFill/>
                  </a:ln>
                </c15:spPr>
              </c:ext>
            </c:extLst>
          </c:dLbls>
          <c:cat>
            <c:strRef>
              <c:f>Лист1!$A$12:$A$14</c:f>
              <c:strCache>
                <c:ptCount val="3"/>
                <c:pt idx="0">
                  <c:v>Малый бизнес</c:v>
                </c:pt>
                <c:pt idx="1">
                  <c:v>Средний бизней</c:v>
                </c:pt>
                <c:pt idx="2">
                  <c:v>Крупный бизнес</c:v>
                </c:pt>
              </c:strCache>
            </c:strRef>
          </c:cat>
          <c:val>
            <c:numRef>
              <c:f>Лист1!$B$12:$B$14</c:f>
              <c:numCache>
                <c:formatCode>General</c:formatCode>
                <c:ptCount val="3"/>
                <c:pt idx="0">
                  <c:v>25</c:v>
                </c:pt>
                <c:pt idx="1">
                  <c:v>27</c:v>
                </c:pt>
                <c:pt idx="2">
                  <c:v>1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6-8D48-4CEC-B49A-4DEAD0845DD0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  <c:showLeaderLines val="0"/>
        </c:dLbls>
        <c:firstSliceAng val="0"/>
      </c:pieChart>
      <c:spPr>
        <a:noFill/>
        <a:ln>
          <a:noFill/>
        </a:ln>
        <a:effectLst/>
      </c:spPr>
    </c:plotArea>
    <c:plotVisOnly val="1"/>
    <c:dispBlanksAs val="gap"/>
    <c:showDLblsOverMax val="0"/>
    <c:extLst xmlns:c16r2="http://schemas.microsoft.com/office/drawing/2015/06/chart"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/>
      </a:pPr>
      <a:endParaRPr lang="ru-RU"/>
    </a:p>
  </c:txPr>
  <c:externalData r:id="rId3">
    <c:autoUpdate val="0"/>
  </c:externalData>
</c:chartSpace>
</file>

<file path=word/charts/chart5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pieChart>
        <c:varyColors val="1"/>
        <c:ser>
          <c:idx val="0"/>
          <c:order val="0"/>
          <c:dPt>
            <c:idx val="0"/>
            <c:bubble3D val="0"/>
            <c:spPr>
              <a:pattFill prst="ltUpDiag">
                <a:fgClr>
                  <a:schemeClr val="accent1"/>
                </a:fgClr>
                <a:bgClr>
                  <a:schemeClr val="accent1">
                    <a:lumMod val="20000"/>
                    <a:lumOff val="80000"/>
                  </a:schemeClr>
                </a:bgClr>
              </a:pattFill>
              <a:ln w="19050">
                <a:solidFill>
                  <a:schemeClr val="lt1"/>
                </a:solidFill>
              </a:ln>
              <a:effectLst>
                <a:innerShdw blurRad="114300">
                  <a:schemeClr val="accent1"/>
                </a:innerShdw>
              </a:effectLst>
            </c:spPr>
            <c:extLst xmlns:c16r2="http://schemas.microsoft.com/office/drawing/2015/06/chart">
              <c:ext xmlns:c16="http://schemas.microsoft.com/office/drawing/2014/chart" uri="{C3380CC4-5D6E-409C-BE32-E72D297353CC}">
                <c16:uniqueId val="{00000001-04DF-4C0E-B4E9-EB607F906C49}"/>
              </c:ext>
            </c:extLst>
          </c:dPt>
          <c:dPt>
            <c:idx val="1"/>
            <c:bubble3D val="0"/>
            <c:spPr>
              <a:pattFill prst="ltUpDiag">
                <a:fgClr>
                  <a:schemeClr val="accent2"/>
                </a:fgClr>
                <a:bgClr>
                  <a:schemeClr val="accent2">
                    <a:lumMod val="20000"/>
                    <a:lumOff val="80000"/>
                  </a:schemeClr>
                </a:bgClr>
              </a:pattFill>
              <a:ln w="19050">
                <a:solidFill>
                  <a:schemeClr val="lt1"/>
                </a:solidFill>
              </a:ln>
              <a:effectLst>
                <a:innerShdw blurRad="114300">
                  <a:schemeClr val="accent2"/>
                </a:innerShdw>
              </a:effectLst>
            </c:spPr>
            <c:extLst xmlns:c16r2="http://schemas.microsoft.com/office/drawing/2015/06/chart">
              <c:ext xmlns:c16="http://schemas.microsoft.com/office/drawing/2014/chart" uri="{C3380CC4-5D6E-409C-BE32-E72D297353CC}">
                <c16:uniqueId val="{00000003-04DF-4C0E-B4E9-EB607F906C49}"/>
              </c:ext>
            </c:extLst>
          </c:dPt>
          <c:dLbls>
            <c:spPr>
              <a:solidFill>
                <a:sysClr val="window" lastClr="FFFFFF"/>
              </a:solidFill>
              <a:ln>
                <a:solidFill>
                  <a:sysClr val="windowText" lastClr="000000">
                    <a:lumMod val="25000"/>
                    <a:lumOff val="75000"/>
                  </a:sysClr>
                </a:solidFill>
              </a:ln>
              <a:effectLst/>
            </c:spPr>
            <c:txPr>
              <a:bodyPr rot="0" spcFirstLastPara="1" vertOverflow="clip" horzOverflow="clip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dk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ru-RU"/>
              </a:p>
            </c:txPr>
            <c:dLblPos val="outEnd"/>
            <c:showLegendKey val="0"/>
            <c:showVal val="0"/>
            <c:showCatName val="1"/>
            <c:showSerName val="0"/>
            <c:showPercent val="1"/>
            <c:showBubbleSize val="0"/>
            <c:showLeaderLines val="0"/>
            <c:extLst xmlns:c16r2="http://schemas.microsoft.com/office/drawing/2015/06/chart">
              <c:ext xmlns:c15="http://schemas.microsoft.com/office/drawing/2012/chart" uri="{CE6537A1-D6FC-4f65-9D91-7224C49458BB}">
                <c15:spPr xmlns:c15="http://schemas.microsoft.com/office/drawing/2012/chart">
                  <a:prstGeom prst="wedgeRectCallout">
                    <a:avLst/>
                  </a:prstGeom>
                  <a:noFill/>
                  <a:ln>
                    <a:noFill/>
                  </a:ln>
                </c15:spPr>
              </c:ext>
            </c:extLst>
          </c:dLbls>
          <c:cat>
            <c:strRef>
              <c:f>Лист1!$A$20:$A$21</c:f>
              <c:strCache>
                <c:ptCount val="2"/>
                <c:pt idx="0">
                  <c:v>Да</c:v>
                </c:pt>
                <c:pt idx="1">
                  <c:v>Нет</c:v>
                </c:pt>
              </c:strCache>
            </c:strRef>
          </c:cat>
          <c:val>
            <c:numRef>
              <c:f>Лист1!$B$20:$B$21</c:f>
              <c:numCache>
                <c:formatCode>General</c:formatCode>
                <c:ptCount val="2"/>
                <c:pt idx="0">
                  <c:v>31</c:v>
                </c:pt>
                <c:pt idx="1">
                  <c:v>22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4-04DF-4C0E-B4E9-EB607F906C49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  <c:showLeaderLines val="0"/>
        </c:dLbls>
        <c:firstSliceAng val="0"/>
      </c:pieChart>
      <c:spPr>
        <a:noFill/>
        <a:ln>
          <a:noFill/>
        </a:ln>
        <a:effectLst/>
      </c:spPr>
    </c:plotArea>
    <c:plotVisOnly val="1"/>
    <c:dispBlanksAs val="gap"/>
    <c:showDLblsOverMax val="0"/>
    <c:extLst xmlns:c16r2="http://schemas.microsoft.com/office/drawing/2015/06/chart"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/>
      </a:pPr>
      <a:endParaRPr lang="ru-RU"/>
    </a:p>
  </c:txPr>
  <c:externalData r:id="rId3">
    <c:autoUpdate val="0"/>
  </c:externalData>
</c:chartSpace>
</file>

<file path=word/charts/chart6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pieChart>
        <c:varyColors val="1"/>
        <c:ser>
          <c:idx val="0"/>
          <c:order val="0"/>
          <c:dPt>
            <c:idx val="0"/>
            <c:bubble3D val="0"/>
            <c:spPr>
              <a:pattFill prst="ltUpDiag">
                <a:fgClr>
                  <a:schemeClr val="accent1"/>
                </a:fgClr>
                <a:bgClr>
                  <a:schemeClr val="accent1">
                    <a:lumMod val="20000"/>
                    <a:lumOff val="80000"/>
                  </a:schemeClr>
                </a:bgClr>
              </a:pattFill>
              <a:ln w="19050">
                <a:solidFill>
                  <a:schemeClr val="lt1"/>
                </a:solidFill>
              </a:ln>
              <a:effectLst>
                <a:innerShdw blurRad="114300">
                  <a:schemeClr val="accent1"/>
                </a:innerShdw>
              </a:effectLst>
            </c:spPr>
            <c:extLst xmlns:c16r2="http://schemas.microsoft.com/office/drawing/2015/06/chart">
              <c:ext xmlns:c16="http://schemas.microsoft.com/office/drawing/2014/chart" uri="{C3380CC4-5D6E-409C-BE32-E72D297353CC}">
                <c16:uniqueId val="{00000001-3C30-4E96-83A0-F4B658B1ED44}"/>
              </c:ext>
            </c:extLst>
          </c:dPt>
          <c:dPt>
            <c:idx val="1"/>
            <c:bubble3D val="0"/>
            <c:spPr>
              <a:pattFill prst="ltUpDiag">
                <a:fgClr>
                  <a:schemeClr val="accent2"/>
                </a:fgClr>
                <a:bgClr>
                  <a:schemeClr val="accent2">
                    <a:lumMod val="20000"/>
                    <a:lumOff val="80000"/>
                  </a:schemeClr>
                </a:bgClr>
              </a:pattFill>
              <a:ln w="19050">
                <a:solidFill>
                  <a:schemeClr val="lt1"/>
                </a:solidFill>
              </a:ln>
              <a:effectLst>
                <a:innerShdw blurRad="114300">
                  <a:schemeClr val="accent2"/>
                </a:innerShdw>
              </a:effectLst>
            </c:spPr>
            <c:extLst xmlns:c16r2="http://schemas.microsoft.com/office/drawing/2015/06/chart">
              <c:ext xmlns:c16="http://schemas.microsoft.com/office/drawing/2014/chart" uri="{C3380CC4-5D6E-409C-BE32-E72D297353CC}">
                <c16:uniqueId val="{00000003-3C30-4E96-83A0-F4B658B1ED44}"/>
              </c:ext>
            </c:extLst>
          </c:dPt>
          <c:dPt>
            <c:idx val="2"/>
            <c:bubble3D val="0"/>
            <c:spPr>
              <a:pattFill prst="ltUpDiag">
                <a:fgClr>
                  <a:schemeClr val="accent3"/>
                </a:fgClr>
                <a:bgClr>
                  <a:schemeClr val="accent3">
                    <a:lumMod val="20000"/>
                    <a:lumOff val="80000"/>
                  </a:schemeClr>
                </a:bgClr>
              </a:pattFill>
              <a:ln w="19050">
                <a:solidFill>
                  <a:schemeClr val="lt1"/>
                </a:solidFill>
              </a:ln>
              <a:effectLst>
                <a:innerShdw blurRad="114300">
                  <a:schemeClr val="accent3"/>
                </a:innerShdw>
              </a:effectLst>
            </c:spPr>
            <c:extLst xmlns:c16r2="http://schemas.microsoft.com/office/drawing/2015/06/chart">
              <c:ext xmlns:c16="http://schemas.microsoft.com/office/drawing/2014/chart" uri="{C3380CC4-5D6E-409C-BE32-E72D297353CC}">
                <c16:uniqueId val="{00000005-3C30-4E96-83A0-F4B658B1ED44}"/>
              </c:ext>
            </c:extLst>
          </c:dPt>
          <c:dPt>
            <c:idx val="3"/>
            <c:bubble3D val="0"/>
            <c:spPr>
              <a:pattFill prst="ltUpDiag">
                <a:fgClr>
                  <a:schemeClr val="accent4"/>
                </a:fgClr>
                <a:bgClr>
                  <a:schemeClr val="accent4">
                    <a:lumMod val="20000"/>
                    <a:lumOff val="80000"/>
                  </a:schemeClr>
                </a:bgClr>
              </a:pattFill>
              <a:ln w="19050">
                <a:solidFill>
                  <a:schemeClr val="lt1"/>
                </a:solidFill>
              </a:ln>
              <a:effectLst>
                <a:innerShdw blurRad="114300">
                  <a:schemeClr val="accent4"/>
                </a:innerShdw>
              </a:effectLst>
            </c:spPr>
            <c:extLst xmlns:c16r2="http://schemas.microsoft.com/office/drawing/2015/06/chart">
              <c:ext xmlns:c16="http://schemas.microsoft.com/office/drawing/2014/chart" uri="{C3380CC4-5D6E-409C-BE32-E72D297353CC}">
                <c16:uniqueId val="{00000007-3C30-4E96-83A0-F4B658B1ED44}"/>
              </c:ext>
            </c:extLst>
          </c:dPt>
          <c:dLbls>
            <c:spPr>
              <a:solidFill>
                <a:sysClr val="window" lastClr="FFFFFF"/>
              </a:solidFill>
              <a:ln>
                <a:solidFill>
                  <a:sysClr val="windowText" lastClr="000000">
                    <a:lumMod val="25000"/>
                    <a:lumOff val="75000"/>
                  </a:sysClr>
                </a:solidFill>
              </a:ln>
              <a:effectLst/>
            </c:spPr>
            <c:txPr>
              <a:bodyPr rot="0" spcFirstLastPara="1" vertOverflow="clip" horzOverflow="clip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dk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ru-RU"/>
              </a:p>
            </c:txPr>
            <c:dLblPos val="outEnd"/>
            <c:showLegendKey val="0"/>
            <c:showVal val="0"/>
            <c:showCatName val="1"/>
            <c:showSerName val="0"/>
            <c:showPercent val="1"/>
            <c:showBubbleSize val="0"/>
            <c:showLeaderLines val="0"/>
            <c:extLst xmlns:c16r2="http://schemas.microsoft.com/office/drawing/2015/06/chart">
              <c:ext xmlns:c15="http://schemas.microsoft.com/office/drawing/2012/chart" uri="{CE6537A1-D6FC-4f65-9D91-7224C49458BB}">
                <c15:spPr xmlns:c15="http://schemas.microsoft.com/office/drawing/2012/chart">
                  <a:prstGeom prst="wedgeRectCallout">
                    <a:avLst/>
                  </a:prstGeom>
                  <a:noFill/>
                  <a:ln>
                    <a:noFill/>
                  </a:ln>
                </c15:spPr>
              </c:ext>
            </c:extLst>
          </c:dLbls>
          <c:cat>
            <c:strRef>
              <c:f>Лист1!$A$45:$A$48</c:f>
              <c:strCache>
                <c:ptCount val="4"/>
                <c:pt idx="0">
                  <c:v>Да, 1-3 сотрудника</c:v>
                </c:pt>
                <c:pt idx="1">
                  <c:v>Да, 4-6 сотрудников</c:v>
                </c:pt>
                <c:pt idx="2">
                  <c:v>Да, 7-10 сотрудников</c:v>
                </c:pt>
                <c:pt idx="3">
                  <c:v>Да, более 10</c:v>
                </c:pt>
              </c:strCache>
            </c:strRef>
          </c:cat>
          <c:val>
            <c:numRef>
              <c:f>Лист1!$B$45:$B$48</c:f>
              <c:numCache>
                <c:formatCode>General</c:formatCode>
                <c:ptCount val="4"/>
                <c:pt idx="0">
                  <c:v>17</c:v>
                </c:pt>
                <c:pt idx="1">
                  <c:v>8</c:v>
                </c:pt>
                <c:pt idx="2">
                  <c:v>4</c:v>
                </c:pt>
                <c:pt idx="3">
                  <c:v>2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8-3C30-4E96-83A0-F4B658B1ED44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  <c:showLeaderLines val="0"/>
        </c:dLbls>
        <c:firstSliceAng val="0"/>
      </c:pieChart>
      <c:spPr>
        <a:noFill/>
        <a:ln>
          <a:noFill/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/>
      </a:pPr>
      <a:endParaRPr lang="ru-RU"/>
    </a:p>
  </c:txPr>
  <c:externalData r:id="rId3">
    <c:autoUpdate val="0"/>
  </c:externalData>
</c:chartSpace>
</file>

<file path=word/charts/chart7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pieChart>
        <c:varyColors val="1"/>
        <c:ser>
          <c:idx val="0"/>
          <c:order val="0"/>
          <c:dPt>
            <c:idx val="0"/>
            <c:bubble3D val="0"/>
            <c:spPr>
              <a:pattFill prst="ltUpDiag">
                <a:fgClr>
                  <a:schemeClr val="accent1"/>
                </a:fgClr>
                <a:bgClr>
                  <a:schemeClr val="accent1">
                    <a:lumMod val="20000"/>
                    <a:lumOff val="80000"/>
                  </a:schemeClr>
                </a:bgClr>
              </a:pattFill>
              <a:ln w="19050">
                <a:solidFill>
                  <a:schemeClr val="lt1"/>
                </a:solidFill>
              </a:ln>
              <a:effectLst>
                <a:innerShdw blurRad="114300">
                  <a:schemeClr val="accent1"/>
                </a:innerShdw>
              </a:effectLst>
            </c:spPr>
            <c:extLst xmlns:c16r2="http://schemas.microsoft.com/office/drawing/2015/06/chart">
              <c:ext xmlns:c16="http://schemas.microsoft.com/office/drawing/2014/chart" uri="{C3380CC4-5D6E-409C-BE32-E72D297353CC}">
                <c16:uniqueId val="{00000001-8F43-4D51-B1A4-15A5F6825EF9}"/>
              </c:ext>
            </c:extLst>
          </c:dPt>
          <c:dPt>
            <c:idx val="1"/>
            <c:bubble3D val="0"/>
            <c:spPr>
              <a:pattFill prst="ltUpDiag">
                <a:fgClr>
                  <a:schemeClr val="accent2"/>
                </a:fgClr>
                <a:bgClr>
                  <a:schemeClr val="accent2">
                    <a:lumMod val="20000"/>
                    <a:lumOff val="80000"/>
                  </a:schemeClr>
                </a:bgClr>
              </a:pattFill>
              <a:ln w="19050">
                <a:solidFill>
                  <a:schemeClr val="lt1"/>
                </a:solidFill>
              </a:ln>
              <a:effectLst>
                <a:innerShdw blurRad="114300">
                  <a:schemeClr val="accent2"/>
                </a:innerShdw>
              </a:effectLst>
            </c:spPr>
            <c:extLst xmlns:c16r2="http://schemas.microsoft.com/office/drawing/2015/06/chart">
              <c:ext xmlns:c16="http://schemas.microsoft.com/office/drawing/2014/chart" uri="{C3380CC4-5D6E-409C-BE32-E72D297353CC}">
                <c16:uniqueId val="{00000003-8F43-4D51-B1A4-15A5F6825EF9}"/>
              </c:ext>
            </c:extLst>
          </c:dPt>
          <c:dPt>
            <c:idx val="2"/>
            <c:bubble3D val="0"/>
            <c:spPr>
              <a:pattFill prst="ltUpDiag">
                <a:fgClr>
                  <a:schemeClr val="accent3"/>
                </a:fgClr>
                <a:bgClr>
                  <a:schemeClr val="accent3">
                    <a:lumMod val="20000"/>
                    <a:lumOff val="80000"/>
                  </a:schemeClr>
                </a:bgClr>
              </a:pattFill>
              <a:ln w="19050">
                <a:solidFill>
                  <a:schemeClr val="lt1"/>
                </a:solidFill>
              </a:ln>
              <a:effectLst>
                <a:innerShdw blurRad="114300">
                  <a:schemeClr val="accent3"/>
                </a:innerShdw>
              </a:effectLst>
            </c:spPr>
            <c:extLst xmlns:c16r2="http://schemas.microsoft.com/office/drawing/2015/06/chart">
              <c:ext xmlns:c16="http://schemas.microsoft.com/office/drawing/2014/chart" uri="{C3380CC4-5D6E-409C-BE32-E72D297353CC}">
                <c16:uniqueId val="{00000005-8F43-4D51-B1A4-15A5F6825EF9}"/>
              </c:ext>
            </c:extLst>
          </c:dPt>
          <c:dLbls>
            <c:spPr>
              <a:solidFill>
                <a:sysClr val="window" lastClr="FFFFFF"/>
              </a:solidFill>
              <a:ln>
                <a:solidFill>
                  <a:sysClr val="windowText" lastClr="000000">
                    <a:lumMod val="25000"/>
                    <a:lumOff val="75000"/>
                  </a:sysClr>
                </a:solidFill>
              </a:ln>
              <a:effectLst/>
            </c:spPr>
            <c:txPr>
              <a:bodyPr rot="0" spcFirstLastPara="1" vertOverflow="clip" horzOverflow="clip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dk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ru-RU"/>
              </a:p>
            </c:txPr>
            <c:dLblPos val="outEnd"/>
            <c:showLegendKey val="0"/>
            <c:showVal val="0"/>
            <c:showCatName val="1"/>
            <c:showSerName val="0"/>
            <c:showPercent val="1"/>
            <c:showBubbleSize val="0"/>
            <c:showLeaderLines val="0"/>
            <c:extLst xmlns:c16r2="http://schemas.microsoft.com/office/drawing/2015/06/chart">
              <c:ext xmlns:c15="http://schemas.microsoft.com/office/drawing/2012/chart" uri="{CE6537A1-D6FC-4f65-9D91-7224C49458BB}">
                <c15:spPr xmlns:c15="http://schemas.microsoft.com/office/drawing/2012/chart">
                  <a:prstGeom prst="wedgeRectCallout">
                    <a:avLst/>
                  </a:prstGeom>
                  <a:noFill/>
                  <a:ln>
                    <a:noFill/>
                  </a:ln>
                </c15:spPr>
              </c:ext>
            </c:extLst>
          </c:dLbls>
          <c:cat>
            <c:strRef>
              <c:f>Лист1!$A$60:$A$62</c:f>
              <c:strCache>
                <c:ptCount val="3"/>
                <c:pt idx="0">
                  <c:v>Более выгодное предложение в другой компании в этом же регионе</c:v>
                </c:pt>
                <c:pt idx="1">
                  <c:v>Более выгодное предложение в другой компании в другом регионе</c:v>
                </c:pt>
                <c:pt idx="2">
                  <c:v>Более выгодное предложение в другой стране</c:v>
                </c:pt>
              </c:strCache>
            </c:strRef>
          </c:cat>
          <c:val>
            <c:numRef>
              <c:f>Лист1!$B$60:$B$62</c:f>
              <c:numCache>
                <c:formatCode>General</c:formatCode>
                <c:ptCount val="3"/>
                <c:pt idx="0">
                  <c:v>12</c:v>
                </c:pt>
                <c:pt idx="1">
                  <c:v>17</c:v>
                </c:pt>
                <c:pt idx="2">
                  <c:v>2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6-8F43-4D51-B1A4-15A5F6825EF9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  <c:showLeaderLines val="0"/>
        </c:dLbls>
        <c:firstSliceAng val="0"/>
      </c:pieChart>
      <c:spPr>
        <a:noFill/>
        <a:ln>
          <a:noFill/>
        </a:ln>
        <a:effectLst/>
      </c:spPr>
    </c:plotArea>
    <c:plotVisOnly val="1"/>
    <c:dispBlanksAs val="gap"/>
    <c:showDLblsOverMax val="0"/>
    <c:extLst xmlns:c16r2="http://schemas.microsoft.com/office/drawing/2015/06/chart"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/>
      </a:pPr>
      <a:endParaRPr lang="ru-RU"/>
    </a:p>
  </c:txPr>
  <c:externalData r:id="rId3">
    <c:autoUpdate val="0"/>
  </c:externalData>
</c:chartSpace>
</file>

<file path=word/charts/chart8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pieChart>
        <c:varyColors val="1"/>
        <c:ser>
          <c:idx val="0"/>
          <c:order val="0"/>
          <c:dPt>
            <c:idx val="0"/>
            <c:bubble3D val="0"/>
            <c:spPr>
              <a:pattFill prst="ltUpDiag">
                <a:fgClr>
                  <a:schemeClr val="accent1"/>
                </a:fgClr>
                <a:bgClr>
                  <a:schemeClr val="accent1">
                    <a:lumMod val="20000"/>
                    <a:lumOff val="80000"/>
                  </a:schemeClr>
                </a:bgClr>
              </a:pattFill>
              <a:ln w="19050">
                <a:solidFill>
                  <a:schemeClr val="lt1"/>
                </a:solidFill>
              </a:ln>
              <a:effectLst>
                <a:innerShdw blurRad="114300">
                  <a:schemeClr val="accent1"/>
                </a:innerShdw>
              </a:effectLst>
            </c:spPr>
            <c:extLst xmlns:c16r2="http://schemas.microsoft.com/office/drawing/2015/06/chart">
              <c:ext xmlns:c16="http://schemas.microsoft.com/office/drawing/2014/chart" uri="{C3380CC4-5D6E-409C-BE32-E72D297353CC}">
                <c16:uniqueId val="{00000001-25C0-4129-B639-AE53E2AC9B78}"/>
              </c:ext>
            </c:extLst>
          </c:dPt>
          <c:dPt>
            <c:idx val="1"/>
            <c:bubble3D val="0"/>
            <c:spPr>
              <a:pattFill prst="ltUpDiag">
                <a:fgClr>
                  <a:schemeClr val="accent2"/>
                </a:fgClr>
                <a:bgClr>
                  <a:schemeClr val="accent2">
                    <a:lumMod val="20000"/>
                    <a:lumOff val="80000"/>
                  </a:schemeClr>
                </a:bgClr>
              </a:pattFill>
              <a:ln w="19050">
                <a:solidFill>
                  <a:schemeClr val="lt1"/>
                </a:solidFill>
              </a:ln>
              <a:effectLst>
                <a:innerShdw blurRad="114300">
                  <a:schemeClr val="accent2"/>
                </a:innerShdw>
              </a:effectLst>
            </c:spPr>
            <c:extLst xmlns:c16r2="http://schemas.microsoft.com/office/drawing/2015/06/chart">
              <c:ext xmlns:c16="http://schemas.microsoft.com/office/drawing/2014/chart" uri="{C3380CC4-5D6E-409C-BE32-E72D297353CC}">
                <c16:uniqueId val="{00000003-25C0-4129-B639-AE53E2AC9B78}"/>
              </c:ext>
            </c:extLst>
          </c:dPt>
          <c:dPt>
            <c:idx val="2"/>
            <c:bubble3D val="0"/>
            <c:spPr>
              <a:pattFill prst="ltUpDiag">
                <a:fgClr>
                  <a:schemeClr val="accent3"/>
                </a:fgClr>
                <a:bgClr>
                  <a:schemeClr val="accent3">
                    <a:lumMod val="20000"/>
                    <a:lumOff val="80000"/>
                  </a:schemeClr>
                </a:bgClr>
              </a:pattFill>
              <a:ln w="19050">
                <a:solidFill>
                  <a:schemeClr val="lt1"/>
                </a:solidFill>
              </a:ln>
              <a:effectLst>
                <a:innerShdw blurRad="114300">
                  <a:schemeClr val="accent3"/>
                </a:innerShdw>
              </a:effectLst>
            </c:spPr>
            <c:extLst xmlns:c16r2="http://schemas.microsoft.com/office/drawing/2015/06/chart">
              <c:ext xmlns:c16="http://schemas.microsoft.com/office/drawing/2014/chart" uri="{C3380CC4-5D6E-409C-BE32-E72D297353CC}">
                <c16:uniqueId val="{00000005-25C0-4129-B639-AE53E2AC9B78}"/>
              </c:ext>
            </c:extLst>
          </c:dPt>
          <c:dPt>
            <c:idx val="3"/>
            <c:bubble3D val="0"/>
            <c:spPr>
              <a:pattFill prst="ltUpDiag">
                <a:fgClr>
                  <a:schemeClr val="accent4"/>
                </a:fgClr>
                <a:bgClr>
                  <a:schemeClr val="accent4">
                    <a:lumMod val="20000"/>
                    <a:lumOff val="80000"/>
                  </a:schemeClr>
                </a:bgClr>
              </a:pattFill>
              <a:ln w="19050">
                <a:solidFill>
                  <a:schemeClr val="lt1"/>
                </a:solidFill>
              </a:ln>
              <a:effectLst>
                <a:innerShdw blurRad="114300">
                  <a:schemeClr val="accent4"/>
                </a:innerShdw>
              </a:effectLst>
            </c:spPr>
            <c:extLst xmlns:c16r2="http://schemas.microsoft.com/office/drawing/2015/06/chart">
              <c:ext xmlns:c16="http://schemas.microsoft.com/office/drawing/2014/chart" uri="{C3380CC4-5D6E-409C-BE32-E72D297353CC}">
                <c16:uniqueId val="{00000007-25C0-4129-B639-AE53E2AC9B78}"/>
              </c:ext>
            </c:extLst>
          </c:dPt>
          <c:dPt>
            <c:idx val="4"/>
            <c:bubble3D val="0"/>
            <c:spPr>
              <a:pattFill prst="ltUpDiag">
                <a:fgClr>
                  <a:schemeClr val="accent5"/>
                </a:fgClr>
                <a:bgClr>
                  <a:schemeClr val="accent5">
                    <a:lumMod val="20000"/>
                    <a:lumOff val="80000"/>
                  </a:schemeClr>
                </a:bgClr>
              </a:pattFill>
              <a:ln w="19050">
                <a:solidFill>
                  <a:schemeClr val="lt1"/>
                </a:solidFill>
              </a:ln>
              <a:effectLst>
                <a:innerShdw blurRad="114300">
                  <a:schemeClr val="accent5"/>
                </a:innerShdw>
              </a:effectLst>
            </c:spPr>
            <c:extLst xmlns:c16r2="http://schemas.microsoft.com/office/drawing/2015/06/chart">
              <c:ext xmlns:c16="http://schemas.microsoft.com/office/drawing/2014/chart" uri="{C3380CC4-5D6E-409C-BE32-E72D297353CC}">
                <c16:uniqueId val="{00000009-25C0-4129-B639-AE53E2AC9B78}"/>
              </c:ext>
            </c:extLst>
          </c:dPt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ru-RU"/>
              </a:p>
            </c:txPr>
            <c:showLegendKey val="0"/>
            <c:showVal val="0"/>
            <c:showCatName val="0"/>
            <c:showSerName val="0"/>
            <c:showPercent val="1"/>
            <c:showBubbleSize val="0"/>
            <c:showLeaderLines val="1"/>
            <c:leaderLines>
              <c:spPr>
                <a:ln w="9525">
                  <a:solidFill>
                    <a:schemeClr val="tx1">
                      <a:lumMod val="35000"/>
                      <a:lumOff val="65000"/>
                    </a:schemeClr>
                  </a:solidFill>
                </a:ln>
                <a:effectLst/>
              </c:spPr>
            </c:leaderLines>
            <c:extLst xmlns:c16r2="http://schemas.microsoft.com/office/drawing/2015/06/chart">
              <c:ext xmlns:c15="http://schemas.microsoft.com/office/drawing/2012/chart" uri="{CE6537A1-D6FC-4f65-9D91-7224C49458BB}"/>
            </c:extLst>
          </c:dLbls>
          <c:cat>
            <c:strRef>
              <c:f>Лист1!$A$76:$A$80</c:f>
              <c:strCache>
                <c:ptCount val="5"/>
                <c:pt idx="0">
                  <c:v>Рекрутинг и адаптацию (по принципу онбординга) квалифицированных кандидатов</c:v>
                </c:pt>
                <c:pt idx="1">
                  <c:v>Управление и определение конкурентоспособной заработной платы и компенсаций</c:v>
                </c:pt>
                <c:pt idx="2">
                  <c:v>Обучение и развитие талантов</c:v>
                </c:pt>
                <c:pt idx="3">
                  <c:v>Управление производительностью по принципу «Цели и эффективность»</c:v>
                </c:pt>
                <c:pt idx="4">
                  <c:v>Продвижение по службе</c:v>
                </c:pt>
              </c:strCache>
            </c:strRef>
          </c:cat>
          <c:val>
            <c:numRef>
              <c:f>Лист1!$B$76:$B$80</c:f>
              <c:numCache>
                <c:formatCode>General</c:formatCode>
                <c:ptCount val="5"/>
                <c:pt idx="0">
                  <c:v>3</c:v>
                </c:pt>
                <c:pt idx="1">
                  <c:v>10</c:v>
                </c:pt>
                <c:pt idx="2">
                  <c:v>6</c:v>
                </c:pt>
                <c:pt idx="3">
                  <c:v>2</c:v>
                </c:pt>
                <c:pt idx="4">
                  <c:v>10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A-25C0-4129-B639-AE53E2AC9B78}"/>
            </c:ext>
          </c:extLst>
        </c:ser>
        <c:dLbls>
          <c:showLegendKey val="0"/>
          <c:showVal val="0"/>
          <c:showCatName val="0"/>
          <c:showSerName val="0"/>
          <c:showPercent val="1"/>
          <c:showBubbleSize val="0"/>
          <c:showLeaderLines val="1"/>
        </c:dLbls>
        <c:firstSliceAng val="0"/>
      </c:pieChart>
      <c:spPr>
        <a:noFill/>
        <a:ln>
          <a:noFill/>
        </a:ln>
        <a:effectLst/>
      </c:spPr>
    </c:plotArea>
    <c:legend>
      <c:legendPos val="r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ru-RU"/>
        </a:p>
      </c:txPr>
    </c:legend>
    <c:plotVisOnly val="1"/>
    <c:dispBlanksAs val="gap"/>
    <c:showDLblsOverMax val="0"/>
    <c:extLst xmlns:c16r2="http://schemas.microsoft.com/office/drawing/2015/06/chart"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/>
      </a:pPr>
      <a:endParaRPr lang="ru-RU"/>
    </a:p>
  </c:txPr>
  <c:externalData r:id="rId3">
    <c:autoUpdate val="0"/>
  </c:externalData>
</c:chartSpace>
</file>

<file path=word/charts/chart9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>
        <c:manualLayout>
          <c:layoutTarget val="inner"/>
          <c:xMode val="edge"/>
          <c:yMode val="edge"/>
          <c:x val="0.46150400607818759"/>
          <c:y val="7.591933570581258E-2"/>
          <c:w val="0.50109476447023071"/>
          <c:h val="0.84653982309150855"/>
        </c:manualLayout>
      </c:layout>
      <c:barChart>
        <c:barDir val="bar"/>
        <c:grouping val="clustered"/>
        <c:varyColors val="0"/>
        <c:ser>
          <c:idx val="0"/>
          <c:order val="0"/>
          <c:spPr>
            <a:pattFill prst="narVert">
              <a:fgClr>
                <a:schemeClr val="accent1"/>
              </a:fgClr>
              <a:bgClr>
                <a:schemeClr val="accent1">
                  <a:lumMod val="20000"/>
                  <a:lumOff val="80000"/>
                </a:schemeClr>
              </a:bgClr>
            </a:pattFill>
            <a:ln>
              <a:noFill/>
            </a:ln>
            <a:effectLst>
              <a:innerShdw blurRad="114300">
                <a:schemeClr val="accent1"/>
              </a:innerShdw>
            </a:effectLst>
          </c:spPr>
          <c:invertIfNegative val="0"/>
          <c:cat>
            <c:strRef>
              <c:f>Лист1!$A$90:$A$98</c:f>
              <c:strCache>
                <c:ptCount val="9"/>
                <c:pt idx="0">
                  <c:v>Другое</c:v>
                </c:pt>
                <c:pt idx="1">
                  <c:v>Решение новых неординарных задач</c:v>
                </c:pt>
                <c:pt idx="2">
                  <c:v>Постоянный мониторинг рынка труда для корректировки заработной платы</c:v>
                </c:pt>
                <c:pt idx="3">
                  <c:v>Запуск новых проектов</c:v>
                </c:pt>
                <c:pt idx="4">
                  <c:v>Составление четких целей</c:v>
                </c:pt>
                <c:pt idx="5">
                  <c:v>Погружение в ценности компаний</c:v>
                </c:pt>
                <c:pt idx="6">
                  <c:v>Делегирование полномочий</c:v>
                </c:pt>
                <c:pt idx="7">
                  <c:v>Составление индивидуальной траектории развития</c:v>
                </c:pt>
                <c:pt idx="8">
                  <c:v>Поддержание благоприятной и дружелюбной атмосферы</c:v>
                </c:pt>
              </c:strCache>
            </c:strRef>
          </c:cat>
          <c:val>
            <c:numRef>
              <c:f>Лист1!$B$90:$B$98</c:f>
              <c:numCache>
                <c:formatCode>General</c:formatCode>
                <c:ptCount val="9"/>
                <c:pt idx="0">
                  <c:v>2</c:v>
                </c:pt>
                <c:pt idx="1">
                  <c:v>10</c:v>
                </c:pt>
                <c:pt idx="2">
                  <c:v>6</c:v>
                </c:pt>
                <c:pt idx="3">
                  <c:v>10</c:v>
                </c:pt>
                <c:pt idx="4">
                  <c:v>5</c:v>
                </c:pt>
                <c:pt idx="5">
                  <c:v>6</c:v>
                </c:pt>
                <c:pt idx="6">
                  <c:v>8</c:v>
                </c:pt>
                <c:pt idx="7">
                  <c:v>10</c:v>
                </c:pt>
                <c:pt idx="8">
                  <c:v>9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0-E465-47B3-8650-9232A8F6BD74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227"/>
        <c:overlap val="-48"/>
        <c:axId val="490811272"/>
        <c:axId val="490811664"/>
      </c:barChart>
      <c:catAx>
        <c:axId val="490811272"/>
        <c:scaling>
          <c:orientation val="minMax"/>
        </c:scaling>
        <c:delete val="0"/>
        <c:axPos val="l"/>
        <c:majorGridlines>
          <c:spPr>
            <a:ln>
              <a:solidFill>
                <a:schemeClr val="tx1">
                  <a:lumMod val="15000"/>
                  <a:lumOff val="85000"/>
                </a:schemeClr>
              </a:solidFill>
            </a:ln>
            <a:effectLst/>
          </c:spPr>
        </c:majorGridlines>
        <c:minorGridlines>
          <c:spPr>
            <a:ln>
              <a:solidFill>
                <a:schemeClr val="tx1">
                  <a:lumMod val="5000"/>
                  <a:lumOff val="95000"/>
                </a:schemeClr>
              </a:solidFill>
            </a:ln>
            <a:effectLst/>
          </c:spPr>
        </c:minorGridlines>
        <c:numFmt formatCode="General" sourceLinked="1"/>
        <c:majorTickMark val="none"/>
        <c:minorTickMark val="none"/>
        <c:tickLblPos val="nextTo"/>
        <c:spPr>
          <a:noFill/>
          <a:ln w="19050" cap="flat" cmpd="sng" algn="ctr">
            <a:solidFill>
              <a:schemeClr val="tx1">
                <a:lumMod val="25000"/>
                <a:lumOff val="7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8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ru-RU"/>
          </a:p>
        </c:txPr>
        <c:crossAx val="490811664"/>
        <c:crosses val="autoZero"/>
        <c:auto val="1"/>
        <c:lblAlgn val="l"/>
        <c:lblOffset val="100"/>
        <c:noMultiLvlLbl val="0"/>
      </c:catAx>
      <c:valAx>
        <c:axId val="490811664"/>
        <c:scaling>
          <c:orientation val="minMax"/>
        </c:scaling>
        <c:delete val="0"/>
        <c:axPos val="b"/>
        <c:majorGridlines>
          <c:spPr>
            <a:ln>
              <a:solidFill>
                <a:schemeClr val="tx1">
                  <a:lumMod val="15000"/>
                  <a:lumOff val="85000"/>
                </a:schemeClr>
              </a:solidFill>
            </a:ln>
            <a:effectLst/>
          </c:spPr>
        </c:majorGridlines>
        <c:minorGridlines>
          <c:spPr>
            <a:ln>
              <a:solidFill>
                <a:schemeClr val="tx1">
                  <a:lumMod val="5000"/>
                  <a:lumOff val="95000"/>
                </a:schemeClr>
              </a:solidFill>
            </a:ln>
            <a:effectLst/>
          </c:spPr>
        </c:minorGridlines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8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ru-RU"/>
          </a:p>
        </c:txPr>
        <c:crossAx val="490811272"/>
        <c:crosses val="autoZero"/>
        <c:crossBetween val="between"/>
      </c:valAx>
      <c:spPr>
        <a:noFill/>
        <a:ln>
          <a:noFill/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 sz="800">
          <a:latin typeface="+mn-lt"/>
        </a:defRPr>
      </a:pPr>
      <a:endParaRPr lang="ru-RU"/>
    </a:p>
  </c:txPr>
  <c:externalData r:id="rId3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2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3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4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5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6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7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8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9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03">
  <cs:axisTitle>
    <cs:lnRef idx="0"/>
    <cs:fillRef idx="0"/>
    <cs:effectRef idx="0"/>
    <cs:fontRef idx="minor">
      <a:schemeClr val="tx1">
        <a:lumMod val="65000"/>
        <a:lumOff val="35000"/>
      </a:schemeClr>
    </cs:fontRef>
    <cs:defRPr sz="900" b="1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19050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dk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0">
      <cs:styleClr val="auto"/>
    </cs:fillRef>
    <cs:effectRef idx="0">
      <cs:styleClr val="auto"/>
    </cs:effectRef>
    <cs:fontRef idx="minor">
      <a:schemeClr val="dk1"/>
    </cs:fontRef>
    <cs:spPr>
      <a:pattFill prst="narHorz">
        <a:fgClr>
          <a:schemeClr val="phClr"/>
        </a:fgClr>
        <a:bgClr>
          <a:schemeClr val="phClr">
            <a:lumMod val="20000"/>
            <a:lumOff val="80000"/>
          </a:schemeClr>
        </a:bgClr>
      </a:pattFill>
      <a:effectLst>
        <a:innerShdw blurRad="114300">
          <a:schemeClr val="phClr"/>
        </a:innerShdw>
      </a:effectLst>
    </cs:spPr>
  </cs:dataPoint>
  <cs:dataPoint3D>
    <cs:lnRef idx="0"/>
    <cs:fillRef idx="0">
      <cs:styleClr val="auto"/>
    </cs:fillRef>
    <cs:effectRef idx="0"/>
    <cs:fontRef idx="minor">
      <a:schemeClr val="dk1"/>
    </cs:fontRef>
    <cs:spPr>
      <a:pattFill prst="narHorz">
        <a:fgClr>
          <a:schemeClr val="phClr"/>
        </a:fgClr>
        <a:bgClr>
          <a:schemeClr val="phClr">
            <a:lumMod val="20000"/>
            <a:lumOff val="80000"/>
          </a:schemeClr>
        </a:bgClr>
      </a:pattFill>
      <a:effectLst>
        <a:innerShdw blurRad="114300">
          <a:schemeClr val="phClr"/>
        </a:innerShdw>
      </a:effectLst>
    </cs:spPr>
  </cs:dataPoint3D>
  <cs:dataPointLine>
    <cs:lnRef idx="0">
      <cs:styleClr val="auto"/>
    </cs:lnRef>
    <cs:fillRef idx="0"/>
    <cs:effectRef idx="0"/>
    <cs:fontRef idx="minor">
      <a:schemeClr val="dk1"/>
    </cs:fontRef>
    <cs:spPr>
      <a:ln w="28575" cap="rnd">
        <a:solidFill>
          <a:schemeClr val="phClr"/>
        </a:solidFill>
        <a:round/>
      </a:ln>
    </cs:spPr>
  </cs:dataPointLine>
  <cs:dataPointMarker>
    <cs:lnRef idx="0"/>
    <cs:fillRef idx="0">
      <cs:styleClr val="auto"/>
    </cs:fillRef>
    <cs:effectRef idx="0"/>
    <cs:fontRef idx="minor">
      <a:schemeClr val="dk1"/>
    </cs:fontRef>
    <cs:spPr>
      <a:solidFill>
        <a:schemeClr val="phClr"/>
      </a:solidFill>
    </cs:spPr>
  </cs:dataPointMarker>
  <cs:dataPointMarkerLayout symbol="circle" size="6"/>
  <cs:dataPointWirefram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ln w="9525">
        <a:solidFill>
          <a:schemeClr val="tx1">
            <a:lumMod val="15000"/>
            <a:lumOff val="85000"/>
          </a:schemeClr>
        </a:solidFill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75000"/>
          <a:lumOff val="25000"/>
        </a:schemeClr>
      </a:solidFill>
      <a:ln w="9525">
        <a:solidFill>
          <a:schemeClr val="tx1">
            <a:lumMod val="50000"/>
            <a:lumOff val="50000"/>
          </a:schemeClr>
        </a:solidFill>
      </a:ln>
    </cs:spPr>
  </cs:downBar>
  <cs:dropLine>
    <cs:lnRef idx="0"/>
    <cs:fillRef idx="0"/>
    <cs:effectRef idx="0"/>
    <cs:fontRef idx="minor">
      <a:schemeClr val="dk1"/>
    </cs:fontRef>
    <cs:spPr>
      <a:ln w="9525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dk1"/>
    </cs:fontRef>
    <cs:spPr>
      <a:ln w="9525">
        <a:solidFill>
          <a:schemeClr val="tx1">
            <a:lumMod val="50000"/>
            <a:lumOff val="50000"/>
          </a:schemeClr>
        </a:solidFill>
        <a:round/>
      </a:ln>
    </cs:spPr>
  </cs:errorBar>
  <cs:floor>
    <cs:lnRef idx="0"/>
    <cs:fillRef idx="0"/>
    <cs:effectRef idx="0"/>
    <cs:fontRef idx="minor">
      <a:schemeClr val="dk1"/>
    </cs:fontRef>
  </cs:floor>
  <cs:gridlineMajor>
    <cs:lnRef idx="0"/>
    <cs:fillRef idx="0"/>
    <cs:effectRef idx="0"/>
    <cs:fontRef idx="minor">
      <a:schemeClr val="dk1"/>
    </cs:fontRef>
    <cs:spPr>
      <a:ln>
        <a:solidFill>
          <a:schemeClr val="tx1">
            <a:lumMod val="15000"/>
            <a:lumOff val="85000"/>
          </a:schemeClr>
        </a:solidFill>
      </a:ln>
    </cs:spPr>
  </cs:gridlineMajor>
  <cs:gridlineMinor>
    <cs:lnRef idx="0"/>
    <cs:fillRef idx="0"/>
    <cs:effectRef idx="0"/>
    <cs:fontRef idx="minor">
      <a:schemeClr val="dk1"/>
    </cs:fontRef>
    <cs:spPr>
      <a:ln>
        <a:solidFill>
          <a:schemeClr val="tx1">
            <a:lumMod val="5000"/>
            <a:lumOff val="95000"/>
          </a:schemeClr>
        </a:solidFill>
      </a:ln>
    </cs:spPr>
  </cs:gridlineMinor>
  <cs:hiLoLine>
    <cs:lnRef idx="0"/>
    <cs:fillRef idx="0"/>
    <cs:effectRef idx="0"/>
    <cs:fontRef idx="minor">
      <a:schemeClr val="dk1"/>
    </cs:fontRef>
    <cs:spPr>
      <a:ln w="9525">
        <a:solidFill>
          <a:schemeClr val="tx1">
            <a:lumMod val="35000"/>
            <a:lumOff val="65000"/>
          </a:schemeClr>
        </a:solidFill>
        <a:round/>
      </a:ln>
    </cs:spPr>
  </cs:hiLoLine>
  <cs:leaderLine>
    <cs:lnRef idx="0"/>
    <cs:fillRef idx="0"/>
    <cs:effectRef idx="0"/>
    <cs:fontRef idx="minor">
      <a:schemeClr val="dk1"/>
    </cs:fontRef>
    <cs:spPr>
      <a:ln w="9525">
        <a:solidFill>
          <a:schemeClr val="tx1">
            <a:lumMod val="35000"/>
            <a:lumOff val="65000"/>
          </a:schemeClr>
        </a:solidFill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dk1"/>
    </cs:fontRef>
  </cs:plotArea>
  <cs:plotArea3D mods="allowNoFillOverride allowNoLineOverride">
    <cs:lnRef idx="0"/>
    <cs:fillRef idx="0"/>
    <cs:effectRef idx="0"/>
    <cs:fontRef idx="minor">
      <a:schemeClr val="dk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dk1"/>
    </cs:fontRef>
    <cs:spPr>
      <a:ln w="9525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50000"/>
        <a:lumOff val="50000"/>
      </a:schemeClr>
    </cs:fontRef>
    <cs:defRPr sz="1800" b="1" kern="1200" cap="all" spc="150" baseline="0"/>
  </cs:title>
  <cs:trendline>
    <cs:lnRef idx="0">
      <cs:styleClr val="auto"/>
    </cs:lnRef>
    <cs:fillRef idx="0"/>
    <cs:effectRef idx="0"/>
    <cs:fontRef idx="minor">
      <a:schemeClr val="dk1"/>
    </cs:fontRef>
    <cs:spPr>
      <a:ln w="19050" cap="rnd">
        <a:solidFill>
          <a:schemeClr val="phClr"/>
        </a:solidFill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50000"/>
            <a:lumOff val="50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dk1"/>
    </cs:fontRef>
  </cs:wall>
</cs:chartStyle>
</file>

<file path=word/charts/style2.xml><?xml version="1.0" encoding="utf-8"?>
<cs:chartStyle xmlns:cs="http://schemas.microsoft.com/office/drawing/2012/chartStyle" xmlns:a="http://schemas.openxmlformats.org/drawingml/2006/main" id="203">
  <cs:axisTitle>
    <cs:lnRef idx="0"/>
    <cs:fillRef idx="0"/>
    <cs:effectRef idx="0"/>
    <cs:fontRef idx="minor">
      <a:schemeClr val="tx1">
        <a:lumMod val="65000"/>
        <a:lumOff val="35000"/>
      </a:schemeClr>
    </cs:fontRef>
    <cs:defRPr sz="900" b="1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19050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dk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0">
      <cs:styleClr val="auto"/>
    </cs:fillRef>
    <cs:effectRef idx="0">
      <cs:styleClr val="auto"/>
    </cs:effectRef>
    <cs:fontRef idx="minor">
      <a:schemeClr val="dk1"/>
    </cs:fontRef>
    <cs:spPr>
      <a:pattFill prst="narHorz">
        <a:fgClr>
          <a:schemeClr val="phClr"/>
        </a:fgClr>
        <a:bgClr>
          <a:schemeClr val="phClr">
            <a:lumMod val="20000"/>
            <a:lumOff val="80000"/>
          </a:schemeClr>
        </a:bgClr>
      </a:pattFill>
      <a:effectLst>
        <a:innerShdw blurRad="114300">
          <a:schemeClr val="phClr"/>
        </a:innerShdw>
      </a:effectLst>
    </cs:spPr>
  </cs:dataPoint>
  <cs:dataPoint3D>
    <cs:lnRef idx="0"/>
    <cs:fillRef idx="0">
      <cs:styleClr val="auto"/>
    </cs:fillRef>
    <cs:effectRef idx="0"/>
    <cs:fontRef idx="minor">
      <a:schemeClr val="dk1"/>
    </cs:fontRef>
    <cs:spPr>
      <a:pattFill prst="narHorz">
        <a:fgClr>
          <a:schemeClr val="phClr"/>
        </a:fgClr>
        <a:bgClr>
          <a:schemeClr val="phClr">
            <a:lumMod val="20000"/>
            <a:lumOff val="80000"/>
          </a:schemeClr>
        </a:bgClr>
      </a:pattFill>
      <a:effectLst>
        <a:innerShdw blurRad="114300">
          <a:schemeClr val="phClr"/>
        </a:innerShdw>
      </a:effectLst>
    </cs:spPr>
  </cs:dataPoint3D>
  <cs:dataPointLine>
    <cs:lnRef idx="0">
      <cs:styleClr val="auto"/>
    </cs:lnRef>
    <cs:fillRef idx="0"/>
    <cs:effectRef idx="0"/>
    <cs:fontRef idx="minor">
      <a:schemeClr val="dk1"/>
    </cs:fontRef>
    <cs:spPr>
      <a:ln w="28575" cap="rnd">
        <a:solidFill>
          <a:schemeClr val="phClr"/>
        </a:solidFill>
        <a:round/>
      </a:ln>
    </cs:spPr>
  </cs:dataPointLine>
  <cs:dataPointMarker>
    <cs:lnRef idx="0"/>
    <cs:fillRef idx="0">
      <cs:styleClr val="auto"/>
    </cs:fillRef>
    <cs:effectRef idx="0"/>
    <cs:fontRef idx="minor">
      <a:schemeClr val="dk1"/>
    </cs:fontRef>
    <cs:spPr>
      <a:solidFill>
        <a:schemeClr val="phClr"/>
      </a:solidFill>
    </cs:spPr>
  </cs:dataPointMarker>
  <cs:dataPointMarkerLayout symbol="circle" size="6"/>
  <cs:dataPointWirefram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ln w="9525">
        <a:solidFill>
          <a:schemeClr val="tx1">
            <a:lumMod val="15000"/>
            <a:lumOff val="85000"/>
          </a:schemeClr>
        </a:solidFill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75000"/>
          <a:lumOff val="25000"/>
        </a:schemeClr>
      </a:solidFill>
      <a:ln w="9525">
        <a:solidFill>
          <a:schemeClr val="tx1">
            <a:lumMod val="50000"/>
            <a:lumOff val="50000"/>
          </a:schemeClr>
        </a:solidFill>
      </a:ln>
    </cs:spPr>
  </cs:downBar>
  <cs:dropLine>
    <cs:lnRef idx="0"/>
    <cs:fillRef idx="0"/>
    <cs:effectRef idx="0"/>
    <cs:fontRef idx="minor">
      <a:schemeClr val="dk1"/>
    </cs:fontRef>
    <cs:spPr>
      <a:ln w="9525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dk1"/>
    </cs:fontRef>
    <cs:spPr>
      <a:ln w="9525">
        <a:solidFill>
          <a:schemeClr val="tx1">
            <a:lumMod val="50000"/>
            <a:lumOff val="50000"/>
          </a:schemeClr>
        </a:solidFill>
        <a:round/>
      </a:ln>
    </cs:spPr>
  </cs:errorBar>
  <cs:floor>
    <cs:lnRef idx="0"/>
    <cs:fillRef idx="0"/>
    <cs:effectRef idx="0"/>
    <cs:fontRef idx="minor">
      <a:schemeClr val="dk1"/>
    </cs:fontRef>
  </cs:floor>
  <cs:gridlineMajor>
    <cs:lnRef idx="0"/>
    <cs:fillRef idx="0"/>
    <cs:effectRef idx="0"/>
    <cs:fontRef idx="minor">
      <a:schemeClr val="dk1"/>
    </cs:fontRef>
    <cs:spPr>
      <a:ln>
        <a:solidFill>
          <a:schemeClr val="tx1">
            <a:lumMod val="15000"/>
            <a:lumOff val="85000"/>
          </a:schemeClr>
        </a:solidFill>
      </a:ln>
    </cs:spPr>
  </cs:gridlineMajor>
  <cs:gridlineMinor>
    <cs:lnRef idx="0"/>
    <cs:fillRef idx="0"/>
    <cs:effectRef idx="0"/>
    <cs:fontRef idx="minor">
      <a:schemeClr val="dk1"/>
    </cs:fontRef>
    <cs:spPr>
      <a:ln>
        <a:solidFill>
          <a:schemeClr val="tx1">
            <a:lumMod val="5000"/>
            <a:lumOff val="95000"/>
          </a:schemeClr>
        </a:solidFill>
      </a:ln>
    </cs:spPr>
  </cs:gridlineMinor>
  <cs:hiLoLine>
    <cs:lnRef idx="0"/>
    <cs:fillRef idx="0"/>
    <cs:effectRef idx="0"/>
    <cs:fontRef idx="minor">
      <a:schemeClr val="dk1"/>
    </cs:fontRef>
    <cs:spPr>
      <a:ln w="9525">
        <a:solidFill>
          <a:schemeClr val="tx1">
            <a:lumMod val="35000"/>
            <a:lumOff val="65000"/>
          </a:schemeClr>
        </a:solidFill>
        <a:round/>
      </a:ln>
    </cs:spPr>
  </cs:hiLoLine>
  <cs:leaderLine>
    <cs:lnRef idx="0"/>
    <cs:fillRef idx="0"/>
    <cs:effectRef idx="0"/>
    <cs:fontRef idx="minor">
      <a:schemeClr val="dk1"/>
    </cs:fontRef>
    <cs:spPr>
      <a:ln w="9525">
        <a:solidFill>
          <a:schemeClr val="tx1">
            <a:lumMod val="35000"/>
            <a:lumOff val="65000"/>
          </a:schemeClr>
        </a:solidFill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dk1"/>
    </cs:fontRef>
  </cs:plotArea>
  <cs:plotArea3D mods="allowNoFillOverride allowNoLineOverride">
    <cs:lnRef idx="0"/>
    <cs:fillRef idx="0"/>
    <cs:effectRef idx="0"/>
    <cs:fontRef idx="minor">
      <a:schemeClr val="dk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dk1"/>
    </cs:fontRef>
    <cs:spPr>
      <a:ln w="9525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50000"/>
        <a:lumOff val="50000"/>
      </a:schemeClr>
    </cs:fontRef>
    <cs:defRPr sz="1800" b="1" kern="1200" cap="all" spc="150" baseline="0"/>
  </cs:title>
  <cs:trendline>
    <cs:lnRef idx="0">
      <cs:styleClr val="auto"/>
    </cs:lnRef>
    <cs:fillRef idx="0"/>
    <cs:effectRef idx="0"/>
    <cs:fontRef idx="minor">
      <a:schemeClr val="dk1"/>
    </cs:fontRef>
    <cs:spPr>
      <a:ln w="19050" cap="rnd">
        <a:solidFill>
          <a:schemeClr val="phClr"/>
        </a:solidFill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50000"/>
            <a:lumOff val="50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dk1"/>
    </cs:fontRef>
  </cs:wall>
</cs:chartStyle>
</file>

<file path=word/charts/style3.xml><?xml version="1.0" encoding="utf-8"?>
<cs:chartStyle xmlns:cs="http://schemas.microsoft.com/office/drawing/2012/chartStyle" xmlns:a="http://schemas.openxmlformats.org/drawingml/2006/main" id="252">
  <cs:axisTitle>
    <cs:lnRef idx="0"/>
    <cs:fillRef idx="0"/>
    <cs:effectRef idx="0"/>
    <cs:fontRef idx="minor">
      <a:schemeClr val="tx1">
        <a:lumMod val="65000"/>
        <a:lumOff val="35000"/>
      </a:schemeClr>
    </cs:fontRef>
    <cs:defRPr sz="900" b="1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19050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dk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0">
      <cs:styleClr val="auto"/>
    </cs:fillRef>
    <cs:effectRef idx="0">
      <cs:styleClr val="auto"/>
    </cs:effectRef>
    <cs:fontRef idx="minor">
      <a:schemeClr val="dk1"/>
    </cs:fontRef>
    <cs:spPr>
      <a:pattFill prst="ltUpDiag">
        <a:fgClr>
          <a:schemeClr val="phClr"/>
        </a:fgClr>
        <a:bgClr>
          <a:schemeClr val="phClr">
            <a:lumMod val="20000"/>
            <a:lumOff val="80000"/>
          </a:schemeClr>
        </a:bgClr>
      </a:pattFill>
      <a:ln w="19050">
        <a:solidFill>
          <a:schemeClr val="lt1"/>
        </a:solidFill>
      </a:ln>
      <a:effectLst>
        <a:innerShdw blurRad="114300">
          <a:schemeClr val="phClr"/>
        </a:innerShdw>
      </a:effectLst>
    </cs:spPr>
  </cs:dataPoint>
  <cs:dataPoint3D>
    <cs:lnRef idx="0"/>
    <cs:fillRef idx="0">
      <cs:styleClr val="auto"/>
    </cs:fillRef>
    <cs:effectRef idx="0"/>
    <cs:fontRef idx="minor">
      <a:schemeClr val="dk1"/>
    </cs:fontRef>
    <cs:spPr>
      <a:pattFill prst="ltUpDiag">
        <a:fgClr>
          <a:schemeClr val="phClr"/>
        </a:fgClr>
        <a:bgClr>
          <a:schemeClr val="phClr">
            <a:lumMod val="20000"/>
            <a:lumOff val="80000"/>
          </a:schemeClr>
        </a:bgClr>
      </a:pattFill>
      <a:ln w="19050">
        <a:solidFill>
          <a:schemeClr val="lt1"/>
        </a:solidFill>
      </a:ln>
      <a:effectLst>
        <a:innerShdw blurRad="114300">
          <a:schemeClr val="phClr"/>
        </a:innerShdw>
      </a:effectLst>
    </cs:spPr>
  </cs:dataPoint3D>
  <cs:dataPointLine>
    <cs:lnRef idx="0">
      <cs:styleClr val="auto"/>
    </cs:lnRef>
    <cs:fillRef idx="0"/>
    <cs:effectRef idx="0"/>
    <cs:fontRef idx="minor">
      <a:schemeClr val="dk1"/>
    </cs:fontRef>
    <cs:spPr>
      <a:ln w="28575" cap="rnd">
        <a:solidFill>
          <a:schemeClr val="phClr"/>
        </a:solidFill>
        <a:round/>
      </a:ln>
    </cs:spPr>
  </cs:dataPointLine>
  <cs:dataPointMarker>
    <cs:lnRef idx="0"/>
    <cs:fillRef idx="0">
      <cs:styleClr val="auto"/>
    </cs:fillRef>
    <cs:effectRef idx="0"/>
    <cs:fontRef idx="minor">
      <a:schemeClr val="dk1"/>
    </cs:fontRef>
    <cs:spPr>
      <a:solidFill>
        <a:schemeClr val="phClr"/>
      </a:solidFill>
      <a:ln w="9525">
        <a:solidFill>
          <a:schemeClr val="lt1"/>
        </a:solidFill>
      </a:ln>
    </cs:spPr>
  </cs:dataPointMarker>
  <cs:dataPointMarkerLayout symbol="circle" size="6"/>
  <cs:dataPointWirefram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ln w="9525">
        <a:solidFill>
          <a:schemeClr val="tx1">
            <a:lumMod val="15000"/>
            <a:lumOff val="85000"/>
          </a:schemeClr>
        </a:solidFill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75000"/>
          <a:lumOff val="25000"/>
        </a:schemeClr>
      </a:solidFill>
      <a:ln w="9525">
        <a:solidFill>
          <a:schemeClr val="tx1">
            <a:lumMod val="50000"/>
            <a:lumOff val="50000"/>
          </a:schemeClr>
        </a:solidFill>
      </a:ln>
    </cs:spPr>
  </cs:downBar>
  <cs:dropLine>
    <cs:lnRef idx="0"/>
    <cs:fillRef idx="0"/>
    <cs:effectRef idx="0"/>
    <cs:fontRef idx="minor">
      <a:schemeClr val="dk1"/>
    </cs:fontRef>
    <cs:spPr>
      <a:ln w="9525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dk1"/>
    </cs:fontRef>
    <cs:spPr>
      <a:ln w="9525">
        <a:solidFill>
          <a:schemeClr val="tx1">
            <a:lumMod val="50000"/>
            <a:lumOff val="50000"/>
          </a:schemeClr>
        </a:solidFill>
        <a:round/>
      </a:ln>
    </cs:spPr>
  </cs:errorBar>
  <cs:floor>
    <cs:lnRef idx="0"/>
    <cs:fillRef idx="0"/>
    <cs:effectRef idx="0"/>
    <cs:fontRef idx="minor">
      <a:schemeClr val="dk1"/>
    </cs:fontRef>
  </cs:floor>
  <cs:gridlineMajor>
    <cs:lnRef idx="0"/>
    <cs:fillRef idx="0"/>
    <cs:effectRef idx="0"/>
    <cs:fontRef idx="minor">
      <a:schemeClr val="dk1"/>
    </cs:fontRef>
    <cs:spPr>
      <a:ln>
        <a:solidFill>
          <a:schemeClr val="tx1">
            <a:lumMod val="15000"/>
            <a:lumOff val="85000"/>
          </a:schemeClr>
        </a:solidFill>
      </a:ln>
    </cs:spPr>
  </cs:gridlineMajor>
  <cs:gridlineMinor>
    <cs:lnRef idx="0"/>
    <cs:fillRef idx="0"/>
    <cs:effectRef idx="0"/>
    <cs:fontRef idx="minor">
      <a:schemeClr val="dk1"/>
    </cs:fontRef>
    <cs:spPr>
      <a:ln>
        <a:solidFill>
          <a:schemeClr val="tx1">
            <a:lumMod val="5000"/>
            <a:lumOff val="95000"/>
          </a:schemeClr>
        </a:solidFill>
      </a:ln>
    </cs:spPr>
  </cs:gridlineMinor>
  <cs:hiLoLine>
    <cs:lnRef idx="0"/>
    <cs:fillRef idx="0"/>
    <cs:effectRef idx="0"/>
    <cs:fontRef idx="minor">
      <a:schemeClr val="dk1"/>
    </cs:fontRef>
    <cs:spPr>
      <a:ln w="9525">
        <a:solidFill>
          <a:schemeClr val="tx1">
            <a:lumMod val="35000"/>
            <a:lumOff val="65000"/>
          </a:schemeClr>
        </a:solidFill>
        <a:round/>
      </a:ln>
    </cs:spPr>
  </cs:hiLoLine>
  <cs:leaderLine>
    <cs:lnRef idx="0"/>
    <cs:fillRef idx="0"/>
    <cs:effectRef idx="0"/>
    <cs:fontRef idx="minor">
      <a:schemeClr val="dk1"/>
    </cs:fontRef>
    <cs:spPr>
      <a:ln w="9525">
        <a:solidFill>
          <a:schemeClr val="tx1">
            <a:lumMod val="35000"/>
            <a:lumOff val="65000"/>
          </a:schemeClr>
        </a:solidFill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dk1"/>
    </cs:fontRef>
  </cs:plotArea>
  <cs:plotArea3D mods="allowNoFillOverride allowNoLineOverride">
    <cs:lnRef idx="0"/>
    <cs:fillRef idx="0"/>
    <cs:effectRef idx="0"/>
    <cs:fontRef idx="minor">
      <a:schemeClr val="dk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dk1"/>
    </cs:fontRef>
    <cs:spPr>
      <a:ln w="9525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50000"/>
        <a:lumOff val="50000"/>
      </a:schemeClr>
    </cs:fontRef>
    <cs:defRPr sz="1800" b="1" kern="1200" cap="all" spc="150" baseline="0"/>
  </cs:title>
  <cs:trendline>
    <cs:lnRef idx="0">
      <cs:styleClr val="auto"/>
    </cs:lnRef>
    <cs:fillRef idx="0"/>
    <cs:effectRef idx="0"/>
    <cs:fontRef idx="minor">
      <a:schemeClr val="dk1"/>
    </cs:fontRef>
    <cs:spPr>
      <a:ln w="19050" cap="rnd">
        <a:solidFill>
          <a:schemeClr val="phClr"/>
        </a:solidFill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50000"/>
            <a:lumOff val="50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dk1"/>
    </cs:fontRef>
  </cs:wall>
</cs:chartStyle>
</file>

<file path=word/charts/style4.xml><?xml version="1.0" encoding="utf-8"?>
<cs:chartStyle xmlns:cs="http://schemas.microsoft.com/office/drawing/2012/chartStyle" xmlns:a="http://schemas.openxmlformats.org/drawingml/2006/main" id="252">
  <cs:axisTitle>
    <cs:lnRef idx="0"/>
    <cs:fillRef idx="0"/>
    <cs:effectRef idx="0"/>
    <cs:fontRef idx="minor">
      <a:schemeClr val="tx1">
        <a:lumMod val="65000"/>
        <a:lumOff val="35000"/>
      </a:schemeClr>
    </cs:fontRef>
    <cs:defRPr sz="900" b="1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19050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dk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0">
      <cs:styleClr val="auto"/>
    </cs:fillRef>
    <cs:effectRef idx="0">
      <cs:styleClr val="auto"/>
    </cs:effectRef>
    <cs:fontRef idx="minor">
      <a:schemeClr val="dk1"/>
    </cs:fontRef>
    <cs:spPr>
      <a:pattFill prst="ltUpDiag">
        <a:fgClr>
          <a:schemeClr val="phClr"/>
        </a:fgClr>
        <a:bgClr>
          <a:schemeClr val="phClr">
            <a:lumMod val="20000"/>
            <a:lumOff val="80000"/>
          </a:schemeClr>
        </a:bgClr>
      </a:pattFill>
      <a:ln w="19050">
        <a:solidFill>
          <a:schemeClr val="lt1"/>
        </a:solidFill>
      </a:ln>
      <a:effectLst>
        <a:innerShdw blurRad="114300">
          <a:schemeClr val="phClr"/>
        </a:innerShdw>
      </a:effectLst>
    </cs:spPr>
  </cs:dataPoint>
  <cs:dataPoint3D>
    <cs:lnRef idx="0"/>
    <cs:fillRef idx="0">
      <cs:styleClr val="auto"/>
    </cs:fillRef>
    <cs:effectRef idx="0"/>
    <cs:fontRef idx="minor">
      <a:schemeClr val="dk1"/>
    </cs:fontRef>
    <cs:spPr>
      <a:pattFill prst="ltUpDiag">
        <a:fgClr>
          <a:schemeClr val="phClr"/>
        </a:fgClr>
        <a:bgClr>
          <a:schemeClr val="phClr">
            <a:lumMod val="20000"/>
            <a:lumOff val="80000"/>
          </a:schemeClr>
        </a:bgClr>
      </a:pattFill>
      <a:ln w="19050">
        <a:solidFill>
          <a:schemeClr val="lt1"/>
        </a:solidFill>
      </a:ln>
      <a:effectLst>
        <a:innerShdw blurRad="114300">
          <a:schemeClr val="phClr"/>
        </a:innerShdw>
      </a:effectLst>
    </cs:spPr>
  </cs:dataPoint3D>
  <cs:dataPointLine>
    <cs:lnRef idx="0">
      <cs:styleClr val="auto"/>
    </cs:lnRef>
    <cs:fillRef idx="0"/>
    <cs:effectRef idx="0"/>
    <cs:fontRef idx="minor">
      <a:schemeClr val="dk1"/>
    </cs:fontRef>
    <cs:spPr>
      <a:ln w="28575" cap="rnd">
        <a:solidFill>
          <a:schemeClr val="phClr"/>
        </a:solidFill>
        <a:round/>
      </a:ln>
    </cs:spPr>
  </cs:dataPointLine>
  <cs:dataPointMarker>
    <cs:lnRef idx="0"/>
    <cs:fillRef idx="0">
      <cs:styleClr val="auto"/>
    </cs:fillRef>
    <cs:effectRef idx="0"/>
    <cs:fontRef idx="minor">
      <a:schemeClr val="dk1"/>
    </cs:fontRef>
    <cs:spPr>
      <a:solidFill>
        <a:schemeClr val="phClr"/>
      </a:solidFill>
      <a:ln w="9525">
        <a:solidFill>
          <a:schemeClr val="lt1"/>
        </a:solidFill>
      </a:ln>
    </cs:spPr>
  </cs:dataPointMarker>
  <cs:dataPointMarkerLayout symbol="circle" size="6"/>
  <cs:dataPointWirefram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ln w="9525">
        <a:solidFill>
          <a:schemeClr val="tx1">
            <a:lumMod val="15000"/>
            <a:lumOff val="85000"/>
          </a:schemeClr>
        </a:solidFill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75000"/>
          <a:lumOff val="25000"/>
        </a:schemeClr>
      </a:solidFill>
      <a:ln w="9525">
        <a:solidFill>
          <a:schemeClr val="tx1">
            <a:lumMod val="50000"/>
            <a:lumOff val="50000"/>
          </a:schemeClr>
        </a:solidFill>
      </a:ln>
    </cs:spPr>
  </cs:downBar>
  <cs:dropLine>
    <cs:lnRef idx="0"/>
    <cs:fillRef idx="0"/>
    <cs:effectRef idx="0"/>
    <cs:fontRef idx="minor">
      <a:schemeClr val="dk1"/>
    </cs:fontRef>
    <cs:spPr>
      <a:ln w="9525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dk1"/>
    </cs:fontRef>
    <cs:spPr>
      <a:ln w="9525">
        <a:solidFill>
          <a:schemeClr val="tx1">
            <a:lumMod val="50000"/>
            <a:lumOff val="50000"/>
          </a:schemeClr>
        </a:solidFill>
        <a:round/>
      </a:ln>
    </cs:spPr>
  </cs:errorBar>
  <cs:floor>
    <cs:lnRef idx="0"/>
    <cs:fillRef idx="0"/>
    <cs:effectRef idx="0"/>
    <cs:fontRef idx="minor">
      <a:schemeClr val="dk1"/>
    </cs:fontRef>
  </cs:floor>
  <cs:gridlineMajor>
    <cs:lnRef idx="0"/>
    <cs:fillRef idx="0"/>
    <cs:effectRef idx="0"/>
    <cs:fontRef idx="minor">
      <a:schemeClr val="dk1"/>
    </cs:fontRef>
    <cs:spPr>
      <a:ln>
        <a:solidFill>
          <a:schemeClr val="tx1">
            <a:lumMod val="15000"/>
            <a:lumOff val="85000"/>
          </a:schemeClr>
        </a:solidFill>
      </a:ln>
    </cs:spPr>
  </cs:gridlineMajor>
  <cs:gridlineMinor>
    <cs:lnRef idx="0"/>
    <cs:fillRef idx="0"/>
    <cs:effectRef idx="0"/>
    <cs:fontRef idx="minor">
      <a:schemeClr val="dk1"/>
    </cs:fontRef>
    <cs:spPr>
      <a:ln>
        <a:solidFill>
          <a:schemeClr val="tx1">
            <a:lumMod val="5000"/>
            <a:lumOff val="95000"/>
          </a:schemeClr>
        </a:solidFill>
      </a:ln>
    </cs:spPr>
  </cs:gridlineMinor>
  <cs:hiLoLine>
    <cs:lnRef idx="0"/>
    <cs:fillRef idx="0"/>
    <cs:effectRef idx="0"/>
    <cs:fontRef idx="minor">
      <a:schemeClr val="dk1"/>
    </cs:fontRef>
    <cs:spPr>
      <a:ln w="9525">
        <a:solidFill>
          <a:schemeClr val="tx1">
            <a:lumMod val="35000"/>
            <a:lumOff val="65000"/>
          </a:schemeClr>
        </a:solidFill>
        <a:round/>
      </a:ln>
    </cs:spPr>
  </cs:hiLoLine>
  <cs:leaderLine>
    <cs:lnRef idx="0"/>
    <cs:fillRef idx="0"/>
    <cs:effectRef idx="0"/>
    <cs:fontRef idx="minor">
      <a:schemeClr val="dk1"/>
    </cs:fontRef>
    <cs:spPr>
      <a:ln w="9525">
        <a:solidFill>
          <a:schemeClr val="tx1">
            <a:lumMod val="35000"/>
            <a:lumOff val="65000"/>
          </a:schemeClr>
        </a:solidFill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dk1"/>
    </cs:fontRef>
  </cs:plotArea>
  <cs:plotArea3D mods="allowNoFillOverride allowNoLineOverride">
    <cs:lnRef idx="0"/>
    <cs:fillRef idx="0"/>
    <cs:effectRef idx="0"/>
    <cs:fontRef idx="minor">
      <a:schemeClr val="dk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dk1"/>
    </cs:fontRef>
    <cs:spPr>
      <a:ln w="9525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50000"/>
        <a:lumOff val="50000"/>
      </a:schemeClr>
    </cs:fontRef>
    <cs:defRPr sz="1800" b="1" kern="1200" cap="all" spc="150" baseline="0"/>
  </cs:title>
  <cs:trendline>
    <cs:lnRef idx="0">
      <cs:styleClr val="auto"/>
    </cs:lnRef>
    <cs:fillRef idx="0"/>
    <cs:effectRef idx="0"/>
    <cs:fontRef idx="minor">
      <a:schemeClr val="dk1"/>
    </cs:fontRef>
    <cs:spPr>
      <a:ln w="19050" cap="rnd">
        <a:solidFill>
          <a:schemeClr val="phClr"/>
        </a:solidFill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50000"/>
            <a:lumOff val="50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dk1"/>
    </cs:fontRef>
  </cs:wall>
</cs:chartStyle>
</file>

<file path=word/charts/style5.xml><?xml version="1.0" encoding="utf-8"?>
<cs:chartStyle xmlns:cs="http://schemas.microsoft.com/office/drawing/2012/chartStyle" xmlns:a="http://schemas.openxmlformats.org/drawingml/2006/main" id="252">
  <cs:axisTitle>
    <cs:lnRef idx="0"/>
    <cs:fillRef idx="0"/>
    <cs:effectRef idx="0"/>
    <cs:fontRef idx="minor">
      <a:schemeClr val="tx1">
        <a:lumMod val="65000"/>
        <a:lumOff val="35000"/>
      </a:schemeClr>
    </cs:fontRef>
    <cs:defRPr sz="900" b="1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19050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dk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0">
      <cs:styleClr val="auto"/>
    </cs:fillRef>
    <cs:effectRef idx="0">
      <cs:styleClr val="auto"/>
    </cs:effectRef>
    <cs:fontRef idx="minor">
      <a:schemeClr val="dk1"/>
    </cs:fontRef>
    <cs:spPr>
      <a:pattFill prst="ltUpDiag">
        <a:fgClr>
          <a:schemeClr val="phClr"/>
        </a:fgClr>
        <a:bgClr>
          <a:schemeClr val="phClr">
            <a:lumMod val="20000"/>
            <a:lumOff val="80000"/>
          </a:schemeClr>
        </a:bgClr>
      </a:pattFill>
      <a:ln w="19050">
        <a:solidFill>
          <a:schemeClr val="lt1"/>
        </a:solidFill>
      </a:ln>
      <a:effectLst>
        <a:innerShdw blurRad="114300">
          <a:schemeClr val="phClr"/>
        </a:innerShdw>
      </a:effectLst>
    </cs:spPr>
  </cs:dataPoint>
  <cs:dataPoint3D>
    <cs:lnRef idx="0"/>
    <cs:fillRef idx="0">
      <cs:styleClr val="auto"/>
    </cs:fillRef>
    <cs:effectRef idx="0"/>
    <cs:fontRef idx="minor">
      <a:schemeClr val="dk1"/>
    </cs:fontRef>
    <cs:spPr>
      <a:pattFill prst="ltUpDiag">
        <a:fgClr>
          <a:schemeClr val="phClr"/>
        </a:fgClr>
        <a:bgClr>
          <a:schemeClr val="phClr">
            <a:lumMod val="20000"/>
            <a:lumOff val="80000"/>
          </a:schemeClr>
        </a:bgClr>
      </a:pattFill>
      <a:ln w="19050">
        <a:solidFill>
          <a:schemeClr val="lt1"/>
        </a:solidFill>
      </a:ln>
      <a:effectLst>
        <a:innerShdw blurRad="114300">
          <a:schemeClr val="phClr"/>
        </a:innerShdw>
      </a:effectLst>
    </cs:spPr>
  </cs:dataPoint3D>
  <cs:dataPointLine>
    <cs:lnRef idx="0">
      <cs:styleClr val="auto"/>
    </cs:lnRef>
    <cs:fillRef idx="0"/>
    <cs:effectRef idx="0"/>
    <cs:fontRef idx="minor">
      <a:schemeClr val="dk1"/>
    </cs:fontRef>
    <cs:spPr>
      <a:ln w="28575" cap="rnd">
        <a:solidFill>
          <a:schemeClr val="phClr"/>
        </a:solidFill>
        <a:round/>
      </a:ln>
    </cs:spPr>
  </cs:dataPointLine>
  <cs:dataPointMarker>
    <cs:lnRef idx="0"/>
    <cs:fillRef idx="0">
      <cs:styleClr val="auto"/>
    </cs:fillRef>
    <cs:effectRef idx="0"/>
    <cs:fontRef idx="minor">
      <a:schemeClr val="dk1"/>
    </cs:fontRef>
    <cs:spPr>
      <a:solidFill>
        <a:schemeClr val="phClr"/>
      </a:solidFill>
      <a:ln w="9525">
        <a:solidFill>
          <a:schemeClr val="lt1"/>
        </a:solidFill>
      </a:ln>
    </cs:spPr>
  </cs:dataPointMarker>
  <cs:dataPointMarkerLayout symbol="circle" size="6"/>
  <cs:dataPointWirefram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ln w="9525">
        <a:solidFill>
          <a:schemeClr val="tx1">
            <a:lumMod val="15000"/>
            <a:lumOff val="85000"/>
          </a:schemeClr>
        </a:solidFill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75000"/>
          <a:lumOff val="25000"/>
        </a:schemeClr>
      </a:solidFill>
      <a:ln w="9525">
        <a:solidFill>
          <a:schemeClr val="tx1">
            <a:lumMod val="50000"/>
            <a:lumOff val="50000"/>
          </a:schemeClr>
        </a:solidFill>
      </a:ln>
    </cs:spPr>
  </cs:downBar>
  <cs:dropLine>
    <cs:lnRef idx="0"/>
    <cs:fillRef idx="0"/>
    <cs:effectRef idx="0"/>
    <cs:fontRef idx="minor">
      <a:schemeClr val="dk1"/>
    </cs:fontRef>
    <cs:spPr>
      <a:ln w="9525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dk1"/>
    </cs:fontRef>
    <cs:spPr>
      <a:ln w="9525">
        <a:solidFill>
          <a:schemeClr val="tx1">
            <a:lumMod val="50000"/>
            <a:lumOff val="50000"/>
          </a:schemeClr>
        </a:solidFill>
        <a:round/>
      </a:ln>
    </cs:spPr>
  </cs:errorBar>
  <cs:floor>
    <cs:lnRef idx="0"/>
    <cs:fillRef idx="0"/>
    <cs:effectRef idx="0"/>
    <cs:fontRef idx="minor">
      <a:schemeClr val="dk1"/>
    </cs:fontRef>
  </cs:floor>
  <cs:gridlineMajor>
    <cs:lnRef idx="0"/>
    <cs:fillRef idx="0"/>
    <cs:effectRef idx="0"/>
    <cs:fontRef idx="minor">
      <a:schemeClr val="dk1"/>
    </cs:fontRef>
    <cs:spPr>
      <a:ln>
        <a:solidFill>
          <a:schemeClr val="tx1">
            <a:lumMod val="15000"/>
            <a:lumOff val="85000"/>
          </a:schemeClr>
        </a:solidFill>
      </a:ln>
    </cs:spPr>
  </cs:gridlineMajor>
  <cs:gridlineMinor>
    <cs:lnRef idx="0"/>
    <cs:fillRef idx="0"/>
    <cs:effectRef idx="0"/>
    <cs:fontRef idx="minor">
      <a:schemeClr val="dk1"/>
    </cs:fontRef>
    <cs:spPr>
      <a:ln>
        <a:solidFill>
          <a:schemeClr val="tx1">
            <a:lumMod val="5000"/>
            <a:lumOff val="95000"/>
          </a:schemeClr>
        </a:solidFill>
      </a:ln>
    </cs:spPr>
  </cs:gridlineMinor>
  <cs:hiLoLine>
    <cs:lnRef idx="0"/>
    <cs:fillRef idx="0"/>
    <cs:effectRef idx="0"/>
    <cs:fontRef idx="minor">
      <a:schemeClr val="dk1"/>
    </cs:fontRef>
    <cs:spPr>
      <a:ln w="9525">
        <a:solidFill>
          <a:schemeClr val="tx1">
            <a:lumMod val="35000"/>
            <a:lumOff val="65000"/>
          </a:schemeClr>
        </a:solidFill>
        <a:round/>
      </a:ln>
    </cs:spPr>
  </cs:hiLoLine>
  <cs:leaderLine>
    <cs:lnRef idx="0"/>
    <cs:fillRef idx="0"/>
    <cs:effectRef idx="0"/>
    <cs:fontRef idx="minor">
      <a:schemeClr val="dk1"/>
    </cs:fontRef>
    <cs:spPr>
      <a:ln w="9525">
        <a:solidFill>
          <a:schemeClr val="tx1">
            <a:lumMod val="35000"/>
            <a:lumOff val="65000"/>
          </a:schemeClr>
        </a:solidFill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dk1"/>
    </cs:fontRef>
  </cs:plotArea>
  <cs:plotArea3D mods="allowNoFillOverride allowNoLineOverride">
    <cs:lnRef idx="0"/>
    <cs:fillRef idx="0"/>
    <cs:effectRef idx="0"/>
    <cs:fontRef idx="minor">
      <a:schemeClr val="dk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dk1"/>
    </cs:fontRef>
    <cs:spPr>
      <a:ln w="9525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50000"/>
        <a:lumOff val="50000"/>
      </a:schemeClr>
    </cs:fontRef>
    <cs:defRPr sz="1800" b="1" kern="1200" cap="all" spc="150" baseline="0"/>
  </cs:title>
  <cs:trendline>
    <cs:lnRef idx="0">
      <cs:styleClr val="auto"/>
    </cs:lnRef>
    <cs:fillRef idx="0"/>
    <cs:effectRef idx="0"/>
    <cs:fontRef idx="minor">
      <a:schemeClr val="dk1"/>
    </cs:fontRef>
    <cs:spPr>
      <a:ln w="19050" cap="rnd">
        <a:solidFill>
          <a:schemeClr val="phClr"/>
        </a:solidFill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50000"/>
            <a:lumOff val="50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dk1"/>
    </cs:fontRef>
  </cs:wall>
</cs:chartStyle>
</file>

<file path=word/charts/style6.xml><?xml version="1.0" encoding="utf-8"?>
<cs:chartStyle xmlns:cs="http://schemas.microsoft.com/office/drawing/2012/chartStyle" xmlns:a="http://schemas.openxmlformats.org/drawingml/2006/main" id="252">
  <cs:axisTitle>
    <cs:lnRef idx="0"/>
    <cs:fillRef idx="0"/>
    <cs:effectRef idx="0"/>
    <cs:fontRef idx="minor">
      <a:schemeClr val="tx1">
        <a:lumMod val="65000"/>
        <a:lumOff val="35000"/>
      </a:schemeClr>
    </cs:fontRef>
    <cs:defRPr sz="900" b="1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19050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dk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0">
      <cs:styleClr val="auto"/>
    </cs:fillRef>
    <cs:effectRef idx="0">
      <cs:styleClr val="auto"/>
    </cs:effectRef>
    <cs:fontRef idx="minor">
      <a:schemeClr val="dk1"/>
    </cs:fontRef>
    <cs:spPr>
      <a:pattFill prst="ltUpDiag">
        <a:fgClr>
          <a:schemeClr val="phClr"/>
        </a:fgClr>
        <a:bgClr>
          <a:schemeClr val="phClr">
            <a:lumMod val="20000"/>
            <a:lumOff val="80000"/>
          </a:schemeClr>
        </a:bgClr>
      </a:pattFill>
      <a:ln w="19050">
        <a:solidFill>
          <a:schemeClr val="lt1"/>
        </a:solidFill>
      </a:ln>
      <a:effectLst>
        <a:innerShdw blurRad="114300">
          <a:schemeClr val="phClr"/>
        </a:innerShdw>
      </a:effectLst>
    </cs:spPr>
  </cs:dataPoint>
  <cs:dataPoint3D>
    <cs:lnRef idx="0"/>
    <cs:fillRef idx="0">
      <cs:styleClr val="auto"/>
    </cs:fillRef>
    <cs:effectRef idx="0"/>
    <cs:fontRef idx="minor">
      <a:schemeClr val="dk1"/>
    </cs:fontRef>
    <cs:spPr>
      <a:pattFill prst="ltUpDiag">
        <a:fgClr>
          <a:schemeClr val="phClr"/>
        </a:fgClr>
        <a:bgClr>
          <a:schemeClr val="phClr">
            <a:lumMod val="20000"/>
            <a:lumOff val="80000"/>
          </a:schemeClr>
        </a:bgClr>
      </a:pattFill>
      <a:ln w="19050">
        <a:solidFill>
          <a:schemeClr val="lt1"/>
        </a:solidFill>
      </a:ln>
      <a:effectLst>
        <a:innerShdw blurRad="114300">
          <a:schemeClr val="phClr"/>
        </a:innerShdw>
      </a:effectLst>
    </cs:spPr>
  </cs:dataPoint3D>
  <cs:dataPointLine>
    <cs:lnRef idx="0">
      <cs:styleClr val="auto"/>
    </cs:lnRef>
    <cs:fillRef idx="0"/>
    <cs:effectRef idx="0"/>
    <cs:fontRef idx="minor">
      <a:schemeClr val="dk1"/>
    </cs:fontRef>
    <cs:spPr>
      <a:ln w="28575" cap="rnd">
        <a:solidFill>
          <a:schemeClr val="phClr"/>
        </a:solidFill>
        <a:round/>
      </a:ln>
    </cs:spPr>
  </cs:dataPointLine>
  <cs:dataPointMarker>
    <cs:lnRef idx="0"/>
    <cs:fillRef idx="0">
      <cs:styleClr val="auto"/>
    </cs:fillRef>
    <cs:effectRef idx="0"/>
    <cs:fontRef idx="minor">
      <a:schemeClr val="dk1"/>
    </cs:fontRef>
    <cs:spPr>
      <a:solidFill>
        <a:schemeClr val="phClr"/>
      </a:solidFill>
      <a:ln w="9525">
        <a:solidFill>
          <a:schemeClr val="lt1"/>
        </a:solidFill>
      </a:ln>
    </cs:spPr>
  </cs:dataPointMarker>
  <cs:dataPointMarkerLayout symbol="circle" size="6"/>
  <cs:dataPointWirefram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ln w="9525">
        <a:solidFill>
          <a:schemeClr val="tx1">
            <a:lumMod val="15000"/>
            <a:lumOff val="85000"/>
          </a:schemeClr>
        </a:solidFill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75000"/>
          <a:lumOff val="25000"/>
        </a:schemeClr>
      </a:solidFill>
      <a:ln w="9525">
        <a:solidFill>
          <a:schemeClr val="tx1">
            <a:lumMod val="50000"/>
            <a:lumOff val="50000"/>
          </a:schemeClr>
        </a:solidFill>
      </a:ln>
    </cs:spPr>
  </cs:downBar>
  <cs:dropLine>
    <cs:lnRef idx="0"/>
    <cs:fillRef idx="0"/>
    <cs:effectRef idx="0"/>
    <cs:fontRef idx="minor">
      <a:schemeClr val="dk1"/>
    </cs:fontRef>
    <cs:spPr>
      <a:ln w="9525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dk1"/>
    </cs:fontRef>
    <cs:spPr>
      <a:ln w="9525">
        <a:solidFill>
          <a:schemeClr val="tx1">
            <a:lumMod val="50000"/>
            <a:lumOff val="50000"/>
          </a:schemeClr>
        </a:solidFill>
        <a:round/>
      </a:ln>
    </cs:spPr>
  </cs:errorBar>
  <cs:floor>
    <cs:lnRef idx="0"/>
    <cs:fillRef idx="0"/>
    <cs:effectRef idx="0"/>
    <cs:fontRef idx="minor">
      <a:schemeClr val="dk1"/>
    </cs:fontRef>
  </cs:floor>
  <cs:gridlineMajor>
    <cs:lnRef idx="0"/>
    <cs:fillRef idx="0"/>
    <cs:effectRef idx="0"/>
    <cs:fontRef idx="minor">
      <a:schemeClr val="dk1"/>
    </cs:fontRef>
    <cs:spPr>
      <a:ln>
        <a:solidFill>
          <a:schemeClr val="tx1">
            <a:lumMod val="15000"/>
            <a:lumOff val="85000"/>
          </a:schemeClr>
        </a:solidFill>
      </a:ln>
    </cs:spPr>
  </cs:gridlineMajor>
  <cs:gridlineMinor>
    <cs:lnRef idx="0"/>
    <cs:fillRef idx="0"/>
    <cs:effectRef idx="0"/>
    <cs:fontRef idx="minor">
      <a:schemeClr val="dk1"/>
    </cs:fontRef>
    <cs:spPr>
      <a:ln>
        <a:solidFill>
          <a:schemeClr val="tx1">
            <a:lumMod val="5000"/>
            <a:lumOff val="95000"/>
          </a:schemeClr>
        </a:solidFill>
      </a:ln>
    </cs:spPr>
  </cs:gridlineMinor>
  <cs:hiLoLine>
    <cs:lnRef idx="0"/>
    <cs:fillRef idx="0"/>
    <cs:effectRef idx="0"/>
    <cs:fontRef idx="minor">
      <a:schemeClr val="dk1"/>
    </cs:fontRef>
    <cs:spPr>
      <a:ln w="9525">
        <a:solidFill>
          <a:schemeClr val="tx1">
            <a:lumMod val="35000"/>
            <a:lumOff val="65000"/>
          </a:schemeClr>
        </a:solidFill>
        <a:round/>
      </a:ln>
    </cs:spPr>
  </cs:hiLoLine>
  <cs:leaderLine>
    <cs:lnRef idx="0"/>
    <cs:fillRef idx="0"/>
    <cs:effectRef idx="0"/>
    <cs:fontRef idx="minor">
      <a:schemeClr val="dk1"/>
    </cs:fontRef>
    <cs:spPr>
      <a:ln w="9525">
        <a:solidFill>
          <a:schemeClr val="tx1">
            <a:lumMod val="35000"/>
            <a:lumOff val="65000"/>
          </a:schemeClr>
        </a:solidFill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dk1"/>
    </cs:fontRef>
  </cs:plotArea>
  <cs:plotArea3D mods="allowNoFillOverride allowNoLineOverride">
    <cs:lnRef idx="0"/>
    <cs:fillRef idx="0"/>
    <cs:effectRef idx="0"/>
    <cs:fontRef idx="minor">
      <a:schemeClr val="dk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dk1"/>
    </cs:fontRef>
    <cs:spPr>
      <a:ln w="9525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50000"/>
        <a:lumOff val="50000"/>
      </a:schemeClr>
    </cs:fontRef>
    <cs:defRPr sz="1800" b="1" kern="1200" cap="all" spc="150" baseline="0"/>
  </cs:title>
  <cs:trendline>
    <cs:lnRef idx="0">
      <cs:styleClr val="auto"/>
    </cs:lnRef>
    <cs:fillRef idx="0"/>
    <cs:effectRef idx="0"/>
    <cs:fontRef idx="minor">
      <a:schemeClr val="dk1"/>
    </cs:fontRef>
    <cs:spPr>
      <a:ln w="19050" cap="rnd">
        <a:solidFill>
          <a:schemeClr val="phClr"/>
        </a:solidFill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50000"/>
            <a:lumOff val="50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dk1"/>
    </cs:fontRef>
  </cs:wall>
</cs:chartStyle>
</file>

<file path=word/charts/style7.xml><?xml version="1.0" encoding="utf-8"?>
<cs:chartStyle xmlns:cs="http://schemas.microsoft.com/office/drawing/2012/chartStyle" xmlns:a="http://schemas.openxmlformats.org/drawingml/2006/main" id="252">
  <cs:axisTitle>
    <cs:lnRef idx="0"/>
    <cs:fillRef idx="0"/>
    <cs:effectRef idx="0"/>
    <cs:fontRef idx="minor">
      <a:schemeClr val="tx1">
        <a:lumMod val="65000"/>
        <a:lumOff val="35000"/>
      </a:schemeClr>
    </cs:fontRef>
    <cs:defRPr sz="900" b="1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19050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dk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0">
      <cs:styleClr val="auto"/>
    </cs:fillRef>
    <cs:effectRef idx="0">
      <cs:styleClr val="auto"/>
    </cs:effectRef>
    <cs:fontRef idx="minor">
      <a:schemeClr val="dk1"/>
    </cs:fontRef>
    <cs:spPr>
      <a:pattFill prst="ltUpDiag">
        <a:fgClr>
          <a:schemeClr val="phClr"/>
        </a:fgClr>
        <a:bgClr>
          <a:schemeClr val="phClr">
            <a:lumMod val="20000"/>
            <a:lumOff val="80000"/>
          </a:schemeClr>
        </a:bgClr>
      </a:pattFill>
      <a:ln w="19050">
        <a:solidFill>
          <a:schemeClr val="lt1"/>
        </a:solidFill>
      </a:ln>
      <a:effectLst>
        <a:innerShdw blurRad="114300">
          <a:schemeClr val="phClr"/>
        </a:innerShdw>
      </a:effectLst>
    </cs:spPr>
  </cs:dataPoint>
  <cs:dataPoint3D>
    <cs:lnRef idx="0"/>
    <cs:fillRef idx="0">
      <cs:styleClr val="auto"/>
    </cs:fillRef>
    <cs:effectRef idx="0"/>
    <cs:fontRef idx="minor">
      <a:schemeClr val="dk1"/>
    </cs:fontRef>
    <cs:spPr>
      <a:pattFill prst="ltUpDiag">
        <a:fgClr>
          <a:schemeClr val="phClr"/>
        </a:fgClr>
        <a:bgClr>
          <a:schemeClr val="phClr">
            <a:lumMod val="20000"/>
            <a:lumOff val="80000"/>
          </a:schemeClr>
        </a:bgClr>
      </a:pattFill>
      <a:ln w="19050">
        <a:solidFill>
          <a:schemeClr val="lt1"/>
        </a:solidFill>
      </a:ln>
      <a:effectLst>
        <a:innerShdw blurRad="114300">
          <a:schemeClr val="phClr"/>
        </a:innerShdw>
      </a:effectLst>
    </cs:spPr>
  </cs:dataPoint3D>
  <cs:dataPointLine>
    <cs:lnRef idx="0">
      <cs:styleClr val="auto"/>
    </cs:lnRef>
    <cs:fillRef idx="0"/>
    <cs:effectRef idx="0"/>
    <cs:fontRef idx="minor">
      <a:schemeClr val="dk1"/>
    </cs:fontRef>
    <cs:spPr>
      <a:ln w="28575" cap="rnd">
        <a:solidFill>
          <a:schemeClr val="phClr"/>
        </a:solidFill>
        <a:round/>
      </a:ln>
    </cs:spPr>
  </cs:dataPointLine>
  <cs:dataPointMarker>
    <cs:lnRef idx="0"/>
    <cs:fillRef idx="0">
      <cs:styleClr val="auto"/>
    </cs:fillRef>
    <cs:effectRef idx="0"/>
    <cs:fontRef idx="minor">
      <a:schemeClr val="dk1"/>
    </cs:fontRef>
    <cs:spPr>
      <a:solidFill>
        <a:schemeClr val="phClr"/>
      </a:solidFill>
      <a:ln w="9525">
        <a:solidFill>
          <a:schemeClr val="lt1"/>
        </a:solidFill>
      </a:ln>
    </cs:spPr>
  </cs:dataPointMarker>
  <cs:dataPointMarkerLayout symbol="circle" size="6"/>
  <cs:dataPointWirefram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ln w="9525">
        <a:solidFill>
          <a:schemeClr val="tx1">
            <a:lumMod val="15000"/>
            <a:lumOff val="85000"/>
          </a:schemeClr>
        </a:solidFill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75000"/>
          <a:lumOff val="25000"/>
        </a:schemeClr>
      </a:solidFill>
      <a:ln w="9525">
        <a:solidFill>
          <a:schemeClr val="tx1">
            <a:lumMod val="50000"/>
            <a:lumOff val="50000"/>
          </a:schemeClr>
        </a:solidFill>
      </a:ln>
    </cs:spPr>
  </cs:downBar>
  <cs:dropLine>
    <cs:lnRef idx="0"/>
    <cs:fillRef idx="0"/>
    <cs:effectRef idx="0"/>
    <cs:fontRef idx="minor">
      <a:schemeClr val="dk1"/>
    </cs:fontRef>
    <cs:spPr>
      <a:ln w="9525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dk1"/>
    </cs:fontRef>
    <cs:spPr>
      <a:ln w="9525">
        <a:solidFill>
          <a:schemeClr val="tx1">
            <a:lumMod val="50000"/>
            <a:lumOff val="50000"/>
          </a:schemeClr>
        </a:solidFill>
        <a:round/>
      </a:ln>
    </cs:spPr>
  </cs:errorBar>
  <cs:floor>
    <cs:lnRef idx="0"/>
    <cs:fillRef idx="0"/>
    <cs:effectRef idx="0"/>
    <cs:fontRef idx="minor">
      <a:schemeClr val="dk1"/>
    </cs:fontRef>
  </cs:floor>
  <cs:gridlineMajor>
    <cs:lnRef idx="0"/>
    <cs:fillRef idx="0"/>
    <cs:effectRef idx="0"/>
    <cs:fontRef idx="minor">
      <a:schemeClr val="dk1"/>
    </cs:fontRef>
    <cs:spPr>
      <a:ln>
        <a:solidFill>
          <a:schemeClr val="tx1">
            <a:lumMod val="15000"/>
            <a:lumOff val="85000"/>
          </a:schemeClr>
        </a:solidFill>
      </a:ln>
    </cs:spPr>
  </cs:gridlineMajor>
  <cs:gridlineMinor>
    <cs:lnRef idx="0"/>
    <cs:fillRef idx="0"/>
    <cs:effectRef idx="0"/>
    <cs:fontRef idx="minor">
      <a:schemeClr val="dk1"/>
    </cs:fontRef>
    <cs:spPr>
      <a:ln>
        <a:solidFill>
          <a:schemeClr val="tx1">
            <a:lumMod val="5000"/>
            <a:lumOff val="95000"/>
          </a:schemeClr>
        </a:solidFill>
      </a:ln>
    </cs:spPr>
  </cs:gridlineMinor>
  <cs:hiLoLine>
    <cs:lnRef idx="0"/>
    <cs:fillRef idx="0"/>
    <cs:effectRef idx="0"/>
    <cs:fontRef idx="minor">
      <a:schemeClr val="dk1"/>
    </cs:fontRef>
    <cs:spPr>
      <a:ln w="9525">
        <a:solidFill>
          <a:schemeClr val="tx1">
            <a:lumMod val="35000"/>
            <a:lumOff val="65000"/>
          </a:schemeClr>
        </a:solidFill>
        <a:round/>
      </a:ln>
    </cs:spPr>
  </cs:hiLoLine>
  <cs:leaderLine>
    <cs:lnRef idx="0"/>
    <cs:fillRef idx="0"/>
    <cs:effectRef idx="0"/>
    <cs:fontRef idx="minor">
      <a:schemeClr val="dk1"/>
    </cs:fontRef>
    <cs:spPr>
      <a:ln w="9525">
        <a:solidFill>
          <a:schemeClr val="tx1">
            <a:lumMod val="35000"/>
            <a:lumOff val="65000"/>
          </a:schemeClr>
        </a:solidFill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dk1"/>
    </cs:fontRef>
  </cs:plotArea>
  <cs:plotArea3D mods="allowNoFillOverride allowNoLineOverride">
    <cs:lnRef idx="0"/>
    <cs:fillRef idx="0"/>
    <cs:effectRef idx="0"/>
    <cs:fontRef idx="minor">
      <a:schemeClr val="dk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dk1"/>
    </cs:fontRef>
    <cs:spPr>
      <a:ln w="9525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50000"/>
        <a:lumOff val="50000"/>
      </a:schemeClr>
    </cs:fontRef>
    <cs:defRPr sz="1800" b="1" kern="1200" cap="all" spc="150" baseline="0"/>
  </cs:title>
  <cs:trendline>
    <cs:lnRef idx="0">
      <cs:styleClr val="auto"/>
    </cs:lnRef>
    <cs:fillRef idx="0"/>
    <cs:effectRef idx="0"/>
    <cs:fontRef idx="minor">
      <a:schemeClr val="dk1"/>
    </cs:fontRef>
    <cs:spPr>
      <a:ln w="19050" cap="rnd">
        <a:solidFill>
          <a:schemeClr val="phClr"/>
        </a:solidFill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50000"/>
            <a:lumOff val="50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dk1"/>
    </cs:fontRef>
  </cs:wall>
</cs:chartStyle>
</file>

<file path=word/charts/style8.xml><?xml version="1.0" encoding="utf-8"?>
<cs:chartStyle xmlns:cs="http://schemas.microsoft.com/office/drawing/2012/chartStyle" xmlns:a="http://schemas.openxmlformats.org/drawingml/2006/main" id="252">
  <cs:axisTitle>
    <cs:lnRef idx="0"/>
    <cs:fillRef idx="0"/>
    <cs:effectRef idx="0"/>
    <cs:fontRef idx="minor">
      <a:schemeClr val="tx1">
        <a:lumMod val="65000"/>
        <a:lumOff val="35000"/>
      </a:schemeClr>
    </cs:fontRef>
    <cs:defRPr sz="900" b="1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19050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dk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0">
      <cs:styleClr val="auto"/>
    </cs:fillRef>
    <cs:effectRef idx="0">
      <cs:styleClr val="auto"/>
    </cs:effectRef>
    <cs:fontRef idx="minor">
      <a:schemeClr val="dk1"/>
    </cs:fontRef>
    <cs:spPr>
      <a:pattFill prst="ltUpDiag">
        <a:fgClr>
          <a:schemeClr val="phClr"/>
        </a:fgClr>
        <a:bgClr>
          <a:schemeClr val="phClr">
            <a:lumMod val="20000"/>
            <a:lumOff val="80000"/>
          </a:schemeClr>
        </a:bgClr>
      </a:pattFill>
      <a:ln w="19050">
        <a:solidFill>
          <a:schemeClr val="lt1"/>
        </a:solidFill>
      </a:ln>
      <a:effectLst>
        <a:innerShdw blurRad="114300">
          <a:schemeClr val="phClr"/>
        </a:innerShdw>
      </a:effectLst>
    </cs:spPr>
  </cs:dataPoint>
  <cs:dataPoint3D>
    <cs:lnRef idx="0"/>
    <cs:fillRef idx="0">
      <cs:styleClr val="auto"/>
    </cs:fillRef>
    <cs:effectRef idx="0"/>
    <cs:fontRef idx="minor">
      <a:schemeClr val="dk1"/>
    </cs:fontRef>
    <cs:spPr>
      <a:pattFill prst="ltUpDiag">
        <a:fgClr>
          <a:schemeClr val="phClr"/>
        </a:fgClr>
        <a:bgClr>
          <a:schemeClr val="phClr">
            <a:lumMod val="20000"/>
            <a:lumOff val="80000"/>
          </a:schemeClr>
        </a:bgClr>
      </a:pattFill>
      <a:ln w="19050">
        <a:solidFill>
          <a:schemeClr val="lt1"/>
        </a:solidFill>
      </a:ln>
      <a:effectLst>
        <a:innerShdw blurRad="114300">
          <a:schemeClr val="phClr"/>
        </a:innerShdw>
      </a:effectLst>
    </cs:spPr>
  </cs:dataPoint3D>
  <cs:dataPointLine>
    <cs:lnRef idx="0">
      <cs:styleClr val="auto"/>
    </cs:lnRef>
    <cs:fillRef idx="0"/>
    <cs:effectRef idx="0"/>
    <cs:fontRef idx="minor">
      <a:schemeClr val="dk1"/>
    </cs:fontRef>
    <cs:spPr>
      <a:ln w="28575" cap="rnd">
        <a:solidFill>
          <a:schemeClr val="phClr"/>
        </a:solidFill>
        <a:round/>
      </a:ln>
    </cs:spPr>
  </cs:dataPointLine>
  <cs:dataPointMarker>
    <cs:lnRef idx="0"/>
    <cs:fillRef idx="0">
      <cs:styleClr val="auto"/>
    </cs:fillRef>
    <cs:effectRef idx="0"/>
    <cs:fontRef idx="minor">
      <a:schemeClr val="dk1"/>
    </cs:fontRef>
    <cs:spPr>
      <a:solidFill>
        <a:schemeClr val="phClr"/>
      </a:solidFill>
      <a:ln w="9525">
        <a:solidFill>
          <a:schemeClr val="lt1"/>
        </a:solidFill>
      </a:ln>
    </cs:spPr>
  </cs:dataPointMarker>
  <cs:dataPointMarkerLayout symbol="circle" size="6"/>
  <cs:dataPointWirefram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ln w="9525">
        <a:solidFill>
          <a:schemeClr val="tx1">
            <a:lumMod val="15000"/>
            <a:lumOff val="85000"/>
          </a:schemeClr>
        </a:solidFill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75000"/>
          <a:lumOff val="25000"/>
        </a:schemeClr>
      </a:solidFill>
      <a:ln w="9525">
        <a:solidFill>
          <a:schemeClr val="tx1">
            <a:lumMod val="50000"/>
            <a:lumOff val="50000"/>
          </a:schemeClr>
        </a:solidFill>
      </a:ln>
    </cs:spPr>
  </cs:downBar>
  <cs:dropLine>
    <cs:lnRef idx="0"/>
    <cs:fillRef idx="0"/>
    <cs:effectRef idx="0"/>
    <cs:fontRef idx="minor">
      <a:schemeClr val="dk1"/>
    </cs:fontRef>
    <cs:spPr>
      <a:ln w="9525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dk1"/>
    </cs:fontRef>
    <cs:spPr>
      <a:ln w="9525">
        <a:solidFill>
          <a:schemeClr val="tx1">
            <a:lumMod val="50000"/>
            <a:lumOff val="50000"/>
          </a:schemeClr>
        </a:solidFill>
        <a:round/>
      </a:ln>
    </cs:spPr>
  </cs:errorBar>
  <cs:floor>
    <cs:lnRef idx="0"/>
    <cs:fillRef idx="0"/>
    <cs:effectRef idx="0"/>
    <cs:fontRef idx="minor">
      <a:schemeClr val="dk1"/>
    </cs:fontRef>
  </cs:floor>
  <cs:gridlineMajor>
    <cs:lnRef idx="0"/>
    <cs:fillRef idx="0"/>
    <cs:effectRef idx="0"/>
    <cs:fontRef idx="minor">
      <a:schemeClr val="dk1"/>
    </cs:fontRef>
    <cs:spPr>
      <a:ln>
        <a:solidFill>
          <a:schemeClr val="tx1">
            <a:lumMod val="15000"/>
            <a:lumOff val="85000"/>
          </a:schemeClr>
        </a:solidFill>
      </a:ln>
    </cs:spPr>
  </cs:gridlineMajor>
  <cs:gridlineMinor>
    <cs:lnRef idx="0"/>
    <cs:fillRef idx="0"/>
    <cs:effectRef idx="0"/>
    <cs:fontRef idx="minor">
      <a:schemeClr val="dk1"/>
    </cs:fontRef>
    <cs:spPr>
      <a:ln>
        <a:solidFill>
          <a:schemeClr val="tx1">
            <a:lumMod val="5000"/>
            <a:lumOff val="95000"/>
          </a:schemeClr>
        </a:solidFill>
      </a:ln>
    </cs:spPr>
  </cs:gridlineMinor>
  <cs:hiLoLine>
    <cs:lnRef idx="0"/>
    <cs:fillRef idx="0"/>
    <cs:effectRef idx="0"/>
    <cs:fontRef idx="minor">
      <a:schemeClr val="dk1"/>
    </cs:fontRef>
    <cs:spPr>
      <a:ln w="9525">
        <a:solidFill>
          <a:schemeClr val="tx1">
            <a:lumMod val="35000"/>
            <a:lumOff val="65000"/>
          </a:schemeClr>
        </a:solidFill>
        <a:round/>
      </a:ln>
    </cs:spPr>
  </cs:hiLoLine>
  <cs:leaderLine>
    <cs:lnRef idx="0"/>
    <cs:fillRef idx="0"/>
    <cs:effectRef idx="0"/>
    <cs:fontRef idx="minor">
      <a:schemeClr val="dk1"/>
    </cs:fontRef>
    <cs:spPr>
      <a:ln w="9525">
        <a:solidFill>
          <a:schemeClr val="tx1">
            <a:lumMod val="35000"/>
            <a:lumOff val="65000"/>
          </a:schemeClr>
        </a:solidFill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dk1"/>
    </cs:fontRef>
  </cs:plotArea>
  <cs:plotArea3D mods="allowNoFillOverride allowNoLineOverride">
    <cs:lnRef idx="0"/>
    <cs:fillRef idx="0"/>
    <cs:effectRef idx="0"/>
    <cs:fontRef idx="minor">
      <a:schemeClr val="dk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dk1"/>
    </cs:fontRef>
    <cs:spPr>
      <a:ln w="9525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50000"/>
        <a:lumOff val="50000"/>
      </a:schemeClr>
    </cs:fontRef>
    <cs:defRPr sz="1800" b="1" kern="1200" cap="all" spc="150" baseline="0"/>
  </cs:title>
  <cs:trendline>
    <cs:lnRef idx="0">
      <cs:styleClr val="auto"/>
    </cs:lnRef>
    <cs:fillRef idx="0"/>
    <cs:effectRef idx="0"/>
    <cs:fontRef idx="minor">
      <a:schemeClr val="dk1"/>
    </cs:fontRef>
    <cs:spPr>
      <a:ln w="19050" cap="rnd">
        <a:solidFill>
          <a:schemeClr val="phClr"/>
        </a:solidFill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50000"/>
            <a:lumOff val="50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dk1"/>
    </cs:fontRef>
  </cs:wall>
</cs:chartStyle>
</file>

<file path=word/charts/style9.xml><?xml version="1.0" encoding="utf-8"?>
<cs:chartStyle xmlns:cs="http://schemas.microsoft.com/office/drawing/2012/chartStyle" xmlns:a="http://schemas.openxmlformats.org/drawingml/2006/main" id="217">
  <cs:axisTitle>
    <cs:lnRef idx="0"/>
    <cs:fillRef idx="0"/>
    <cs:effectRef idx="0"/>
    <cs:fontRef idx="minor">
      <a:schemeClr val="tx1">
        <a:lumMod val="65000"/>
        <a:lumOff val="35000"/>
      </a:schemeClr>
    </cs:fontRef>
    <cs:defRPr sz="900" b="1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19050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dk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0">
      <cs:styleClr val="auto"/>
    </cs:fillRef>
    <cs:effectRef idx="0">
      <cs:styleClr val="auto"/>
    </cs:effectRef>
    <cs:fontRef idx="minor">
      <a:schemeClr val="dk1"/>
    </cs:fontRef>
    <cs:spPr>
      <a:pattFill prst="narVert">
        <a:fgClr>
          <a:schemeClr val="phClr"/>
        </a:fgClr>
        <a:bgClr>
          <a:schemeClr val="phClr">
            <a:lumMod val="20000"/>
            <a:lumOff val="80000"/>
          </a:schemeClr>
        </a:bgClr>
      </a:pattFill>
      <a:effectLst>
        <a:innerShdw blurRad="114300">
          <a:schemeClr val="phClr"/>
        </a:innerShdw>
      </a:effectLst>
    </cs:spPr>
  </cs:dataPoint>
  <cs:dataPoint3D>
    <cs:lnRef idx="0"/>
    <cs:fillRef idx="0">
      <cs:styleClr val="auto"/>
    </cs:fillRef>
    <cs:effectRef idx="0"/>
    <cs:fontRef idx="minor">
      <a:schemeClr val="dk1"/>
    </cs:fontRef>
    <cs:spPr>
      <a:pattFill prst="narVert">
        <a:fgClr>
          <a:schemeClr val="phClr"/>
        </a:fgClr>
        <a:bgClr>
          <a:schemeClr val="phClr">
            <a:lumMod val="20000"/>
            <a:lumOff val="80000"/>
          </a:schemeClr>
        </a:bgClr>
      </a:pattFill>
      <a:effectLst>
        <a:innerShdw blurRad="114300">
          <a:schemeClr val="phClr"/>
        </a:innerShdw>
      </a:effectLst>
    </cs:spPr>
  </cs:dataPoint3D>
  <cs:dataPointLine>
    <cs:lnRef idx="0">
      <cs:styleClr val="auto"/>
    </cs:lnRef>
    <cs:fillRef idx="0"/>
    <cs:effectRef idx="0"/>
    <cs:fontRef idx="minor">
      <a:schemeClr val="dk1"/>
    </cs:fontRef>
    <cs:spPr>
      <a:ln w="28575" cap="rnd">
        <a:solidFill>
          <a:schemeClr val="phClr"/>
        </a:solidFill>
        <a:round/>
      </a:ln>
    </cs:spPr>
  </cs:dataPointLine>
  <cs:dataPointMarker>
    <cs:lnRef idx="0"/>
    <cs:fillRef idx="0">
      <cs:styleClr val="auto"/>
    </cs:fillRef>
    <cs:effectRef idx="0"/>
    <cs:fontRef idx="minor">
      <a:schemeClr val="dk1"/>
    </cs:fontRef>
    <cs:spPr>
      <a:solidFill>
        <a:schemeClr val="phClr"/>
      </a:solidFill>
    </cs:spPr>
  </cs:dataPointMarker>
  <cs:dataPointMarkerLayout symbol="circle" size="6"/>
  <cs:dataPointWirefram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ln w="9525">
        <a:solidFill>
          <a:schemeClr val="tx1">
            <a:lumMod val="15000"/>
            <a:lumOff val="85000"/>
          </a:schemeClr>
        </a:solidFill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75000"/>
          <a:lumOff val="25000"/>
        </a:schemeClr>
      </a:solidFill>
      <a:ln w="9525">
        <a:solidFill>
          <a:schemeClr val="tx1">
            <a:lumMod val="50000"/>
            <a:lumOff val="50000"/>
          </a:schemeClr>
        </a:solidFill>
      </a:ln>
    </cs:spPr>
  </cs:downBar>
  <cs:dropLine>
    <cs:lnRef idx="0"/>
    <cs:fillRef idx="0"/>
    <cs:effectRef idx="0"/>
    <cs:fontRef idx="minor">
      <a:schemeClr val="dk1"/>
    </cs:fontRef>
    <cs:spPr>
      <a:ln w="9525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dk1"/>
    </cs:fontRef>
    <cs:spPr>
      <a:ln w="9525">
        <a:solidFill>
          <a:schemeClr val="tx1">
            <a:lumMod val="50000"/>
            <a:lumOff val="50000"/>
          </a:schemeClr>
        </a:solidFill>
        <a:round/>
      </a:ln>
    </cs:spPr>
  </cs:errorBar>
  <cs:floor>
    <cs:lnRef idx="0"/>
    <cs:fillRef idx="0"/>
    <cs:effectRef idx="0"/>
    <cs:fontRef idx="minor">
      <a:schemeClr val="dk1"/>
    </cs:fontRef>
  </cs:floor>
  <cs:gridlineMajor>
    <cs:lnRef idx="0"/>
    <cs:fillRef idx="0"/>
    <cs:effectRef idx="0"/>
    <cs:fontRef idx="minor">
      <a:schemeClr val="dk1"/>
    </cs:fontRef>
    <cs:spPr>
      <a:ln>
        <a:solidFill>
          <a:schemeClr val="tx1">
            <a:lumMod val="15000"/>
            <a:lumOff val="85000"/>
          </a:schemeClr>
        </a:solidFill>
      </a:ln>
    </cs:spPr>
  </cs:gridlineMajor>
  <cs:gridlineMinor>
    <cs:lnRef idx="0"/>
    <cs:fillRef idx="0"/>
    <cs:effectRef idx="0"/>
    <cs:fontRef idx="minor">
      <a:schemeClr val="dk1"/>
    </cs:fontRef>
    <cs:spPr>
      <a:ln>
        <a:solidFill>
          <a:schemeClr val="tx1">
            <a:lumMod val="5000"/>
            <a:lumOff val="95000"/>
          </a:schemeClr>
        </a:solidFill>
      </a:ln>
    </cs:spPr>
  </cs:gridlineMinor>
  <cs:hiLoLine>
    <cs:lnRef idx="0"/>
    <cs:fillRef idx="0"/>
    <cs:effectRef idx="0"/>
    <cs:fontRef idx="minor">
      <a:schemeClr val="dk1"/>
    </cs:fontRef>
    <cs:spPr>
      <a:ln w="9525">
        <a:solidFill>
          <a:schemeClr val="tx1">
            <a:lumMod val="35000"/>
            <a:lumOff val="65000"/>
          </a:schemeClr>
        </a:solidFill>
        <a:round/>
      </a:ln>
    </cs:spPr>
  </cs:hiLoLine>
  <cs:leaderLine>
    <cs:lnRef idx="0"/>
    <cs:fillRef idx="0"/>
    <cs:effectRef idx="0"/>
    <cs:fontRef idx="minor">
      <a:schemeClr val="dk1"/>
    </cs:fontRef>
    <cs:spPr>
      <a:ln w="9525">
        <a:solidFill>
          <a:schemeClr val="tx1">
            <a:lumMod val="35000"/>
            <a:lumOff val="65000"/>
          </a:schemeClr>
        </a:solidFill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dk1"/>
    </cs:fontRef>
  </cs:plotArea>
  <cs:plotArea3D mods="allowNoFillOverride allowNoLineOverride">
    <cs:lnRef idx="0"/>
    <cs:fillRef idx="0"/>
    <cs:effectRef idx="0"/>
    <cs:fontRef idx="minor">
      <a:schemeClr val="dk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dk1"/>
    </cs:fontRef>
    <cs:spPr>
      <a:ln w="9525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50000"/>
        <a:lumOff val="50000"/>
      </a:schemeClr>
    </cs:fontRef>
    <cs:defRPr sz="1800" b="1" kern="1200" cap="all" spc="150" baseline="0"/>
  </cs:title>
  <cs:trendline>
    <cs:lnRef idx="0">
      <cs:styleClr val="auto"/>
    </cs:lnRef>
    <cs:fillRef idx="0"/>
    <cs:effectRef idx="0"/>
    <cs:fontRef idx="minor">
      <a:schemeClr val="dk1"/>
    </cs:fontRef>
    <cs:spPr>
      <a:ln w="19050" cap="rnd">
        <a:solidFill>
          <a:schemeClr val="phClr"/>
        </a:solidFill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50000"/>
            <a:lumOff val="50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dk1"/>
    </cs:fontRef>
  </cs:wall>
</cs:chartStyle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9C66F80-190B-4E79-B81D-5723A00EB9A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1642</TotalTime>
  <Pages>1</Pages>
  <Words>5012</Words>
  <Characters>28573</Characters>
  <Application>Microsoft Office Word</Application>
  <DocSecurity>0</DocSecurity>
  <Lines>238</Lines>
  <Paragraphs>67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33518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ыв</dc:creator>
  <cp:keywords/>
  <dc:description/>
  <cp:lastModifiedBy>ыв</cp:lastModifiedBy>
  <cp:revision>21</cp:revision>
  <dcterms:created xsi:type="dcterms:W3CDTF">2023-03-12T05:43:00Z</dcterms:created>
  <dcterms:modified xsi:type="dcterms:W3CDTF">2023-04-03T18:53:00Z</dcterms:modified>
</cp:coreProperties>
</file>