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0149" w:rsidRDefault="008D700E" w:rsidP="00FA16B5">
      <w:pPr>
        <w:spacing w:after="0" w:line="360" w:lineRule="auto"/>
        <w:ind w:firstLine="709"/>
        <w:jc w:val="center"/>
        <w:rPr>
          <w:rFonts w:ascii="Times New Roman" w:hAnsi="Times New Roman" w:cs="Times New Roman"/>
          <w:b/>
          <w:sz w:val="28"/>
        </w:rPr>
      </w:pPr>
      <w:r w:rsidRPr="001F3C9C">
        <w:rPr>
          <w:rFonts w:ascii="Times New Roman" w:hAnsi="Times New Roman" w:cs="Times New Roman"/>
          <w:b/>
          <w:sz w:val="28"/>
        </w:rPr>
        <w:t>ПРОПАГАНДА КАК ТЕХНОЛОГИЯ ПОЛИТИЧЕСКОГО МАНИПУЛИРОВАНИЯ. ОСОБЕННОСТИ ИСПОЛЬЗОВАНИЕ ПРОПАГАНДЫ И АГИТАЦИИ В ГЕРМАНИИ И В СОВЕТСКОМ СОЮЗЕ.</w:t>
      </w:r>
    </w:p>
    <w:p w:rsidR="003051EE" w:rsidRDefault="003051EE" w:rsidP="003051EE">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Рубцова Алёна Николаевна</w:t>
      </w:r>
    </w:p>
    <w:p w:rsidR="003051EE" w:rsidRDefault="003051EE" w:rsidP="003051EE">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Кузьменко Екатерина Станиславовна</w:t>
      </w:r>
    </w:p>
    <w:p w:rsidR="003051EE" w:rsidRPr="00C74BB2" w:rsidRDefault="003051EE" w:rsidP="003051EE">
      <w:pPr>
        <w:spacing w:after="0" w:line="360" w:lineRule="auto"/>
        <w:jc w:val="right"/>
        <w:rPr>
          <w:rFonts w:ascii="Times New Roman" w:hAnsi="Times New Roman" w:cs="Times New Roman"/>
          <w:b/>
          <w:sz w:val="28"/>
          <w:szCs w:val="28"/>
        </w:rPr>
      </w:pPr>
      <w:r>
        <w:rPr>
          <w:rFonts w:ascii="Times New Roman" w:hAnsi="Times New Roman" w:cs="Times New Roman"/>
          <w:sz w:val="28"/>
          <w:szCs w:val="28"/>
        </w:rPr>
        <w:t>с</w:t>
      </w:r>
      <w:r w:rsidRPr="00960116">
        <w:rPr>
          <w:rFonts w:ascii="Times New Roman" w:hAnsi="Times New Roman" w:cs="Times New Roman"/>
          <w:sz w:val="28"/>
          <w:szCs w:val="28"/>
        </w:rPr>
        <w:t>туденты</w:t>
      </w:r>
      <w:r w:rsidRPr="00C74BB2">
        <w:rPr>
          <w:rFonts w:ascii="Times New Roman" w:hAnsi="Times New Roman" w:cs="Times New Roman"/>
          <w:b/>
          <w:sz w:val="28"/>
          <w:szCs w:val="28"/>
        </w:rPr>
        <w:br/>
      </w:r>
      <w:r w:rsidRPr="006A02BD">
        <w:rPr>
          <w:rFonts w:ascii="Times New Roman" w:hAnsi="Times New Roman" w:cs="Times New Roman"/>
          <w:sz w:val="28"/>
          <w:szCs w:val="28"/>
        </w:rPr>
        <w:t>Научный руководитель:</w:t>
      </w:r>
      <w:r w:rsidRPr="00C74BB2">
        <w:rPr>
          <w:rFonts w:ascii="Times New Roman" w:hAnsi="Times New Roman" w:cs="Times New Roman"/>
          <w:b/>
          <w:sz w:val="28"/>
          <w:szCs w:val="28"/>
        </w:rPr>
        <w:t xml:space="preserve"> </w:t>
      </w:r>
      <w:r>
        <w:rPr>
          <w:rFonts w:ascii="Times New Roman" w:hAnsi="Times New Roman" w:cs="Times New Roman"/>
          <w:b/>
          <w:sz w:val="28"/>
          <w:szCs w:val="28"/>
        </w:rPr>
        <w:t>Николенко Анастасия Алексеевна</w:t>
      </w:r>
    </w:p>
    <w:p w:rsidR="003051EE" w:rsidRPr="00960116" w:rsidRDefault="003051EE" w:rsidP="003051EE">
      <w:pPr>
        <w:spacing w:after="0" w:line="360" w:lineRule="auto"/>
        <w:jc w:val="right"/>
        <w:rPr>
          <w:rFonts w:ascii="Times New Roman" w:hAnsi="Times New Roman" w:cs="Times New Roman"/>
          <w:sz w:val="28"/>
          <w:szCs w:val="28"/>
        </w:rPr>
      </w:pPr>
      <w:proofErr w:type="spellStart"/>
      <w:r>
        <w:rPr>
          <w:rFonts w:ascii="Times New Roman" w:hAnsi="Times New Roman" w:cs="Times New Roman"/>
          <w:sz w:val="28"/>
          <w:szCs w:val="28"/>
        </w:rPr>
        <w:t>к</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полит.н</w:t>
      </w:r>
      <w:proofErr w:type="spellEnd"/>
      <w:r w:rsidRPr="00960116">
        <w:rPr>
          <w:rFonts w:ascii="Times New Roman" w:hAnsi="Times New Roman" w:cs="Times New Roman"/>
          <w:sz w:val="28"/>
          <w:szCs w:val="28"/>
        </w:rPr>
        <w:t>., доцент</w:t>
      </w:r>
    </w:p>
    <w:p w:rsidR="008D700E" w:rsidRDefault="003051EE" w:rsidP="00F34E87">
      <w:pPr>
        <w:spacing w:after="120" w:line="360" w:lineRule="auto"/>
        <w:jc w:val="right"/>
        <w:rPr>
          <w:rFonts w:ascii="Times New Roman" w:hAnsi="Times New Roman" w:cs="Times New Roman"/>
          <w:bCs/>
          <w:sz w:val="28"/>
          <w:szCs w:val="28"/>
        </w:rPr>
      </w:pPr>
      <w:r w:rsidRPr="00960116">
        <w:rPr>
          <w:rFonts w:ascii="Times New Roman" w:hAnsi="Times New Roman" w:cs="Times New Roman"/>
          <w:bCs/>
          <w:sz w:val="28"/>
          <w:szCs w:val="28"/>
        </w:rPr>
        <w:t>ФГБОУ ВО "Владивостокский государственный университет»</w:t>
      </w:r>
    </w:p>
    <w:p w:rsidR="008D700E" w:rsidRDefault="003051EE" w:rsidP="008D700E">
      <w:pPr>
        <w:spacing w:after="0" w:line="360" w:lineRule="auto"/>
        <w:ind w:firstLine="567"/>
        <w:jc w:val="both"/>
        <w:rPr>
          <w:rFonts w:ascii="Times New Roman" w:hAnsi="Times New Roman" w:cs="Times New Roman"/>
          <w:bCs/>
          <w:sz w:val="28"/>
          <w:szCs w:val="28"/>
        </w:rPr>
      </w:pPr>
      <w:r w:rsidRPr="008D700E">
        <w:rPr>
          <w:rFonts w:ascii="Times New Roman" w:hAnsi="Times New Roman" w:cs="Times New Roman"/>
          <w:b/>
          <w:bCs/>
          <w:sz w:val="28"/>
          <w:szCs w:val="28"/>
        </w:rPr>
        <w:t>Аннотация:</w:t>
      </w:r>
      <w:r w:rsidR="00BF7EE2" w:rsidRPr="008D700E">
        <w:rPr>
          <w:b/>
        </w:rPr>
        <w:t xml:space="preserve"> </w:t>
      </w:r>
      <w:r w:rsidR="006A7D8F" w:rsidRPr="006A7D8F">
        <w:rPr>
          <w:rFonts w:ascii="Times New Roman" w:hAnsi="Times New Roman" w:cs="Times New Roman"/>
          <w:bCs/>
          <w:sz w:val="28"/>
          <w:szCs w:val="28"/>
        </w:rPr>
        <w:t>Цель исследования</w:t>
      </w:r>
      <w:r w:rsidR="006A7D8F">
        <w:rPr>
          <w:rFonts w:ascii="Times New Roman" w:hAnsi="Times New Roman" w:cs="Times New Roman"/>
          <w:bCs/>
          <w:sz w:val="28"/>
          <w:szCs w:val="28"/>
        </w:rPr>
        <w:t xml:space="preserve"> </w:t>
      </w:r>
      <w:r w:rsidR="0074038E">
        <w:rPr>
          <w:rFonts w:ascii="Times New Roman" w:hAnsi="Times New Roman" w:cs="Times New Roman"/>
          <w:bCs/>
          <w:sz w:val="28"/>
          <w:szCs w:val="28"/>
        </w:rPr>
        <w:t xml:space="preserve">– определить роль пропаганды в политической сфере, а также особенности её развития в Германии и Советском Союзе. </w:t>
      </w:r>
      <w:r w:rsidR="006A7D8F">
        <w:rPr>
          <w:rFonts w:ascii="Times New Roman" w:hAnsi="Times New Roman" w:cs="Times New Roman"/>
          <w:bCs/>
          <w:sz w:val="28"/>
          <w:szCs w:val="28"/>
        </w:rPr>
        <w:t xml:space="preserve">В </w:t>
      </w:r>
      <w:r w:rsidR="00BF7EE2" w:rsidRPr="00BF7EE2">
        <w:rPr>
          <w:rFonts w:ascii="Times New Roman" w:hAnsi="Times New Roman" w:cs="Times New Roman"/>
          <w:bCs/>
          <w:sz w:val="28"/>
          <w:szCs w:val="28"/>
        </w:rPr>
        <w:t>данной ст</w:t>
      </w:r>
      <w:r w:rsidR="00607488">
        <w:rPr>
          <w:rFonts w:ascii="Times New Roman" w:hAnsi="Times New Roman" w:cs="Times New Roman"/>
          <w:bCs/>
          <w:sz w:val="28"/>
          <w:szCs w:val="28"/>
        </w:rPr>
        <w:t>атье рассматривается проблема пропаганды как инструмента политического манипулирования</w:t>
      </w:r>
      <w:r w:rsidR="0074038E">
        <w:rPr>
          <w:rFonts w:ascii="Times New Roman" w:hAnsi="Times New Roman" w:cs="Times New Roman"/>
          <w:bCs/>
          <w:sz w:val="28"/>
          <w:szCs w:val="28"/>
        </w:rPr>
        <w:t xml:space="preserve">. </w:t>
      </w:r>
      <w:r w:rsidR="0074038E" w:rsidRPr="0074038E">
        <w:rPr>
          <w:rFonts w:ascii="Times New Roman" w:hAnsi="Times New Roman" w:cs="Times New Roman"/>
          <w:bCs/>
          <w:sz w:val="28"/>
          <w:szCs w:val="28"/>
        </w:rPr>
        <w:t>Выделяются и описываются характерные особенности</w:t>
      </w:r>
      <w:r w:rsidR="0074038E">
        <w:rPr>
          <w:rFonts w:ascii="Times New Roman" w:hAnsi="Times New Roman" w:cs="Times New Roman"/>
          <w:bCs/>
          <w:sz w:val="28"/>
          <w:szCs w:val="28"/>
        </w:rPr>
        <w:t xml:space="preserve"> использования</w:t>
      </w:r>
      <w:r w:rsidR="0074038E" w:rsidRPr="0074038E">
        <w:rPr>
          <w:rFonts w:ascii="Times New Roman" w:hAnsi="Times New Roman" w:cs="Times New Roman"/>
          <w:bCs/>
          <w:sz w:val="28"/>
          <w:szCs w:val="28"/>
        </w:rPr>
        <w:t xml:space="preserve"> пропаганды и агитации</w:t>
      </w:r>
      <w:r w:rsidR="0074038E">
        <w:rPr>
          <w:rFonts w:ascii="Times New Roman" w:hAnsi="Times New Roman" w:cs="Times New Roman"/>
          <w:bCs/>
          <w:sz w:val="28"/>
          <w:szCs w:val="28"/>
        </w:rPr>
        <w:t xml:space="preserve"> в Германии и в Советском Союзе. </w:t>
      </w:r>
      <w:r w:rsidR="008D700E">
        <w:rPr>
          <w:rFonts w:ascii="Times New Roman" w:hAnsi="Times New Roman" w:cs="Times New Roman"/>
          <w:bCs/>
          <w:sz w:val="28"/>
          <w:szCs w:val="28"/>
        </w:rPr>
        <w:t>Р</w:t>
      </w:r>
      <w:r w:rsidR="0074038E" w:rsidRPr="0074038E">
        <w:rPr>
          <w:rFonts w:ascii="Times New Roman" w:hAnsi="Times New Roman" w:cs="Times New Roman"/>
          <w:bCs/>
          <w:sz w:val="28"/>
          <w:szCs w:val="28"/>
        </w:rPr>
        <w:t>ассматриваются приемы политической пропаганды, применяемые в качестве основных манипулятивных технологий в</w:t>
      </w:r>
      <w:r w:rsidR="008D700E">
        <w:rPr>
          <w:rFonts w:ascii="Times New Roman" w:hAnsi="Times New Roman" w:cs="Times New Roman"/>
          <w:bCs/>
          <w:sz w:val="28"/>
          <w:szCs w:val="28"/>
        </w:rPr>
        <w:t>оздействия на массовое сознание.</w:t>
      </w:r>
    </w:p>
    <w:p w:rsidR="008D700E" w:rsidRDefault="003051EE" w:rsidP="008D700E">
      <w:pPr>
        <w:spacing w:after="120" w:line="360" w:lineRule="auto"/>
        <w:ind w:firstLine="567"/>
        <w:jc w:val="both"/>
        <w:rPr>
          <w:rFonts w:ascii="Times New Roman" w:hAnsi="Times New Roman" w:cs="Times New Roman"/>
          <w:bCs/>
          <w:sz w:val="28"/>
          <w:szCs w:val="28"/>
        </w:rPr>
      </w:pPr>
      <w:r w:rsidRPr="008D700E">
        <w:rPr>
          <w:rFonts w:ascii="Times New Roman" w:hAnsi="Times New Roman" w:cs="Times New Roman"/>
          <w:b/>
          <w:bCs/>
          <w:sz w:val="28"/>
          <w:szCs w:val="28"/>
        </w:rPr>
        <w:t xml:space="preserve">Ключевые слова: </w:t>
      </w:r>
      <w:r w:rsidR="00607488">
        <w:rPr>
          <w:rFonts w:ascii="Times New Roman" w:hAnsi="Times New Roman" w:cs="Times New Roman"/>
          <w:bCs/>
          <w:sz w:val="28"/>
          <w:szCs w:val="28"/>
        </w:rPr>
        <w:t>пропаганда, Советский Союз, Германия, влияние, агитация, особенности</w:t>
      </w:r>
      <w:r w:rsidR="006A7D8F">
        <w:rPr>
          <w:rFonts w:ascii="Times New Roman" w:hAnsi="Times New Roman" w:cs="Times New Roman"/>
          <w:bCs/>
          <w:sz w:val="28"/>
          <w:szCs w:val="28"/>
        </w:rPr>
        <w:t>, концепции, формирование взглядов</w:t>
      </w:r>
      <w:r w:rsidR="00607488">
        <w:rPr>
          <w:rFonts w:ascii="Times New Roman" w:hAnsi="Times New Roman" w:cs="Times New Roman"/>
          <w:bCs/>
          <w:sz w:val="28"/>
          <w:szCs w:val="28"/>
        </w:rPr>
        <w:t xml:space="preserve"> </w:t>
      </w:r>
    </w:p>
    <w:p w:rsidR="008D700E" w:rsidRPr="008D700E" w:rsidRDefault="008D700E" w:rsidP="008D700E">
      <w:pPr>
        <w:spacing w:after="0" w:line="360" w:lineRule="auto"/>
        <w:ind w:firstLine="567"/>
        <w:jc w:val="center"/>
        <w:rPr>
          <w:rFonts w:ascii="Times New Roman" w:hAnsi="Times New Roman" w:cs="Times New Roman"/>
          <w:b/>
          <w:bCs/>
          <w:sz w:val="28"/>
          <w:szCs w:val="28"/>
          <w:lang w:val="en-US"/>
        </w:rPr>
      </w:pPr>
      <w:r w:rsidRPr="008D700E">
        <w:rPr>
          <w:rFonts w:ascii="Times New Roman" w:hAnsi="Times New Roman" w:cs="Times New Roman"/>
          <w:b/>
          <w:bCs/>
          <w:sz w:val="28"/>
          <w:szCs w:val="28"/>
          <w:lang w:val="en-US"/>
        </w:rPr>
        <w:t>PROPAGANDA AS A TECHNOLOGY OF POLITICAL MANIPULATION. FEATURES OF THE USE OF PROPAGANDA AND AGITATION IN GERMANY AND IN THE SOVIET UNION.</w:t>
      </w:r>
    </w:p>
    <w:p w:rsidR="008D700E" w:rsidRPr="008D700E" w:rsidRDefault="008D700E" w:rsidP="008D700E">
      <w:pPr>
        <w:spacing w:after="0" w:line="360" w:lineRule="auto"/>
        <w:ind w:firstLine="567"/>
        <w:jc w:val="right"/>
        <w:rPr>
          <w:rFonts w:ascii="Times New Roman" w:hAnsi="Times New Roman" w:cs="Times New Roman"/>
          <w:b/>
          <w:bCs/>
          <w:sz w:val="28"/>
          <w:szCs w:val="28"/>
          <w:lang w:val="en-US"/>
        </w:rPr>
      </w:pPr>
      <w:r w:rsidRPr="008D700E">
        <w:rPr>
          <w:rFonts w:ascii="Times New Roman" w:hAnsi="Times New Roman" w:cs="Times New Roman"/>
          <w:b/>
          <w:bCs/>
          <w:sz w:val="28"/>
          <w:szCs w:val="28"/>
          <w:lang w:val="en-US"/>
        </w:rPr>
        <w:t xml:space="preserve">Rubtsova </w:t>
      </w:r>
      <w:r w:rsidR="00245D20">
        <w:rPr>
          <w:rFonts w:ascii="Times New Roman" w:hAnsi="Times New Roman" w:cs="Times New Roman"/>
          <w:b/>
          <w:bCs/>
          <w:sz w:val="28"/>
          <w:szCs w:val="28"/>
          <w:lang w:val="en-US"/>
        </w:rPr>
        <w:t>Alyona</w:t>
      </w:r>
      <w:r w:rsidRPr="008D700E">
        <w:rPr>
          <w:rFonts w:ascii="Times New Roman" w:hAnsi="Times New Roman" w:cs="Times New Roman"/>
          <w:b/>
          <w:bCs/>
          <w:sz w:val="28"/>
          <w:szCs w:val="28"/>
          <w:lang w:val="en-US"/>
        </w:rPr>
        <w:t xml:space="preserve"> </w:t>
      </w:r>
      <w:proofErr w:type="spellStart"/>
      <w:r w:rsidRPr="008D700E">
        <w:rPr>
          <w:rFonts w:ascii="Times New Roman" w:hAnsi="Times New Roman" w:cs="Times New Roman"/>
          <w:b/>
          <w:bCs/>
          <w:sz w:val="28"/>
          <w:szCs w:val="28"/>
          <w:lang w:val="en-US"/>
        </w:rPr>
        <w:t>Nikolaevna</w:t>
      </w:r>
      <w:proofErr w:type="spellEnd"/>
    </w:p>
    <w:p w:rsidR="008D700E" w:rsidRPr="008D700E" w:rsidRDefault="008D700E" w:rsidP="008D700E">
      <w:pPr>
        <w:spacing w:after="0" w:line="360" w:lineRule="auto"/>
        <w:ind w:firstLine="567"/>
        <w:jc w:val="right"/>
        <w:rPr>
          <w:rFonts w:ascii="Times New Roman" w:hAnsi="Times New Roman" w:cs="Times New Roman"/>
          <w:b/>
          <w:bCs/>
          <w:sz w:val="28"/>
          <w:szCs w:val="28"/>
          <w:lang w:val="en-US"/>
        </w:rPr>
      </w:pPr>
      <w:proofErr w:type="spellStart"/>
      <w:r w:rsidRPr="008D700E">
        <w:rPr>
          <w:rFonts w:ascii="Times New Roman" w:hAnsi="Times New Roman" w:cs="Times New Roman"/>
          <w:b/>
          <w:bCs/>
          <w:sz w:val="28"/>
          <w:szCs w:val="28"/>
          <w:lang w:val="en-US"/>
        </w:rPr>
        <w:t>Kuzmenko</w:t>
      </w:r>
      <w:proofErr w:type="spellEnd"/>
      <w:r w:rsidRPr="008D700E">
        <w:rPr>
          <w:rFonts w:ascii="Times New Roman" w:hAnsi="Times New Roman" w:cs="Times New Roman"/>
          <w:b/>
          <w:bCs/>
          <w:sz w:val="28"/>
          <w:szCs w:val="28"/>
          <w:lang w:val="en-US"/>
        </w:rPr>
        <w:t xml:space="preserve"> Ekaterina </w:t>
      </w:r>
      <w:proofErr w:type="spellStart"/>
      <w:r w:rsidRPr="008D700E">
        <w:rPr>
          <w:rFonts w:ascii="Times New Roman" w:hAnsi="Times New Roman" w:cs="Times New Roman"/>
          <w:b/>
          <w:bCs/>
          <w:sz w:val="28"/>
          <w:szCs w:val="28"/>
          <w:lang w:val="en-US"/>
        </w:rPr>
        <w:t>Stanislavovna</w:t>
      </w:r>
      <w:proofErr w:type="spellEnd"/>
    </w:p>
    <w:p w:rsidR="008D700E" w:rsidRPr="008D700E" w:rsidRDefault="008D700E" w:rsidP="008D700E">
      <w:pPr>
        <w:spacing w:after="0" w:line="360" w:lineRule="auto"/>
        <w:ind w:firstLine="567"/>
        <w:jc w:val="right"/>
        <w:rPr>
          <w:rFonts w:ascii="Times New Roman" w:hAnsi="Times New Roman" w:cs="Times New Roman"/>
          <w:b/>
          <w:bCs/>
          <w:sz w:val="28"/>
          <w:szCs w:val="28"/>
          <w:lang w:val="en-US"/>
        </w:rPr>
      </w:pPr>
      <w:r w:rsidRPr="008D700E">
        <w:rPr>
          <w:rFonts w:ascii="Times New Roman" w:hAnsi="Times New Roman" w:cs="Times New Roman"/>
          <w:bCs/>
          <w:sz w:val="28"/>
          <w:szCs w:val="28"/>
          <w:lang w:val="en-US"/>
        </w:rPr>
        <w:t>Scientific adviser:</w:t>
      </w:r>
      <w:r w:rsidRPr="008D700E">
        <w:rPr>
          <w:rFonts w:ascii="Times New Roman" w:hAnsi="Times New Roman" w:cs="Times New Roman"/>
          <w:b/>
          <w:bCs/>
          <w:sz w:val="28"/>
          <w:szCs w:val="28"/>
          <w:lang w:val="en-US"/>
        </w:rPr>
        <w:t xml:space="preserve"> </w:t>
      </w:r>
      <w:proofErr w:type="spellStart"/>
      <w:r w:rsidR="00245D20" w:rsidRPr="008D700E">
        <w:rPr>
          <w:rFonts w:ascii="Times New Roman" w:hAnsi="Times New Roman" w:cs="Times New Roman"/>
          <w:b/>
          <w:bCs/>
          <w:sz w:val="28"/>
          <w:szCs w:val="28"/>
          <w:lang w:val="en-US"/>
        </w:rPr>
        <w:t>Nikolenko</w:t>
      </w:r>
      <w:proofErr w:type="spellEnd"/>
      <w:r w:rsidR="00245D20" w:rsidRPr="008D700E">
        <w:rPr>
          <w:rFonts w:ascii="Times New Roman" w:hAnsi="Times New Roman" w:cs="Times New Roman"/>
          <w:b/>
          <w:bCs/>
          <w:sz w:val="28"/>
          <w:szCs w:val="28"/>
          <w:lang w:val="en-US"/>
        </w:rPr>
        <w:t xml:space="preserve"> </w:t>
      </w:r>
      <w:r w:rsidRPr="008D700E">
        <w:rPr>
          <w:rFonts w:ascii="Times New Roman" w:hAnsi="Times New Roman" w:cs="Times New Roman"/>
          <w:b/>
          <w:bCs/>
          <w:sz w:val="28"/>
          <w:szCs w:val="28"/>
          <w:lang w:val="en-US"/>
        </w:rPr>
        <w:t xml:space="preserve">Anastasia </w:t>
      </w:r>
      <w:proofErr w:type="spellStart"/>
      <w:r w:rsidRPr="008D700E">
        <w:rPr>
          <w:rFonts w:ascii="Times New Roman" w:hAnsi="Times New Roman" w:cs="Times New Roman"/>
          <w:b/>
          <w:bCs/>
          <w:sz w:val="28"/>
          <w:szCs w:val="28"/>
          <w:lang w:val="en-US"/>
        </w:rPr>
        <w:t>Alekseevna</w:t>
      </w:r>
      <w:proofErr w:type="spellEnd"/>
      <w:r w:rsidRPr="008D700E">
        <w:rPr>
          <w:rFonts w:ascii="Times New Roman" w:hAnsi="Times New Roman" w:cs="Times New Roman"/>
          <w:b/>
          <w:bCs/>
          <w:sz w:val="28"/>
          <w:szCs w:val="28"/>
          <w:lang w:val="en-US"/>
        </w:rPr>
        <w:t xml:space="preserve"> </w:t>
      </w:r>
    </w:p>
    <w:p w:rsidR="008D700E" w:rsidRPr="008D700E" w:rsidRDefault="008D700E" w:rsidP="008D700E">
      <w:pPr>
        <w:spacing w:after="0" w:line="360" w:lineRule="auto"/>
        <w:ind w:firstLine="567"/>
        <w:jc w:val="both"/>
        <w:rPr>
          <w:rFonts w:ascii="Times New Roman" w:hAnsi="Times New Roman" w:cs="Times New Roman"/>
          <w:bCs/>
          <w:sz w:val="28"/>
          <w:szCs w:val="28"/>
          <w:lang w:val="en-US"/>
        </w:rPr>
      </w:pPr>
      <w:r w:rsidRPr="008D700E">
        <w:rPr>
          <w:rFonts w:ascii="Times New Roman" w:hAnsi="Times New Roman" w:cs="Times New Roman"/>
          <w:b/>
          <w:bCs/>
          <w:sz w:val="28"/>
          <w:szCs w:val="28"/>
          <w:lang w:val="en-US"/>
        </w:rPr>
        <w:t>Abstract:</w:t>
      </w:r>
      <w:r w:rsidRPr="008D700E">
        <w:rPr>
          <w:rFonts w:ascii="Times New Roman" w:hAnsi="Times New Roman" w:cs="Times New Roman"/>
          <w:bCs/>
          <w:sz w:val="28"/>
          <w:szCs w:val="28"/>
          <w:lang w:val="en-US"/>
        </w:rPr>
        <w:t xml:space="preserve"> The purpose of the study is to determine the role of propaganda in the political sphere, as well as the features of its development in Germany and the Soviet Union. This article discusses the problem of propaganda as a tool of political manipulation. The characteristic features of the use of propaganda and agitation in </w:t>
      </w:r>
      <w:r w:rsidRPr="008D700E">
        <w:rPr>
          <w:rFonts w:ascii="Times New Roman" w:hAnsi="Times New Roman" w:cs="Times New Roman"/>
          <w:bCs/>
          <w:sz w:val="28"/>
          <w:szCs w:val="28"/>
          <w:lang w:val="en-US"/>
        </w:rPr>
        <w:lastRenderedPageBreak/>
        <w:t>Germany and in the Soviet Union are highlighted and described. The methods of political propaganda used as the main manipulative technologies of influencing the mass consciousness are considered.</w:t>
      </w:r>
    </w:p>
    <w:p w:rsidR="008D700E" w:rsidRPr="008D700E" w:rsidRDefault="008D700E" w:rsidP="008D700E">
      <w:pPr>
        <w:spacing w:after="120" w:line="360" w:lineRule="auto"/>
        <w:ind w:firstLine="567"/>
        <w:jc w:val="both"/>
        <w:rPr>
          <w:rFonts w:ascii="Times New Roman" w:hAnsi="Times New Roman" w:cs="Times New Roman"/>
          <w:bCs/>
          <w:sz w:val="28"/>
          <w:szCs w:val="28"/>
          <w:lang w:val="en-US"/>
        </w:rPr>
      </w:pPr>
      <w:r w:rsidRPr="008D700E">
        <w:rPr>
          <w:rFonts w:ascii="Times New Roman" w:hAnsi="Times New Roman" w:cs="Times New Roman"/>
          <w:b/>
          <w:bCs/>
          <w:sz w:val="28"/>
          <w:szCs w:val="28"/>
          <w:lang w:val="en-US"/>
        </w:rPr>
        <w:t>Keywords:</w:t>
      </w:r>
      <w:r w:rsidRPr="008D700E">
        <w:rPr>
          <w:rFonts w:ascii="Times New Roman" w:hAnsi="Times New Roman" w:cs="Times New Roman"/>
          <w:bCs/>
          <w:sz w:val="28"/>
          <w:szCs w:val="28"/>
          <w:lang w:val="en-US"/>
        </w:rPr>
        <w:t xml:space="preserve"> propaganda, Soviet Union, Germany, influence, agitation, features, concepts, formation of views</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В настоящее время практически невозможно дать определение пропаганде и агитации так, чтобы это определение соответствовало всем научным дисциплинам, изучающим ее.  Дело в том, что на протяжении всей истории, особенно в XX-м веке, пропагандистские исследования становились предметом многих научных дисциплин. Это связано с множеством возможностей (неправильного) использования, их воздействием на целевую аудиторию или реакциями целевой аудитории, которые может спровоцировать пропаганда и агитация. В простейшем смысле пропаганду можно определить, как способ общения с целью оказания влияния и, возможно, контроля общественного мнения.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Одна из первых концепций пропаганды в 1920-х годах была представлена журналистом и философом Уолтером Липпманом. Концепция пропаганды Липпмана основана на предпосылке неспособности человека понимать политические события вокруг себя с учетом этих ограничивающих факторов: искусственная цензура, ограничения социальных контактов, нехватка времени, чтобы уделять внимание общественным делам, искажение реальности короткими сообщениями и страхом потери стереотипов, способствующих установившейся рутине человеческой жизни. Согласно Липпманну, пропаганда возникает тогда, когда группа людей, которые могут предотвратить независимый доступ [к информации] о событии, обрабатывает информацию о событии в соответствии со своими целями.</w:t>
      </w:r>
    </w:p>
    <w:p w:rsidR="008D3873"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Не менее влиятельная концепция Гарольда Лассуэлла определяет пропаганду, аналогичную концепции Липпмана, как один из методов поддержания демократической системы. В своей статье «Техника пропаганды в Мировой войне» Лассуэлл определял пропаганду как управление </w:t>
      </w:r>
      <w:r w:rsidRPr="008D3873">
        <w:rPr>
          <w:rFonts w:ascii="Times New Roman" w:hAnsi="Times New Roman" w:cs="Times New Roman"/>
          <w:sz w:val="28"/>
        </w:rPr>
        <w:lastRenderedPageBreak/>
        <w:t>коллективными установками посредством манипулирования значимыми символами</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Таким образом, цель пропаганды и пропагандиста состоит в том, чтобы укрепить и консолидировать отношение в обществе посредством использования значимых символов и, таким образом, консолидировать и расширить отношения получателей сообщений в обществе в соответствии с интересами пропагандиста. </w:t>
      </w:r>
    </w:p>
    <w:p w:rsidR="001F3C9C" w:rsidRPr="008D3873" w:rsidRDefault="00856084"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Рассмотрим о</w:t>
      </w:r>
      <w:r w:rsidR="0094114E" w:rsidRPr="008D3873">
        <w:rPr>
          <w:rFonts w:ascii="Times New Roman" w:hAnsi="Times New Roman" w:cs="Times New Roman"/>
          <w:sz w:val="28"/>
        </w:rPr>
        <w:t>собенности и</w:t>
      </w:r>
      <w:r w:rsidR="00085C2F" w:rsidRPr="008D3873">
        <w:rPr>
          <w:rFonts w:ascii="Times New Roman" w:hAnsi="Times New Roman" w:cs="Times New Roman"/>
          <w:sz w:val="28"/>
        </w:rPr>
        <w:t>спользование пропаганды и агитации в Германии и в Советском Союзе</w:t>
      </w:r>
      <w:r w:rsidRPr="008D3873">
        <w:rPr>
          <w:rFonts w:ascii="Times New Roman" w:hAnsi="Times New Roman" w:cs="Times New Roman"/>
          <w:sz w:val="28"/>
        </w:rPr>
        <w:t xml:space="preserve"> в целом. И со стороны как факторов повышения эффективности политической коммуникации</w:t>
      </w:r>
      <w:r w:rsidR="00AA396E" w:rsidRPr="008D3873">
        <w:rPr>
          <w:rFonts w:ascii="Times New Roman" w:hAnsi="Times New Roman" w:cs="Times New Roman"/>
          <w:sz w:val="28"/>
        </w:rPr>
        <w:t>.</w:t>
      </w:r>
    </w:p>
    <w:p w:rsidR="00085C2F" w:rsidRPr="00FA16B5" w:rsidRDefault="00085C2F" w:rsidP="003051EE">
      <w:pPr>
        <w:spacing w:after="0" w:line="360" w:lineRule="auto"/>
        <w:ind w:firstLine="567"/>
        <w:jc w:val="both"/>
        <w:rPr>
          <w:rFonts w:ascii="Times New Roman" w:hAnsi="Times New Roman" w:cs="Times New Roman"/>
          <w:b/>
          <w:sz w:val="28"/>
        </w:rPr>
      </w:pPr>
      <w:r w:rsidRPr="00FA16B5">
        <w:rPr>
          <w:rFonts w:ascii="Times New Roman" w:hAnsi="Times New Roman" w:cs="Times New Roman"/>
          <w:b/>
          <w:sz w:val="28"/>
        </w:rPr>
        <w:t>Особенность пропаганды в Германии.</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Опасность применения, связанного с концепцией пропаганды Лассуэлла в демократическом истеблишменте, как легитимизирующего подхода к управлению гражданскими установками, проявилась на практическом уровне в демократической системе Германии перед Второй мировой войной. Например, Адольф Гитлер видел неудачу и неэффективность пропаганды как наиболее важную причину своего существования. Во время Первой мировой войны Гитлер сам признал в главе «Военная пропаганда», что он многому научился из концепций и методов вражеской пропаганды.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Основой эффективной пропаганды Гитлера было приспособление «языка» к цели группы и постоянно повторять «одну истину». Пропаганда в теоретической концепции Гитлера служила инструментом убеждения и идеологической обработки всех немцев. Следовательно, это была так называемая тотальная пропаганда.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Немецкий политик Йозеф Геббельс стремился перейти от теоретической концепции тотальной пропаганды к систематической реализации. В пропагандистской концепции тотальной пропаганды Геббельс различал термины Stimmung (чувство, мораль) и Haltung (наблюдаемое поведение). В то время как Stimmung олицетворял моральное отношение населения, которое необходимо было постепенно трансформировать в долгосрочной перспективе, </w:t>
      </w:r>
      <w:r w:rsidRPr="008D3873">
        <w:rPr>
          <w:rFonts w:ascii="Times New Roman" w:hAnsi="Times New Roman" w:cs="Times New Roman"/>
          <w:sz w:val="28"/>
        </w:rPr>
        <w:lastRenderedPageBreak/>
        <w:t xml:space="preserve">Haltung представлял краткосрочные реакции населения на различные информационные стимулы.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С самого начала войны Геббельс сосредоточился в основном на преобразовании долгосрочного Stimmung, то есть морали в связи с необходимостью изменить отношение немецкого населения к войне и национальной гордости. Быстрые победы с 1940 по 1941 год помогли Геббельсу сформировать строй. В 1943 году, особенно после окончания битвы при Сталинграде, Геббельс был вынужден пересмотреть концепцию пропаганды и вместо создания легенды, основанной на признании войны и развитии национальной гордости, он начал акцентировать внимание на Haltung, акцентируя внимание и продвигая в знак страха. </w:t>
      </w:r>
    </w:p>
    <w:p w:rsidR="00085C2F" w:rsidRPr="001755DB"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В дополнение к различению двух основных концепций, из которых складывается отношение населения, Геббельс также разработал несколько принципов, на которых он построил сложность пропагандистской деятельности Третьего рейха. Анализ этих принципов пропаганды Геббельса был дан еще в 1950 году американским социальным психологом Леонардом В. Дубом в его работе «Принципы пропаганды Геббельса», в которой рассматривались дневниковые записи Геббельса с 1942 по 1943 год. Дуб пришел к основным 19 принципам пропаганды Геббельса, который фактически контролировал всю пропагандистскую инфраструктуру Третьего Рейха. Вышеупомянутые теоретические концепции полностью соответствуют теоретической базе и практике в западных странах Европы и США. С другой стороны, в среде Советского Союза мы можем говорить и определять пропага</w:t>
      </w:r>
      <w:r w:rsidR="0094114E" w:rsidRPr="008D3873">
        <w:rPr>
          <w:rFonts w:ascii="Times New Roman" w:hAnsi="Times New Roman" w:cs="Times New Roman"/>
          <w:sz w:val="28"/>
        </w:rPr>
        <w:t>нду в несколько ином смысле</w:t>
      </w:r>
      <w:r w:rsidRPr="008D3873">
        <w:rPr>
          <w:rFonts w:ascii="Times New Roman" w:hAnsi="Times New Roman" w:cs="Times New Roman"/>
          <w:sz w:val="28"/>
        </w:rPr>
        <w:t>.</w:t>
      </w:r>
      <w:r w:rsidR="00912D2D">
        <w:rPr>
          <w:rFonts w:ascii="Times New Roman" w:hAnsi="Times New Roman" w:cs="Times New Roman"/>
          <w:sz w:val="28"/>
        </w:rPr>
        <w:t xml:space="preserve"> </w:t>
      </w:r>
      <w:r w:rsidR="00912D2D" w:rsidRPr="00912D2D">
        <w:rPr>
          <w:rFonts w:ascii="Times New Roman" w:hAnsi="Times New Roman" w:cs="Times New Roman"/>
          <w:sz w:val="28"/>
        </w:rPr>
        <w:t>[</w:t>
      </w:r>
      <w:r w:rsidR="00912D2D" w:rsidRPr="001755DB">
        <w:rPr>
          <w:rFonts w:ascii="Times New Roman" w:hAnsi="Times New Roman" w:cs="Times New Roman"/>
          <w:sz w:val="28"/>
        </w:rPr>
        <w:t>3]</w:t>
      </w:r>
    </w:p>
    <w:p w:rsidR="00085C2F"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Дэвид </w:t>
      </w:r>
      <w:proofErr w:type="spellStart"/>
      <w:r w:rsidRPr="008D3873">
        <w:rPr>
          <w:rFonts w:ascii="Times New Roman" w:hAnsi="Times New Roman" w:cs="Times New Roman"/>
          <w:sz w:val="28"/>
        </w:rPr>
        <w:t>Велш</w:t>
      </w:r>
      <w:proofErr w:type="spellEnd"/>
      <w:r w:rsidRPr="008D3873">
        <w:rPr>
          <w:rFonts w:ascii="Times New Roman" w:hAnsi="Times New Roman" w:cs="Times New Roman"/>
          <w:sz w:val="28"/>
        </w:rPr>
        <w:t xml:space="preserve"> видел существенную разницу в сравнении советской пропаганды и западной пропаганды, особенно Третьего рейха. Концепция пропаганды в первые годы существования Советского Союза, в отличие от «управления гражданскими установками» или «тотальной пропаганды» Третьего рейха, была обусловлена отделением пропаганды от агитации.</w:t>
      </w:r>
    </w:p>
    <w:p w:rsidR="00245D20" w:rsidRPr="008D3873" w:rsidRDefault="00245D20" w:rsidP="003051EE">
      <w:pPr>
        <w:spacing w:after="0" w:line="360" w:lineRule="auto"/>
        <w:ind w:firstLine="567"/>
        <w:jc w:val="both"/>
        <w:rPr>
          <w:rFonts w:ascii="Times New Roman" w:hAnsi="Times New Roman" w:cs="Times New Roman"/>
          <w:sz w:val="28"/>
        </w:rPr>
      </w:pPr>
      <w:bookmarkStart w:id="0" w:name="_GoBack"/>
      <w:bookmarkEnd w:id="0"/>
    </w:p>
    <w:p w:rsidR="00085C2F" w:rsidRPr="00FA16B5" w:rsidRDefault="00085C2F" w:rsidP="003051EE">
      <w:pPr>
        <w:spacing w:after="0" w:line="360" w:lineRule="auto"/>
        <w:ind w:firstLine="567"/>
        <w:jc w:val="both"/>
        <w:rPr>
          <w:rFonts w:ascii="Times New Roman" w:hAnsi="Times New Roman" w:cs="Times New Roman"/>
          <w:b/>
          <w:sz w:val="28"/>
        </w:rPr>
      </w:pPr>
      <w:r w:rsidRPr="00FA16B5">
        <w:rPr>
          <w:rFonts w:ascii="Times New Roman" w:hAnsi="Times New Roman" w:cs="Times New Roman"/>
          <w:b/>
          <w:sz w:val="28"/>
        </w:rPr>
        <w:lastRenderedPageBreak/>
        <w:t>Особенность пропаганды в Советском союзе.</w:t>
      </w:r>
    </w:p>
    <w:p w:rsidR="00085C2F" w:rsidRPr="001755DB"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Формирование пропаганды и агитации в среде формирующегося тогда Советского Союза отражается на двух уровнях. Первый уровень причин был полностью практическим - благодаря высокой неграмотности россиян в первые годы ХХ века было целесообразно использовать агитационные и визуальные приемы, особенно плакаты, для формирования общественного мнения. В то же время это значительно способствовало распространению пропагандистских сообщений и разрушению полиграфической инфраструктуры и полиграфической промышленности во время Гражданской войны 1918-1921 годов между большевиками и меньшевиками. Это разрушение прессы позволило большевикам относительно широко контролировать реконструированную полиграфию, заставить замолчать оппозиционные взгляды и существенно контро</w:t>
      </w:r>
      <w:r w:rsidR="0094114E" w:rsidRPr="008D3873">
        <w:rPr>
          <w:rFonts w:ascii="Times New Roman" w:hAnsi="Times New Roman" w:cs="Times New Roman"/>
          <w:sz w:val="28"/>
        </w:rPr>
        <w:t>лировать общественное мнение</w:t>
      </w:r>
      <w:r w:rsidRPr="008D3873">
        <w:rPr>
          <w:rFonts w:ascii="Times New Roman" w:hAnsi="Times New Roman" w:cs="Times New Roman"/>
          <w:sz w:val="28"/>
        </w:rPr>
        <w:t xml:space="preserve">. </w:t>
      </w:r>
      <w:r w:rsidR="00912D2D" w:rsidRPr="001755DB">
        <w:rPr>
          <w:rFonts w:ascii="Times New Roman" w:hAnsi="Times New Roman" w:cs="Times New Roman"/>
          <w:sz w:val="28"/>
        </w:rPr>
        <w:t>[1]</w:t>
      </w:r>
    </w:p>
    <w:p w:rsidR="00085C2F" w:rsidRPr="001755DB"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Вторая причина развития пропаганды и агитации была основана на теоретической и методологической основе. В отличие от агитации, концепция Плеханова, с которой впоследствии отождествлялся Ленин, рассматривает пропаганду как инструмент идеологической обработки интеллектуальной элиты с помощью научных данных. Затем агитация направлена на то, чтобы представить конкретную истину понят</w:t>
      </w:r>
      <w:r w:rsidR="0094114E" w:rsidRPr="008D3873">
        <w:rPr>
          <w:rFonts w:ascii="Times New Roman" w:hAnsi="Times New Roman" w:cs="Times New Roman"/>
          <w:sz w:val="28"/>
        </w:rPr>
        <w:t>ным и простым языком массам</w:t>
      </w:r>
      <w:r w:rsidRPr="008D3873">
        <w:rPr>
          <w:rFonts w:ascii="Times New Roman" w:hAnsi="Times New Roman" w:cs="Times New Roman"/>
          <w:sz w:val="28"/>
        </w:rPr>
        <w:t>.</w:t>
      </w:r>
      <w:r w:rsidR="00912D2D" w:rsidRPr="00912D2D">
        <w:rPr>
          <w:rFonts w:ascii="Times New Roman" w:hAnsi="Times New Roman" w:cs="Times New Roman"/>
          <w:sz w:val="28"/>
        </w:rPr>
        <w:t xml:space="preserve"> </w:t>
      </w:r>
      <w:r w:rsidR="00912D2D" w:rsidRPr="001755DB">
        <w:rPr>
          <w:rFonts w:ascii="Times New Roman" w:hAnsi="Times New Roman" w:cs="Times New Roman"/>
          <w:sz w:val="28"/>
        </w:rPr>
        <w:t>[2]</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 Таким образом, в то время как пропагандист внушает элите научные данные и научные теории, агитатор представляет только одну «истинную» идею, переработанную пропагандистом на понятный простой язык. </w:t>
      </w:r>
    </w:p>
    <w:p w:rsidR="00085C2F" w:rsidRPr="001755DB"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Согласно </w:t>
      </w:r>
      <w:r w:rsidR="008C2F0D">
        <w:rPr>
          <w:rFonts w:ascii="Times New Roman" w:hAnsi="Times New Roman" w:cs="Times New Roman"/>
          <w:sz w:val="28"/>
        </w:rPr>
        <w:t>доценту истории,</w:t>
      </w:r>
      <w:r w:rsidRPr="008D3873">
        <w:rPr>
          <w:rFonts w:ascii="Times New Roman" w:hAnsi="Times New Roman" w:cs="Times New Roman"/>
          <w:sz w:val="28"/>
        </w:rPr>
        <w:t xml:space="preserve"> в Университете Рочестера Мэтью Лено, советская пропаганда в 1920-х годах также стремилась поднять культурный уровень советских граждан. Лено называл эту попытку создать нового культурного гражданина массовым просветительским проектом Новой экономической политики, который включает не только новую экономическую политику, но и формирование коммунистических граждан. Советская пресса в то время основывалась на ленинской теории трех основных функций прессы - пропагандистских, агитационных и организационных. Лено добавлял, что </w:t>
      </w:r>
      <w:r w:rsidRPr="008D3873">
        <w:rPr>
          <w:rFonts w:ascii="Times New Roman" w:hAnsi="Times New Roman" w:cs="Times New Roman"/>
          <w:sz w:val="28"/>
        </w:rPr>
        <w:lastRenderedPageBreak/>
        <w:t>именно пропагандистская функция была тесно связана с образовательным процессом. По сути, большевики должны были «обучать» массы от основ гигиены до политического просвещения, руководствуясь намерениями построе</w:t>
      </w:r>
      <w:r w:rsidR="0094114E" w:rsidRPr="008D3873">
        <w:rPr>
          <w:rFonts w:ascii="Times New Roman" w:hAnsi="Times New Roman" w:cs="Times New Roman"/>
          <w:sz w:val="28"/>
        </w:rPr>
        <w:t>ния коммунистической утопии</w:t>
      </w:r>
      <w:r w:rsidRPr="008D3873">
        <w:rPr>
          <w:rFonts w:ascii="Times New Roman" w:hAnsi="Times New Roman" w:cs="Times New Roman"/>
          <w:sz w:val="28"/>
        </w:rPr>
        <w:t xml:space="preserve">. </w:t>
      </w:r>
      <w:r w:rsidR="00912D2D" w:rsidRPr="001755DB">
        <w:rPr>
          <w:rFonts w:ascii="Times New Roman" w:hAnsi="Times New Roman" w:cs="Times New Roman"/>
          <w:sz w:val="28"/>
        </w:rPr>
        <w:t>[4]</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С приходом Сталина концепция пропаганды полностью изменилась. На смену массовому проекту Просвещения пришла изобретательная массовая журналистика, сопровождавшаяся шоковой кампанией, основанной на повышении производительности рабочих с помощью метафор из военного языка Первой и Гражданской войн.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Изменение концепции пропаганды было вызвано двумя причинами. Первой причиной была необходимость индустриализации Советского Союза. Вторая причина заключается в необходимости повышения производительности труда. </w:t>
      </w:r>
    </w:p>
    <w:p w:rsidR="00085C2F" w:rsidRPr="001755DB"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Дэвид Бранденбергер в своей книге «Национал-большевизм. Сталинская массовая культура и формирование русского национального самосознания» продолжал анализ трансформации советской пропаганды во время правления Сталина. Бранденбергер считал Советский Союз первым государством в 1930-х и 1940-х годах, имевшим развитую пр</w:t>
      </w:r>
      <w:r w:rsidR="0094114E" w:rsidRPr="008D3873">
        <w:rPr>
          <w:rFonts w:ascii="Times New Roman" w:hAnsi="Times New Roman" w:cs="Times New Roman"/>
          <w:sz w:val="28"/>
        </w:rPr>
        <w:t>опагандистскую сеть</w:t>
      </w:r>
      <w:r w:rsidRPr="008D3873">
        <w:rPr>
          <w:rFonts w:ascii="Times New Roman" w:hAnsi="Times New Roman" w:cs="Times New Roman"/>
          <w:sz w:val="28"/>
        </w:rPr>
        <w:t>.</w:t>
      </w:r>
      <w:r w:rsidR="00912D2D" w:rsidRPr="00912D2D">
        <w:rPr>
          <w:rFonts w:ascii="Times New Roman" w:hAnsi="Times New Roman" w:cs="Times New Roman"/>
          <w:sz w:val="28"/>
        </w:rPr>
        <w:t xml:space="preserve"> </w:t>
      </w:r>
      <w:r w:rsidR="00912D2D" w:rsidRPr="001755DB">
        <w:rPr>
          <w:rFonts w:ascii="Times New Roman" w:hAnsi="Times New Roman" w:cs="Times New Roman"/>
          <w:sz w:val="28"/>
        </w:rPr>
        <w:t>[5]</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Карел Беркхоф далее демонстрировал, что создание эффективной системы пропагандистской деятельности, основанной на русском национализме, привело к успешной трансформации и мобилизации Советский Союз в 1930-е гг. Благодаря продуманным лозунгам («Родина в опасности», «Великая Отечественная война») пропаганда смогла мотивировать граждан и потенциальных солдат на активную борьбу, а гражданское население - на повышение производительности труда.</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Стоит отметить еще тот факт, что после окончания Второй мировой войны мир оказался биполярным. В период холодной войны пропаганда играла роль в обоих разделенных блоках мира. Жак Эллюль, французский социолог и историк, стал одним из величайших теоретиков феномена пропаганды. Для него пропаганда - это современная техника, основанная на нескольких дисциплинах и в то же время набор техник, используемых организованной группой, которая </w:t>
      </w:r>
      <w:r w:rsidRPr="008D3873">
        <w:rPr>
          <w:rFonts w:ascii="Times New Roman" w:hAnsi="Times New Roman" w:cs="Times New Roman"/>
          <w:sz w:val="28"/>
        </w:rPr>
        <w:lastRenderedPageBreak/>
        <w:t xml:space="preserve">требует активного или пассивного участия в ее действиях массы людей, психологически объединенных посредством психологических манипуляций и интегрирован в организацию.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В своей работе «Пропаганда: формирование человеческих взглядов» он также видел разницу между западной и восточной пропагандой, особенно в организации пропагандистской деятельности. В то время как западная пропаганда в контексте холодной войны влияла на психологические средства, особенно на демократические ценности, укоренившиеся в странах западного блока, а экспорт западной пропаганды за пределы демократического блока осуществлялся по радио в страны Восточного блока; советская пропаганда использовалась для распространения пропаганды на Востоке и Западе Коммунистической партией, которая смогла целенаправленно вести пропагандистскую деятельность в стране, обеспечивая тем самым эффективность и непрерывность пропаганды.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Кроме того, он подчеркивал, что 1950-е годы были в целом наиболее динамичным и противоречивым периодом с точки зрения просоветской пропаганды - широкая общественность впервые начала знакомиться с положительным имиджем СССР в значительной степени без любого критического размышления.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В 1950-х годах СССР постоянно подчеркивал важность рекламной работы в постоянном информировании о росте и успехах Советского Союза. Пропаганда была направлена на то, чтобы познакомить людей с Советским Союзом конкретно, чтобы опыт построения социализма в Советском Союзе стал уроком для строительства социализма на заводах и в деревне, чтобы определить роль Советского Союза.</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Идеализация и всестороннее восхищение социализмом, построенным Советским Союзом, нашли отражение во всех сферах общественной жизни. Особенно в течение первых пяти лет эти атрибуты были одними из самых важных форм социальной активности, которые должны были соответствовать установленным политическим и экономическим целям реконструкция. </w:t>
      </w:r>
      <w:r w:rsidRPr="008D3873">
        <w:rPr>
          <w:rFonts w:ascii="Times New Roman" w:hAnsi="Times New Roman" w:cs="Times New Roman"/>
          <w:sz w:val="28"/>
        </w:rPr>
        <w:lastRenderedPageBreak/>
        <w:t xml:space="preserve">Коммунистическая пропаганда в этом отношении в 1950-х годах выстраивала отношения с режимом для сохранения завоеванной политической власти, подавления сопротивления политических оппонентов и стремления реализовать свою концепцию социалистической экономики, политики и культуры. Это сопровождалось усилиями по максимальному распространению идеологической системы марксизма-ленинизма и укреплению ее в сознании людей.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Плакаты, укрепляющие прочные отношения с Советским Союзом, так часто призывали учиться у него, подчеркивая положительные моменты, которые он приносит</w:t>
      </w:r>
      <w:r w:rsidR="00856084" w:rsidRPr="008D3873">
        <w:rPr>
          <w:rFonts w:ascii="Times New Roman" w:hAnsi="Times New Roman" w:cs="Times New Roman"/>
          <w:sz w:val="28"/>
        </w:rPr>
        <w:t xml:space="preserve">. </w:t>
      </w:r>
      <w:r w:rsidRPr="008D3873">
        <w:rPr>
          <w:rFonts w:ascii="Times New Roman" w:hAnsi="Times New Roman" w:cs="Times New Roman"/>
          <w:sz w:val="28"/>
        </w:rPr>
        <w:t>По содержанию речь шла не только об идеологическом воспитании и активизации общества, но и о постоянных усилиях по укреплению в народе чувства любви к Советскому Союзу и товарищу Сталину.</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Коммунистическая пропаганда в связи с типичным изображением и использованными графическими и символическими приемами основывала ключ к своему успеху на простоте общения. Для этих целей она очень часто использовала простые диаграммы и количественные представления для общения, которые должны были поддержать встроенные аргументы и убедительные вызовы.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Стоит отметить, что коммунистическая пропаганда интенсивно занималась вопросами агитационной и пропагандистской работы в деревне, особенно в области сельского хозяйства, в течение первого периода коммунистического режима, который закончился в 1956 году. Интенсивная работа проводилась вместе с широкой общественностью в сельской местности. Рабочие, которые рассматривались в обществе как главная движущая сила и стратегическая цель, которая сыграла ключевую роль в переходе на их сторону. </w:t>
      </w:r>
    </w:p>
    <w:p w:rsidR="00856084"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Что касается концепции правильного мышления, пропаганда основывалась на утверждении, что в капиталистических странах обнищание большинства крестьян -это общее явление, возникающее из противоречивых интересов города и деревни.</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С одной стороны, коммунистическая пропаганда стремилась поднять настроение против всех, кто плохо или безразлично относился к выполнению </w:t>
      </w:r>
      <w:r w:rsidRPr="008D3873">
        <w:rPr>
          <w:rFonts w:ascii="Times New Roman" w:hAnsi="Times New Roman" w:cs="Times New Roman"/>
          <w:sz w:val="28"/>
        </w:rPr>
        <w:lastRenderedPageBreak/>
        <w:t>пятилетнего сельскохозяйственного плана, и против деревенских богачей, которым отводилась роль эксплуататора. С другой стороны, особенно интересно было убедить крестьян в том, что выполнение пятилетки в сельском хозяйстве принесет им пользу и улучшит их жилищ</w:t>
      </w:r>
      <w:r w:rsidR="00856084" w:rsidRPr="008D3873">
        <w:rPr>
          <w:rFonts w:ascii="Times New Roman" w:hAnsi="Times New Roman" w:cs="Times New Roman"/>
          <w:sz w:val="28"/>
        </w:rPr>
        <w:t>ное положение.</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Партия требовала, чтобы ключевой задачей была постоянная вербовка крестьян для того, чтобы обеспечить урожай и питание людей. Быстрый урожай и уборка без потерь были обусловлены совместной работой и, таким образом, способствовали выгоде от вступления в колхоз. По этой причине это мероприятие также стало частым изображением на плакатах.</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 xml:space="preserve">Усилия по достижению конкретных, местных и близких к людям тем и примеров в области визуальной агитации также были многочисленными в содействии успеху колхозов. Для создания положительного впечатления в обществе и мобилизации крестьян для вступления в колхоз использовались иллюстративные аргументы коммунистической пропаганды, основанные на противоположностях совместной работы в колхозе и самостоятельной работы крестьянина. </w:t>
      </w:r>
    </w:p>
    <w:p w:rsidR="00085C2F" w:rsidRPr="008D3873" w:rsidRDefault="00085C2F"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Часто появлялись не только плакаты, но и лозунги, которые сознательно натыкались на экономию не только производственных и финансовых ресурсов, но особенно работы - «тяжелой работы». Аргументы в этом направлении находили отклик в официальной пропаганде на протяжении 1950-х годов и основывались на том факте, что «обычный посев обеспечит лучшую жизнь мелким и средним фермерам, увеличит их доход, облегчит тяжелый труд».</w:t>
      </w:r>
    </w:p>
    <w:p w:rsidR="0094114E" w:rsidRPr="008D3873" w:rsidRDefault="0094114E"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Подводя итог всему вышесказанному, политическая пропаганда помогает распространять идеологию, чтобы общественность приняла определенную политическую или экономическую структуру, предприня</w:t>
      </w:r>
      <w:r w:rsidR="00741BD1">
        <w:rPr>
          <w:rFonts w:ascii="Times New Roman" w:hAnsi="Times New Roman" w:cs="Times New Roman"/>
          <w:sz w:val="28"/>
        </w:rPr>
        <w:t>ла намеченные политические шаги.</w:t>
      </w:r>
    </w:p>
    <w:p w:rsidR="0094114E" w:rsidRPr="008D3873" w:rsidRDefault="0094114E" w:rsidP="003051EE">
      <w:pPr>
        <w:spacing w:after="0" w:line="360" w:lineRule="auto"/>
        <w:ind w:firstLine="567"/>
        <w:jc w:val="both"/>
        <w:rPr>
          <w:rFonts w:ascii="Times New Roman" w:hAnsi="Times New Roman" w:cs="Times New Roman"/>
          <w:sz w:val="28"/>
        </w:rPr>
      </w:pPr>
      <w:r w:rsidRPr="008D3873">
        <w:rPr>
          <w:rFonts w:ascii="Times New Roman" w:hAnsi="Times New Roman" w:cs="Times New Roman"/>
          <w:sz w:val="28"/>
        </w:rPr>
        <w:t>Пропаганда в нацистской Германии была практикой государственной направленной коммуникации для пропаганды немецкого национализма, целей Нацистской партии Германии и самой партии.</w:t>
      </w:r>
    </w:p>
    <w:p w:rsidR="001D28C1" w:rsidRDefault="00741BD1" w:rsidP="003051EE">
      <w:pPr>
        <w:spacing w:after="0" w:line="360" w:lineRule="auto"/>
        <w:ind w:firstLine="567"/>
        <w:jc w:val="both"/>
        <w:rPr>
          <w:rFonts w:ascii="Times New Roman" w:hAnsi="Times New Roman" w:cs="Times New Roman"/>
          <w:sz w:val="28"/>
        </w:rPr>
      </w:pPr>
      <w:r>
        <w:rPr>
          <w:rFonts w:ascii="Times New Roman" w:hAnsi="Times New Roman" w:cs="Times New Roman"/>
          <w:sz w:val="28"/>
        </w:rPr>
        <w:lastRenderedPageBreak/>
        <w:t>Что касается агитации и пропаганды</w:t>
      </w:r>
      <w:r w:rsidR="0094114E" w:rsidRPr="008D3873">
        <w:rPr>
          <w:rFonts w:ascii="Times New Roman" w:hAnsi="Times New Roman" w:cs="Times New Roman"/>
          <w:sz w:val="28"/>
        </w:rPr>
        <w:t xml:space="preserve"> в Советском Союзе, то для того, чтобы коммунистическая пропаганда в полной мере реализовывала свои цели и потребности в идеологическом воздействии на широкую публику, необходимой частью был контроль над всей медийной системой как неотъемлемой частью пропаганды и, по сути, ее исполнителем. </w:t>
      </w:r>
    </w:p>
    <w:p w:rsidR="003265E9" w:rsidRPr="00F17864" w:rsidRDefault="003051EE" w:rsidP="00BF7EE2">
      <w:pPr>
        <w:spacing w:after="0" w:line="360" w:lineRule="auto"/>
        <w:ind w:firstLine="567"/>
        <w:jc w:val="center"/>
        <w:rPr>
          <w:rFonts w:ascii="Times New Roman" w:hAnsi="Times New Roman" w:cs="Times New Roman"/>
          <w:b/>
          <w:sz w:val="28"/>
        </w:rPr>
      </w:pPr>
      <w:r>
        <w:rPr>
          <w:rFonts w:ascii="Times New Roman" w:hAnsi="Times New Roman" w:cs="Times New Roman"/>
          <w:b/>
          <w:sz w:val="28"/>
        </w:rPr>
        <w:t>Список литературы</w:t>
      </w:r>
    </w:p>
    <w:p w:rsidR="001755DB" w:rsidRDefault="003265E9" w:rsidP="003051EE">
      <w:pPr>
        <w:pStyle w:val="a3"/>
        <w:numPr>
          <w:ilvl w:val="0"/>
          <w:numId w:val="2"/>
        </w:numPr>
        <w:spacing w:after="0" w:line="360" w:lineRule="auto"/>
        <w:ind w:left="0" w:firstLine="567"/>
        <w:jc w:val="both"/>
        <w:rPr>
          <w:rFonts w:ascii="Times New Roman" w:hAnsi="Times New Roman" w:cs="Times New Roman"/>
          <w:sz w:val="28"/>
        </w:rPr>
      </w:pPr>
      <w:proofErr w:type="spellStart"/>
      <w:r w:rsidRPr="001755DB">
        <w:rPr>
          <w:rFonts w:ascii="Times New Roman" w:hAnsi="Times New Roman" w:cs="Times New Roman"/>
          <w:sz w:val="28"/>
        </w:rPr>
        <w:t>Лассвелл</w:t>
      </w:r>
      <w:proofErr w:type="spellEnd"/>
      <w:r w:rsidRPr="001755DB">
        <w:rPr>
          <w:rFonts w:ascii="Times New Roman" w:hAnsi="Times New Roman" w:cs="Times New Roman"/>
          <w:sz w:val="28"/>
        </w:rPr>
        <w:t xml:space="preserve"> Г. Стратегия советской пропаганды. Текст: электронный / Г. </w:t>
      </w:r>
      <w:proofErr w:type="spellStart"/>
      <w:r w:rsidRPr="001755DB">
        <w:rPr>
          <w:rFonts w:ascii="Times New Roman" w:hAnsi="Times New Roman" w:cs="Times New Roman"/>
          <w:sz w:val="28"/>
        </w:rPr>
        <w:t>Лассвелл</w:t>
      </w:r>
      <w:proofErr w:type="spellEnd"/>
      <w:r w:rsidRPr="001755DB">
        <w:rPr>
          <w:rFonts w:ascii="Times New Roman" w:hAnsi="Times New Roman" w:cs="Times New Roman"/>
          <w:sz w:val="28"/>
        </w:rPr>
        <w:t xml:space="preserve"> // Политическая лингвистика – 2009 – URL: https://cyberleninka.ru/article/n/strategiya-sovetskoy-propagandy (дата обращения: 10.12.2022)</w:t>
      </w:r>
    </w:p>
    <w:p w:rsidR="001755DB" w:rsidRDefault="003265E9" w:rsidP="003051EE">
      <w:pPr>
        <w:pStyle w:val="a3"/>
        <w:numPr>
          <w:ilvl w:val="0"/>
          <w:numId w:val="2"/>
        </w:numPr>
        <w:spacing w:after="0" w:line="360" w:lineRule="auto"/>
        <w:ind w:left="0" w:firstLine="567"/>
        <w:jc w:val="both"/>
        <w:rPr>
          <w:rFonts w:ascii="Times New Roman" w:hAnsi="Times New Roman" w:cs="Times New Roman"/>
          <w:sz w:val="28"/>
        </w:rPr>
      </w:pPr>
      <w:r w:rsidRPr="001755DB">
        <w:rPr>
          <w:rFonts w:ascii="Times New Roman" w:hAnsi="Times New Roman" w:cs="Times New Roman"/>
          <w:sz w:val="28"/>
        </w:rPr>
        <w:t>Титов В.Ф. Г. В. Плеханов и его теоретическая и просветительская деятельность.  - Текст: электронный / В.Ф. Титов // Вестник Мурманского государственного технического университета - 2011 - URL: https://cyberleninka.ru/article/n/g-v-plehanov-i-ego-teoreticheskaya-i-prosvetitelskaya-deyatelnost (дата обращения: 10.12.2022)</w:t>
      </w:r>
    </w:p>
    <w:p w:rsidR="001755DB" w:rsidRDefault="003265E9" w:rsidP="003051EE">
      <w:pPr>
        <w:pStyle w:val="a3"/>
        <w:numPr>
          <w:ilvl w:val="0"/>
          <w:numId w:val="2"/>
        </w:numPr>
        <w:spacing w:after="0" w:line="360" w:lineRule="auto"/>
        <w:ind w:left="0" w:firstLine="567"/>
        <w:jc w:val="both"/>
        <w:rPr>
          <w:rFonts w:ascii="Times New Roman" w:hAnsi="Times New Roman" w:cs="Times New Roman"/>
          <w:sz w:val="28"/>
        </w:rPr>
      </w:pPr>
      <w:r w:rsidRPr="001755DB">
        <w:rPr>
          <w:rFonts w:ascii="Times New Roman" w:hAnsi="Times New Roman" w:cs="Times New Roman"/>
          <w:sz w:val="28"/>
        </w:rPr>
        <w:t>«Мы добиваемся не правды, а эффекта пропаганды!». - Текст: электронный – URL: https://www.znak.com/2014-10-29/desyat_pravil_gebbelsa_kotorye_rabotayut_i_seychas (дата обращения: 10.12.2021)</w:t>
      </w:r>
    </w:p>
    <w:p w:rsidR="001755DB" w:rsidRDefault="003265E9" w:rsidP="003051EE">
      <w:pPr>
        <w:pStyle w:val="a3"/>
        <w:numPr>
          <w:ilvl w:val="0"/>
          <w:numId w:val="2"/>
        </w:numPr>
        <w:spacing w:after="0" w:line="360" w:lineRule="auto"/>
        <w:ind w:left="0" w:firstLine="567"/>
        <w:jc w:val="both"/>
        <w:rPr>
          <w:rFonts w:ascii="Times New Roman" w:hAnsi="Times New Roman" w:cs="Times New Roman"/>
          <w:sz w:val="28"/>
        </w:rPr>
      </w:pPr>
      <w:r w:rsidRPr="001755DB">
        <w:rPr>
          <w:rFonts w:ascii="Times New Roman" w:hAnsi="Times New Roman" w:cs="Times New Roman"/>
          <w:sz w:val="28"/>
        </w:rPr>
        <w:t>Бранденбергер Д. Л. Национал-большевизм. Сталинская массовая культура и формирование русского национального самосознании. - Текст: электронный / Д.Л. Бранденбергер – URL: https://www.litmir.me/br/?b=129294&amp;p=1 (дата обращения: 10.12.2022)</w:t>
      </w:r>
    </w:p>
    <w:p w:rsidR="003265E9" w:rsidRDefault="003265E9" w:rsidP="003051EE">
      <w:pPr>
        <w:pStyle w:val="a3"/>
        <w:numPr>
          <w:ilvl w:val="0"/>
          <w:numId w:val="2"/>
        </w:numPr>
        <w:spacing w:after="0" w:line="360" w:lineRule="auto"/>
        <w:ind w:left="0" w:firstLine="567"/>
        <w:jc w:val="both"/>
        <w:rPr>
          <w:rFonts w:ascii="Times New Roman" w:hAnsi="Times New Roman" w:cs="Times New Roman"/>
          <w:sz w:val="28"/>
        </w:rPr>
      </w:pPr>
      <w:r w:rsidRPr="001755DB">
        <w:rPr>
          <w:rFonts w:ascii="Times New Roman" w:hAnsi="Times New Roman" w:cs="Times New Roman"/>
          <w:sz w:val="28"/>
        </w:rPr>
        <w:t xml:space="preserve">Лено М. «Эмоции и психологическое выживание в Красной армии в 1941-1942 гг.». - Текст: электронный / М. </w:t>
      </w:r>
      <w:proofErr w:type="spellStart"/>
      <w:r w:rsidRPr="001755DB">
        <w:rPr>
          <w:rFonts w:ascii="Times New Roman" w:hAnsi="Times New Roman" w:cs="Times New Roman"/>
          <w:sz w:val="28"/>
        </w:rPr>
        <w:t>Лемо</w:t>
      </w:r>
      <w:proofErr w:type="spellEnd"/>
      <w:r w:rsidRPr="001755DB">
        <w:rPr>
          <w:rFonts w:ascii="Times New Roman" w:hAnsi="Times New Roman" w:cs="Times New Roman"/>
          <w:sz w:val="28"/>
        </w:rPr>
        <w:t xml:space="preserve"> - URL: https://www.hse.ru/war/announcements/220431156.html (дата обращения: 10.12.2022)</w:t>
      </w:r>
    </w:p>
    <w:p w:rsidR="00BF7EE2" w:rsidRPr="00BF7EE2" w:rsidRDefault="00BF7EE2" w:rsidP="00BF7EE2">
      <w:pPr>
        <w:pStyle w:val="a3"/>
        <w:spacing w:after="0" w:line="360" w:lineRule="auto"/>
        <w:ind w:left="1429"/>
        <w:jc w:val="right"/>
        <w:rPr>
          <w:rFonts w:ascii="Times New Roman" w:hAnsi="Times New Roman" w:cs="Times New Roman"/>
          <w:sz w:val="28"/>
          <w:szCs w:val="28"/>
        </w:rPr>
      </w:pPr>
      <w:r w:rsidRPr="00F40E65">
        <w:rPr>
          <w:rFonts w:ascii="Times New Roman" w:hAnsi="Times New Roman" w:cs="Times New Roman"/>
          <w:sz w:val="28"/>
          <w:szCs w:val="28"/>
        </w:rPr>
        <w:t xml:space="preserve">© </w:t>
      </w:r>
      <w:r>
        <w:rPr>
          <w:rFonts w:ascii="Times New Roman" w:hAnsi="Times New Roman" w:cs="Times New Roman"/>
          <w:sz w:val="28"/>
          <w:szCs w:val="28"/>
        </w:rPr>
        <w:t>А.Н. Рубцова</w:t>
      </w:r>
      <w:r w:rsidRPr="00F40E65">
        <w:rPr>
          <w:rFonts w:ascii="Times New Roman" w:hAnsi="Times New Roman" w:cs="Times New Roman"/>
          <w:sz w:val="28"/>
          <w:szCs w:val="28"/>
        </w:rPr>
        <w:t xml:space="preserve">, </w:t>
      </w:r>
      <w:r>
        <w:rPr>
          <w:rFonts w:ascii="Times New Roman" w:hAnsi="Times New Roman" w:cs="Times New Roman"/>
          <w:sz w:val="28"/>
          <w:szCs w:val="28"/>
        </w:rPr>
        <w:t>Е.С. Кузьменко, 2023</w:t>
      </w:r>
    </w:p>
    <w:sectPr w:rsidR="00BF7EE2" w:rsidRPr="00BF7EE2" w:rsidSect="00FA16B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D4E0F"/>
    <w:multiLevelType w:val="hybridMultilevel"/>
    <w:tmpl w:val="CA4A3150"/>
    <w:lvl w:ilvl="0" w:tplc="AF2A69AE">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79115B78"/>
    <w:multiLevelType w:val="hybridMultilevel"/>
    <w:tmpl w:val="CAF6F3A2"/>
    <w:lvl w:ilvl="0" w:tplc="52282408">
      <w:start w:val="1"/>
      <w:numFmt w:val="decimal"/>
      <w:suff w:val="space"/>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C2F"/>
    <w:rsid w:val="00085C2F"/>
    <w:rsid w:val="001755DB"/>
    <w:rsid w:val="001D28C1"/>
    <w:rsid w:val="001F3C9C"/>
    <w:rsid w:val="00245D20"/>
    <w:rsid w:val="003051EE"/>
    <w:rsid w:val="003265E9"/>
    <w:rsid w:val="00607488"/>
    <w:rsid w:val="006A7D8F"/>
    <w:rsid w:val="0074038E"/>
    <w:rsid w:val="00741BD1"/>
    <w:rsid w:val="00794312"/>
    <w:rsid w:val="00856084"/>
    <w:rsid w:val="008C2F0D"/>
    <w:rsid w:val="008D3873"/>
    <w:rsid w:val="008D700E"/>
    <w:rsid w:val="00912D2D"/>
    <w:rsid w:val="0094114E"/>
    <w:rsid w:val="00973A45"/>
    <w:rsid w:val="00A012EF"/>
    <w:rsid w:val="00AA396E"/>
    <w:rsid w:val="00BF7EE2"/>
    <w:rsid w:val="00C12AF8"/>
    <w:rsid w:val="00C4780E"/>
    <w:rsid w:val="00CC6A26"/>
    <w:rsid w:val="00F17864"/>
    <w:rsid w:val="00F34E87"/>
    <w:rsid w:val="00F60149"/>
    <w:rsid w:val="00FA16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F09B4"/>
  <w15:chartTrackingRefBased/>
  <w15:docId w15:val="{ABAA8A0B-F7A6-46E7-969E-9C0893B86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65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756</TotalTime>
  <Pages>10</Pages>
  <Words>2739</Words>
  <Characters>15615</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Kinder</dc:creator>
  <cp:keywords/>
  <dc:description/>
  <cp:lastModifiedBy>Алёна Рубцова</cp:lastModifiedBy>
  <cp:revision>14</cp:revision>
  <dcterms:created xsi:type="dcterms:W3CDTF">2023-02-25T01:40:00Z</dcterms:created>
  <dcterms:modified xsi:type="dcterms:W3CDTF">2023-03-14T10:24:00Z</dcterms:modified>
</cp:coreProperties>
</file>