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2C7825F">
      <w:pPr>
        <w:spacing w:after="240" w:line="24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bookmarkStart w:id="1" w:name="_GoBack"/>
      <w:bookmarkEnd w:id="1"/>
      <w:r>
        <w:rPr>
          <w:rFonts w:ascii="Arial" w:hAnsi="Arial" w:eastAsia="Times New Roman" w:cs="Arial"/>
          <w:sz w:val="30"/>
          <w:szCs w:val="30"/>
        </w:rPr>
        <w:t>Содержание</w:t>
      </w:r>
      <w:r>
        <w:rPr>
          <w:rFonts w:ascii="Times New Roman" w:hAnsi="Times New Roman" w:eastAsia="Times New Roman" w:cs="Times New Roman"/>
          <w:sz w:val="24"/>
          <w:szCs w:val="24"/>
        </w:rPr>
        <w:fldChar w:fldCharType="begin"/>
      </w:r>
      <w:r>
        <w:rPr>
          <w:rFonts w:ascii="Times New Roman" w:hAnsi="Times New Roman" w:eastAsia="Times New Roman" w:cs="Times New Roman"/>
          <w:sz w:val="24"/>
          <w:szCs w:val="24"/>
        </w:rPr>
        <w:instrText xml:space="preserve"> TOC \o "1-3" \h \z \u </w:instrText>
      </w:r>
      <w:r>
        <w:rPr>
          <w:rFonts w:ascii="Times New Roman" w:hAnsi="Times New Roman" w:eastAsia="Times New Roman" w:cs="Times New Roman"/>
          <w:sz w:val="24"/>
          <w:szCs w:val="24"/>
        </w:rPr>
        <w:fldChar w:fldCharType="separate"/>
      </w:r>
    </w:p>
    <w:p w14:paraId="395B0654">
      <w:pPr>
        <w:pStyle w:val="66"/>
        <w:keepNext w:val="0"/>
        <w:keepLines w:val="0"/>
        <w:pageBreakBefore w:val="0"/>
        <w:widowControl/>
        <w:tabs>
          <w:tab w:val="right" w:leader="dot" w:pos="96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eastAsia="Times New Roman" w:cs="Times New Roman"/>
          <w:color w:val="auto"/>
          <w:sz w:val="24"/>
          <w:szCs w:val="24"/>
        </w:rPr>
        <w:fldChar w:fldCharType="begin"/>
      </w:r>
      <w:r>
        <w:rPr>
          <w:rFonts w:ascii="Times New Roman" w:hAnsi="Times New Roman" w:eastAsia="Times New Roman" w:cs="Times New Roman"/>
          <w:color w:val="auto"/>
          <w:sz w:val="24"/>
          <w:szCs w:val="24"/>
        </w:rPr>
        <w:instrText xml:space="preserve"> HYPERLINK \l "_Toc200411836" </w:instrText>
      </w:r>
      <w:r>
        <w:rPr>
          <w:rFonts w:ascii="Times New Roman" w:hAnsi="Times New Roman" w:eastAsia="Times New Roman" w:cs="Times New Roman"/>
          <w:color w:val="auto"/>
          <w:sz w:val="24"/>
          <w:szCs w:val="24"/>
        </w:rPr>
        <w:fldChar w:fldCharType="separate"/>
      </w:r>
      <w:r>
        <w:rPr>
          <w:rFonts w:ascii="Times New Roman" w:hAnsi="Times New Roman" w:eastAsia="Times New Roman" w:cs="Times New Roman"/>
          <w:bCs/>
          <w:color w:val="auto"/>
          <w:kern w:val="36"/>
          <w:sz w:val="28"/>
          <w:szCs w:val="28"/>
          <w:u w:val="single"/>
        </w:rPr>
        <w:t>Введение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                                                                                                                  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 xml:space="preserve"> 6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fldChar w:fldCharType="end"/>
      </w:r>
    </w:p>
    <w:p w14:paraId="49F74B34">
      <w:pPr>
        <w:pStyle w:val="66"/>
        <w:keepNext w:val="0"/>
        <w:keepLines w:val="0"/>
        <w:pageBreakBefore w:val="0"/>
        <w:widowControl/>
        <w:tabs>
          <w:tab w:val="right" w:leader="dot" w:pos="96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cs="Times New Roman" w:eastAsiaTheme="minorEastAsia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fldChar w:fldCharType="begin"/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instrText xml:space="preserve"> HYPERLINK \l "_Toc200411837" </w:instrTex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fldChar w:fldCharType="separate"/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1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.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Раздел 1.1. Расчетный                                      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 xml:space="preserve">                                                     7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fldChar w:fldCharType="end"/>
      </w:r>
    </w:p>
    <w:p w14:paraId="5273646D">
      <w:pPr>
        <w:pStyle w:val="66"/>
        <w:keepNext w:val="0"/>
        <w:keepLines w:val="0"/>
        <w:pageBreakBefore w:val="0"/>
        <w:widowControl/>
        <w:tabs>
          <w:tab w:val="right" w:leader="dot" w:pos="96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fldChar w:fldCharType="begin"/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instrText xml:space="preserve"> HYPERLINK \l "_Toc200411838" </w:instrTex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fldChar w:fldCharType="separate"/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2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.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Раздел 2. Проектный                                                                                     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 xml:space="preserve">       1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fldChar w:fldCharType="end"/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1</w:t>
      </w:r>
      <w:r>
        <w:rPr>
          <w:rFonts w:ascii="Times New Roman" w:hAnsi="Times New Roman" w:eastAsia="Times New Roman" w:cs="Times New Roman"/>
          <w:color w:val="auto"/>
          <w:sz w:val="28"/>
          <w:szCs w:val="28"/>
          <w:u w:val="single"/>
        </w:rPr>
        <w:t xml:space="preserve"> </w:t>
      </w:r>
    </w:p>
    <w:p w14:paraId="5A37E294">
      <w:pPr>
        <w:pStyle w:val="66"/>
        <w:keepNext w:val="0"/>
        <w:keepLines w:val="0"/>
        <w:pageBreakBefore w:val="0"/>
        <w:widowControl/>
        <w:tabs>
          <w:tab w:val="right" w:leader="dot" w:pos="96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color w:val="auto"/>
          <w:sz w:val="24"/>
          <w:szCs w:val="24"/>
        </w:rPr>
        <w:fldChar w:fldCharType="begin"/>
      </w:r>
      <w:r>
        <w:rPr>
          <w:rFonts w:ascii="Times New Roman" w:hAnsi="Times New Roman" w:eastAsia="Times New Roman" w:cs="Times New Roman"/>
          <w:color w:val="auto"/>
          <w:sz w:val="24"/>
          <w:szCs w:val="24"/>
        </w:rPr>
        <w:instrText xml:space="preserve"> HYPERLINK \l "_Toc200411839" </w:instrText>
      </w:r>
      <w:r>
        <w:rPr>
          <w:rFonts w:ascii="Times New Roman" w:hAnsi="Times New Roman" w:eastAsia="Times New Roman" w:cs="Times New Roman"/>
          <w:color w:val="auto"/>
          <w:sz w:val="24"/>
          <w:szCs w:val="24"/>
        </w:rPr>
        <w:fldChar w:fldCharType="separate"/>
      </w:r>
      <w:r>
        <w:rPr>
          <w:rFonts w:ascii="Times New Roman" w:hAnsi="Times New Roman" w:eastAsia="Times New Roman" w:cs="Times New Roman"/>
          <w:bCs/>
          <w:color w:val="auto"/>
          <w:kern w:val="36"/>
          <w:sz w:val="28"/>
          <w:szCs w:val="28"/>
          <w:u w:val="single"/>
        </w:rPr>
        <w:t>Заключение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                                                                                                           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 xml:space="preserve"> 2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fldChar w:fldCharType="end"/>
      </w:r>
      <w:r>
        <w:rPr>
          <w:rFonts w:hint="default" w:ascii="Times New Roman" w:hAnsi="Times New Roman" w:eastAsia="Times New Roman" w:cs="Times New Roman"/>
          <w:color w:val="auto"/>
          <w:sz w:val="28"/>
          <w:szCs w:val="28"/>
          <w:lang w:val="ru-RU"/>
        </w:rPr>
        <w:t>1</w:t>
      </w:r>
    </w:p>
    <w:p w14:paraId="467E6498">
      <w:pPr>
        <w:pStyle w:val="66"/>
        <w:tabs>
          <w:tab w:val="right" w:leader="dot" w:pos="9628"/>
        </w:tabs>
        <w:spacing w:after="0" w:line="240" w:lineRule="auto"/>
        <w:jc w:val="both"/>
        <w:rPr>
          <w:rFonts w:ascii="Times New Roman" w:hAnsi="Times New Roman" w:cs="Times New Roman" w:eastAsiaTheme="minorEastAsia"/>
          <w:sz w:val="24"/>
          <w:szCs w:val="24"/>
        </w:rPr>
      </w:pPr>
    </w:p>
    <w:p w14:paraId="72EF3C8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fldChar w:fldCharType="end"/>
      </w:r>
    </w:p>
    <w:p w14:paraId="58B11284">
      <w:pPr>
        <w:jc w:val="both"/>
        <w:rPr>
          <w:rFonts w:hint="default" w:ascii="Times New Roman" w:hAnsi="Times New Roman" w:cs="Times New Roman"/>
          <w:lang w:val="en-US"/>
        </w:rPr>
      </w:pPr>
    </w:p>
    <w:p w14:paraId="04599D1B">
      <w:pPr>
        <w:jc w:val="both"/>
        <w:rPr>
          <w:rFonts w:hint="default" w:ascii="Times New Roman" w:hAnsi="Times New Roman" w:cs="Times New Roman"/>
          <w:lang w:val="en-US"/>
        </w:rPr>
      </w:pPr>
    </w:p>
    <w:p w14:paraId="0BB59052">
      <w:pPr>
        <w:jc w:val="both"/>
        <w:rPr>
          <w:rFonts w:hint="default" w:ascii="Times New Roman" w:hAnsi="Times New Roman" w:cs="Times New Roman"/>
          <w:lang w:val="en-US"/>
        </w:rPr>
      </w:pPr>
    </w:p>
    <w:p w14:paraId="349728A7">
      <w:pPr>
        <w:jc w:val="both"/>
        <w:rPr>
          <w:rFonts w:hint="default" w:ascii="Times New Roman" w:hAnsi="Times New Roman" w:cs="Times New Roman"/>
          <w:lang w:val="en-US"/>
        </w:rPr>
      </w:pPr>
    </w:p>
    <w:p w14:paraId="6057526E">
      <w:pPr>
        <w:jc w:val="both"/>
        <w:rPr>
          <w:rFonts w:hint="default" w:ascii="Times New Roman" w:hAnsi="Times New Roman" w:cs="Times New Roman"/>
          <w:lang w:val="en-US"/>
        </w:rPr>
      </w:pPr>
    </w:p>
    <w:p w14:paraId="06538785">
      <w:pPr>
        <w:jc w:val="both"/>
        <w:rPr>
          <w:rFonts w:hint="default" w:ascii="Times New Roman" w:hAnsi="Times New Roman" w:cs="Times New Roman"/>
          <w:lang w:val="en-US"/>
        </w:rPr>
      </w:pPr>
    </w:p>
    <w:p w14:paraId="16CDCD7F">
      <w:pPr>
        <w:jc w:val="both"/>
        <w:rPr>
          <w:rFonts w:hint="default" w:ascii="Times New Roman" w:hAnsi="Times New Roman" w:cs="Times New Roman"/>
          <w:lang w:val="en-US"/>
        </w:rPr>
      </w:pPr>
    </w:p>
    <w:p w14:paraId="58547552">
      <w:pPr>
        <w:jc w:val="both"/>
        <w:rPr>
          <w:rFonts w:hint="default" w:ascii="Times New Roman" w:hAnsi="Times New Roman" w:cs="Times New Roman"/>
          <w:lang w:val="en-US"/>
        </w:rPr>
      </w:pPr>
    </w:p>
    <w:p w14:paraId="2910C15A">
      <w:pPr>
        <w:jc w:val="both"/>
        <w:rPr>
          <w:rFonts w:hint="default" w:ascii="Times New Roman" w:hAnsi="Times New Roman" w:cs="Times New Roman"/>
          <w:lang w:val="en-US"/>
        </w:rPr>
      </w:pPr>
    </w:p>
    <w:p w14:paraId="6B723457">
      <w:pPr>
        <w:jc w:val="both"/>
        <w:rPr>
          <w:rFonts w:hint="default" w:ascii="Times New Roman" w:hAnsi="Times New Roman" w:cs="Times New Roman"/>
          <w:lang w:val="en-US"/>
        </w:rPr>
      </w:pPr>
    </w:p>
    <w:p w14:paraId="7E392D7B">
      <w:pPr>
        <w:jc w:val="both"/>
        <w:rPr>
          <w:rFonts w:hint="default" w:ascii="Times New Roman" w:hAnsi="Times New Roman" w:cs="Times New Roman"/>
          <w:lang w:val="en-US"/>
        </w:rPr>
      </w:pPr>
    </w:p>
    <w:p w14:paraId="6629C279">
      <w:pPr>
        <w:jc w:val="both"/>
        <w:rPr>
          <w:rFonts w:hint="default" w:ascii="Times New Roman" w:hAnsi="Times New Roman" w:cs="Times New Roman"/>
          <w:lang w:val="en-US"/>
        </w:rPr>
      </w:pPr>
    </w:p>
    <w:p w14:paraId="2C131205">
      <w:pPr>
        <w:jc w:val="both"/>
        <w:rPr>
          <w:rFonts w:hint="default" w:ascii="Times New Roman" w:hAnsi="Times New Roman" w:cs="Times New Roman"/>
          <w:lang w:val="en-US"/>
        </w:rPr>
      </w:pPr>
    </w:p>
    <w:p w14:paraId="421F08C2">
      <w:pPr>
        <w:jc w:val="both"/>
        <w:rPr>
          <w:rFonts w:hint="default" w:ascii="Times New Roman" w:hAnsi="Times New Roman" w:cs="Times New Roman"/>
          <w:lang w:val="en-US"/>
        </w:rPr>
      </w:pPr>
    </w:p>
    <w:p w14:paraId="278B51DC">
      <w:pPr>
        <w:jc w:val="both"/>
        <w:rPr>
          <w:rFonts w:hint="default" w:ascii="Times New Roman" w:hAnsi="Times New Roman" w:cs="Times New Roman"/>
          <w:lang w:val="en-US"/>
        </w:rPr>
      </w:pPr>
    </w:p>
    <w:p w14:paraId="75C5B572">
      <w:pPr>
        <w:jc w:val="both"/>
        <w:rPr>
          <w:rFonts w:hint="default" w:ascii="Times New Roman" w:hAnsi="Times New Roman" w:cs="Times New Roman"/>
          <w:lang w:val="en-US"/>
        </w:rPr>
      </w:pPr>
    </w:p>
    <w:p w14:paraId="0004026F">
      <w:pPr>
        <w:jc w:val="both"/>
        <w:rPr>
          <w:rFonts w:hint="default" w:ascii="Times New Roman" w:hAnsi="Times New Roman" w:cs="Times New Roman"/>
          <w:lang w:val="en-US"/>
        </w:rPr>
      </w:pPr>
    </w:p>
    <w:p w14:paraId="1B2BC6E1">
      <w:pPr>
        <w:jc w:val="both"/>
        <w:rPr>
          <w:rFonts w:hint="default" w:ascii="Times New Roman" w:hAnsi="Times New Roman" w:cs="Times New Roman"/>
          <w:lang w:val="en-US"/>
        </w:rPr>
      </w:pPr>
    </w:p>
    <w:p w14:paraId="483D8068">
      <w:pPr>
        <w:jc w:val="both"/>
        <w:rPr>
          <w:rFonts w:hint="default" w:ascii="Times New Roman" w:hAnsi="Times New Roman" w:cs="Times New Roman"/>
          <w:lang w:val="en-US"/>
        </w:rPr>
      </w:pPr>
    </w:p>
    <w:p w14:paraId="334C895B">
      <w:pPr>
        <w:jc w:val="both"/>
        <w:rPr>
          <w:rFonts w:hint="default" w:ascii="Times New Roman" w:hAnsi="Times New Roman" w:cs="Times New Roman"/>
          <w:lang w:val="en-US"/>
        </w:rPr>
      </w:pPr>
    </w:p>
    <w:p w14:paraId="7AF2BD95">
      <w:pPr>
        <w:jc w:val="both"/>
        <w:rPr>
          <w:rFonts w:hint="default" w:ascii="Times New Roman" w:hAnsi="Times New Roman" w:cs="Times New Roman"/>
          <w:lang w:val="en-US"/>
        </w:rPr>
      </w:pPr>
    </w:p>
    <w:p w14:paraId="5E51CDFD">
      <w:pPr>
        <w:spacing w:after="240" w:line="240" w:lineRule="auto"/>
        <w:jc w:val="both"/>
        <w:rPr>
          <w:rFonts w:ascii="Arial" w:hAnsi="Arial" w:cs="Arial"/>
          <w:sz w:val="30"/>
          <w:szCs w:val="30"/>
        </w:rPr>
      </w:pPr>
    </w:p>
    <w:p w14:paraId="1DBE879B">
      <w:pPr>
        <w:spacing w:after="240" w:line="240" w:lineRule="auto"/>
        <w:jc w:val="both"/>
        <w:rPr>
          <w:rFonts w:ascii="Arial" w:hAnsi="Arial" w:cs="Arial"/>
          <w:sz w:val="30"/>
          <w:szCs w:val="30"/>
        </w:rPr>
      </w:pPr>
    </w:p>
    <w:p w14:paraId="3849666A">
      <w:pPr>
        <w:spacing w:after="240" w:line="240" w:lineRule="auto"/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Введение</w:t>
      </w:r>
    </w:p>
    <w:p w14:paraId="3DB1E051">
      <w:pPr>
        <w:spacing w:before="100" w:beforeAutospacing="1" w:after="100" w:afterAutospacing="1" w:line="360" w:lineRule="auto"/>
        <w:ind w:firstLine="709"/>
        <w:contextualSpacing/>
        <w:jc w:val="both"/>
        <w:rPr>
          <w:rFonts w:hint="default"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В период с 1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>6 июня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по 1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>9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июля 202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>5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года проходила производственную технологическую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(проектно-технологическ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ую</w:t>
      </w:r>
      <w:r>
        <w:rPr>
          <w:rFonts w:ascii="Times New Roman" w:hAnsi="Times New Roman"/>
          <w:color w:val="000000"/>
          <w:sz w:val="28"/>
          <w:szCs w:val="28"/>
        </w:rPr>
        <w:t>)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практику в</w:t>
      </w:r>
      <w:r>
        <w:rPr>
          <w:rFonts w:ascii="Times New Roman" w:hAnsi="Times New Roman"/>
          <w:color w:val="000000"/>
          <w:sz w:val="28"/>
          <w:szCs w:val="28"/>
        </w:rPr>
        <w:t xml:space="preserve"> АО «Альфа-Банк»</w:t>
      </w:r>
      <w:r>
        <w:rPr>
          <w:rFonts w:hint="default" w:ascii="Times New Roman" w:hAnsi="Times New Roman"/>
          <w:color w:val="000000"/>
          <w:sz w:val="28"/>
          <w:szCs w:val="28"/>
          <w:lang w:val="ru-RU"/>
        </w:rPr>
        <w:t xml:space="preserve"> по адресу Светланская 43.</w:t>
      </w:r>
    </w:p>
    <w:p w14:paraId="74EF6A08">
      <w:pPr>
        <w:spacing w:before="100" w:beforeAutospacing="1" w:after="100" w:afterAutospacing="1" w:line="360" w:lineRule="auto"/>
        <w:ind w:firstLine="709"/>
        <w:contextualSpacing/>
        <w:jc w:val="both"/>
        <w:rPr>
          <w:rFonts w:hint="default"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Основная цель проектно-технологической практики заключается в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формировани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szCs w:val="28"/>
        </w:rPr>
        <w:t xml:space="preserve"> у студентов профессиональных умений и опыта профессиональной деятельности</w:t>
      </w:r>
      <w:r>
        <w:rPr>
          <w:rFonts w:hint="default" w:ascii="Times New Roman" w:hAnsi="Times New Roman"/>
          <w:color w:val="000000"/>
          <w:sz w:val="28"/>
          <w:szCs w:val="28"/>
          <w:lang w:val="ru-RU"/>
        </w:rPr>
        <w:t>, посредством углубления навыков эффективного поиска, критического анализа и системного структурирования информации, приобретения первичного практического опыта в сборе, обработке и интерпретации данных, непосредственно востребованных для решения профильных профессиональных задач.</w:t>
      </w:r>
    </w:p>
    <w:p w14:paraId="164FDD20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Задачами производственной технологической практики являются:</w:t>
      </w:r>
    </w:p>
    <w:p w14:paraId="10E2C734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закрепление и развитие знаний, умений, владений в сфере профессиональной деятельности, полученных студентами в процессе обучения;</w:t>
      </w:r>
    </w:p>
    <w:p w14:paraId="6700E0AB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приобретение студентами опыта профессиональной деятельности в процессе выполнения конкретных задач, определенных руководителем практики от предприятия (организации);</w:t>
      </w:r>
    </w:p>
    <w:p w14:paraId="27B7E49A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сбор, обработка и анализ фактического материала для выполнения выпускной квалификационной работы; развитие навыков расчета финансово–экономических показателей, характеризующих деятельность хозяйствующих субъектов.</w:t>
      </w:r>
    </w:p>
    <w:p w14:paraId="54C9B1AC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Для решения задач и достижения поставленной цели были использованы системный подход, методы анализа и синтеза, методы сравнения и обобщения, коэффициентный анализ финансовых показателей.</w:t>
      </w:r>
    </w:p>
    <w:p w14:paraId="2C99C3C2">
      <w:pPr>
        <w:spacing w:before="100" w:beforeAutospacing="1" w:after="100" w:afterAutospacing="1" w:line="360" w:lineRule="auto"/>
        <w:ind w:firstLine="709"/>
        <w:contextualSpacing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356B5BD2">
      <w:pPr>
        <w:spacing w:before="100" w:beforeAutospacing="1" w:after="100" w:afterAutospacing="1" w:line="360" w:lineRule="auto"/>
        <w:ind w:firstLine="709"/>
        <w:contextualSpacing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737DC69E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3EC48760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22B2C273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10959D07">
      <w:pPr>
        <w:pStyle w:val="151"/>
        <w:numPr>
          <w:ilvl w:val="0"/>
          <w:numId w:val="11"/>
        </w:numPr>
        <w:shd w:val="clear" w:color="auto" w:fill="FFFFFF"/>
        <w:spacing w:after="240"/>
        <w:ind w:left="2016" w:leftChars="0" w:hanging="567" w:firstLineChars="0"/>
        <w:contextualSpacing w:val="0"/>
        <w:jc w:val="both"/>
        <w:rPr>
          <w:rFonts w:ascii="Arial" w:hAnsi="Arial" w:cs="Arial"/>
          <w:color w:val="000000" w:themeColor="text1"/>
          <w:sz w:val="30"/>
          <w:szCs w:val="30"/>
          <w:highlight w:val="white"/>
          <w14:textFill>
            <w14:solidFill>
              <w14:schemeClr w14:val="tx1"/>
            </w14:solidFill>
          </w14:textFill>
        </w:rPr>
      </w:pPr>
      <w:bookmarkStart w:id="0" w:name="_Toc165294827"/>
      <w:r>
        <w:rPr>
          <w:rFonts w:ascii="Arial" w:hAnsi="Arial" w:cs="Arial"/>
          <w:b w:val="0"/>
          <w:color w:val="000000"/>
          <w:sz w:val="30"/>
          <w:szCs w:val="30"/>
        </w:rPr>
        <w:t xml:space="preserve"> </w:t>
      </w:r>
      <w:bookmarkEnd w:id="0"/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Раздел 1.1. Расчетный</w:t>
      </w:r>
    </w:p>
    <w:p w14:paraId="00D7D3EE">
      <w:pPr>
        <w:spacing w:after="0" w:line="360" w:lineRule="auto"/>
        <w:ind w:firstLine="708" w:firstLineChars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АО «Альфа-Банк» был основан в 1990 году и на сегодняшний день является одним из ведущих банков России. Основным видом деятельности компании является предоставление услуг в банковской сфере, которая включает в себя обслуживание как физических, так и юридических лиц, и инвесторов.</w:t>
      </w:r>
    </w:p>
    <w:p w14:paraId="72EA0E86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Полное фирменное наименование банка – Акционерное общество «Альфа-Банк». Банк зарегистрирован по адресу: г. Москва, ул. Каланчевская, д. 27 (юридический адрес). Уставный капитал составляет 59 587 623 000 рублей.</w:t>
      </w:r>
    </w:p>
    <w:p w14:paraId="6D8708D6">
      <w:p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Организационно правовая форма – непубличное акционерное общество.</w:t>
      </w:r>
    </w:p>
    <w:p w14:paraId="577C9ADB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К особенностям данной ОПФ можно отнести: </w:t>
      </w:r>
    </w:p>
    <w:p w14:paraId="624D9A53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закрытый характер распределения акций; </w:t>
      </w:r>
    </w:p>
    <w:p w14:paraId="56264907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акции не могут быть размещены на биржах; </w:t>
      </w:r>
    </w:p>
    <w:p w14:paraId="15CC7A72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ограниченное количество членов общества; </w:t>
      </w:r>
    </w:p>
    <w:p w14:paraId="60822647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нет указания на публичность общества в уставном документе; </w:t>
      </w:r>
    </w:p>
    <w:p w14:paraId="7C035AD7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капитал могут составлять деньги, ценные бумаги, имущество; </w:t>
      </w:r>
    </w:p>
    <w:p w14:paraId="27C0DD46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введено ограничение на уставной капитал – не менее 10000 рублей. </w:t>
      </w:r>
    </w:p>
    <w:p w14:paraId="2CF580F3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Основным видом деятельности является денежное посредничество прочее (64.19), специальный налоговый режим не применяется, это говорит о том, что АО «Альфа-Банк» находится на общей системе налогообложения.</w:t>
      </w:r>
    </w:p>
    <w:p w14:paraId="6160BECB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Организационная структура управления АО Альфа-Банк представлена на рисунке 1.1.</w:t>
      </w:r>
    </w:p>
    <w:p w14:paraId="747A13B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Первый блок – корпоративный – занимается работой с юридическими лицами: их кредитованием, продажами активов малому и среднему бизнесу, финансированием недвижимости, предоставлением залогов, а также юридической деятельностью по вопросам проблемных активов. </w:t>
      </w:r>
    </w:p>
    <w:p w14:paraId="7FBA20D5">
      <w:pPr>
        <w:spacing w:after="0" w:line="360" w:lineRule="auto"/>
        <w:ind w:firstLine="709"/>
        <w:jc w:val="both"/>
        <w:rPr>
          <w:rFonts w:hint="default" w:ascii="Times New Roman" w:hAnsi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/>
          <w:color w:val="000000"/>
          <w:sz w:val="28"/>
          <w:szCs w:val="28"/>
        </w:rPr>
        <w:t>Второй блок – розничный – обслуживает клиентскую базу физических лиц. Он работает как с местными отделениями банка, так и с находящимися на удаленном расстоянии.</w:t>
      </w:r>
    </w:p>
    <w:p w14:paraId="1014F08B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4876800" cy="5594350"/>
            <wp:effectExtent l="0" t="0" r="0" b="139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559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C18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/>
        <w:ind w:firstLine="709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en-US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en-US" w:eastAsia="ru-RU"/>
        </w:rPr>
        <w:t>Рисунок 1.1 – Организационная структура управления АО Альфа-Банк</w:t>
      </w:r>
    </w:p>
    <w:p w14:paraId="1028E6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en-US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en-US" w:eastAsia="ru-RU"/>
        </w:rPr>
        <w:t>Деятельность АО «Альфа-Банк» направлена на оказание полного перечня услуг физическим и юридическим лицам. Банк сохранит свою универсальность при концентрации на двух основных направлениях: обслуживание клиентов физических лиц и МСБ. При этом существенно усилится фокус на развитие цифровых технологий и онлайн-сервисов</w:t>
      </w:r>
      <w:r>
        <w:rPr>
          <w:rFonts w:ascii="Times New Roman" w:hAnsi="Times New Roman"/>
          <w:color w:val="000000"/>
          <w:sz w:val="28"/>
        </w:rPr>
        <w:t>.</w:t>
      </w:r>
    </w:p>
    <w:p w14:paraId="3F2D16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Как видно, Альфа-Банк фигурирует в «пятерке» российских банков, на уровне с такими крупными банками, как Сбербанк, ВТБ, ПСБ-банк</w:t>
      </w:r>
      <w:r>
        <w:rPr>
          <w:rFonts w:hint="default" w:ascii="Times New Roman" w:hAnsi="Times New Roman"/>
          <w:color w:val="000000"/>
          <w:sz w:val="28"/>
          <w:szCs w:val="28"/>
          <w:lang w:val="ru-RU"/>
        </w:rPr>
        <w:t>, Газпромбанк</w:t>
      </w:r>
      <w:r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hint="default" w:ascii="Times New Roman" w:hAnsi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Рейтинг банков приведен в таблице 1.1.</w:t>
      </w:r>
    </w:p>
    <w:p w14:paraId="2B5B7B59">
      <w:pPr>
        <w:spacing w:before="240" w:after="120" w:line="240" w:lineRule="auto"/>
        <w:ind w:left="1701" w:hanging="1701"/>
        <w:rPr>
          <w:rFonts w:ascii="Times New Roman" w:hAnsi="Times New Roman"/>
          <w:color w:val="000000"/>
          <w:sz w:val="28"/>
          <w:szCs w:val="28"/>
        </w:rPr>
      </w:pPr>
    </w:p>
    <w:p w14:paraId="17519E34">
      <w:pPr>
        <w:spacing w:before="240" w:after="120" w:line="240" w:lineRule="auto"/>
        <w:ind w:left="1701" w:hanging="170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Таблица 1.1 – Место АО «Альфа-Банк» в официальных рейтингах банков           за 202</w:t>
      </w:r>
      <w:r>
        <w:rPr>
          <w:rFonts w:hint="default" w:ascii="Times New Roman" w:hAnsi="Times New Roman"/>
          <w:color w:val="000000"/>
          <w:sz w:val="28"/>
          <w:szCs w:val="28"/>
          <w:lang w:val="ru-RU"/>
        </w:rPr>
        <w:t>5</w:t>
      </w:r>
      <w:r>
        <w:rPr>
          <w:rFonts w:ascii="Times New Roman" w:hAnsi="Times New Roman"/>
          <w:color w:val="000000"/>
          <w:sz w:val="28"/>
          <w:szCs w:val="28"/>
        </w:rPr>
        <w:t xml:space="preserve"> г.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6"/>
        <w:gridCol w:w="2336"/>
        <w:gridCol w:w="2666"/>
        <w:gridCol w:w="2337"/>
      </w:tblGrid>
      <w:tr w14:paraId="721D5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336" w:type="dxa"/>
            <w:vAlign w:val="center"/>
          </w:tcPr>
          <w:p w14:paraId="4050099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Место в рейтинге</w:t>
            </w:r>
          </w:p>
        </w:tc>
        <w:tc>
          <w:tcPr>
            <w:tcW w:w="2336" w:type="dxa"/>
            <w:vAlign w:val="center"/>
          </w:tcPr>
          <w:p w14:paraId="066BE46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Перемещение в</w:t>
            </w:r>
          </w:p>
          <w:p w14:paraId="4F24752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2666" w:type="dxa"/>
            <w:vAlign w:val="center"/>
          </w:tcPr>
          <w:p w14:paraId="07FE73A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Банк</w:t>
            </w:r>
          </w:p>
        </w:tc>
        <w:tc>
          <w:tcPr>
            <w:tcW w:w="2337" w:type="dxa"/>
            <w:vAlign w:val="center"/>
          </w:tcPr>
          <w:p w14:paraId="4AF8D1F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МедиаИндекс</w:t>
            </w:r>
          </w:p>
        </w:tc>
      </w:tr>
      <w:tr w14:paraId="46C4F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6" w:type="dxa"/>
            <w:vAlign w:val="center"/>
          </w:tcPr>
          <w:p w14:paraId="7CFC255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  <w:vAlign w:val="center"/>
          </w:tcPr>
          <w:p w14:paraId="2080538E">
            <w:pPr>
              <w:spacing w:after="0" w:line="36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+1</w:t>
            </w:r>
          </w:p>
        </w:tc>
        <w:tc>
          <w:tcPr>
            <w:tcW w:w="2666" w:type="dxa"/>
            <w:vAlign w:val="center"/>
          </w:tcPr>
          <w:p w14:paraId="5ACE012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Сбербанк</w:t>
            </w:r>
          </w:p>
        </w:tc>
        <w:tc>
          <w:tcPr>
            <w:tcW w:w="2337" w:type="dxa"/>
            <w:vAlign w:val="center"/>
          </w:tcPr>
          <w:p w14:paraId="0CD04AF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220 051,6</w:t>
            </w:r>
          </w:p>
        </w:tc>
      </w:tr>
      <w:tr w14:paraId="3CB60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6" w:type="dxa"/>
            <w:vAlign w:val="center"/>
          </w:tcPr>
          <w:p w14:paraId="15469EA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2336" w:type="dxa"/>
            <w:vAlign w:val="center"/>
          </w:tcPr>
          <w:p w14:paraId="3F93FD07">
            <w:pPr>
              <w:spacing w:after="0" w:line="36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-1</w:t>
            </w:r>
          </w:p>
        </w:tc>
        <w:tc>
          <w:tcPr>
            <w:tcW w:w="2666" w:type="dxa"/>
            <w:vAlign w:val="center"/>
          </w:tcPr>
          <w:p w14:paraId="293D6B2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ВТБ</w:t>
            </w:r>
          </w:p>
        </w:tc>
        <w:tc>
          <w:tcPr>
            <w:tcW w:w="2337" w:type="dxa"/>
            <w:vAlign w:val="center"/>
          </w:tcPr>
          <w:p w14:paraId="59A1D2E1">
            <w:pPr>
              <w:spacing w:after="0" w:line="36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16 282,0</w:t>
            </w:r>
          </w:p>
        </w:tc>
      </w:tr>
      <w:tr w14:paraId="04C13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6" w:type="dxa"/>
            <w:vAlign w:val="center"/>
          </w:tcPr>
          <w:p w14:paraId="367293D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2336" w:type="dxa"/>
            <w:vAlign w:val="center"/>
          </w:tcPr>
          <w:p w14:paraId="45836A8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0</w:t>
            </w:r>
          </w:p>
        </w:tc>
        <w:tc>
          <w:tcPr>
            <w:tcW w:w="2666" w:type="dxa"/>
            <w:vAlign w:val="center"/>
          </w:tcPr>
          <w:p w14:paraId="5AC7EFB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Альфа – банк</w:t>
            </w:r>
          </w:p>
        </w:tc>
        <w:tc>
          <w:tcPr>
            <w:tcW w:w="2337" w:type="dxa"/>
            <w:vAlign w:val="center"/>
          </w:tcPr>
          <w:p w14:paraId="263DE830">
            <w:pPr>
              <w:spacing w:after="0" w:line="36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58 501,7</w:t>
            </w:r>
          </w:p>
        </w:tc>
      </w:tr>
      <w:tr w14:paraId="28E16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6" w:type="dxa"/>
            <w:vAlign w:val="center"/>
          </w:tcPr>
          <w:p w14:paraId="2E70BC2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2336" w:type="dxa"/>
            <w:vAlign w:val="center"/>
          </w:tcPr>
          <w:p w14:paraId="781A6E6B">
            <w:pPr>
              <w:spacing w:after="0" w:line="36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0</w:t>
            </w:r>
          </w:p>
        </w:tc>
        <w:tc>
          <w:tcPr>
            <w:tcW w:w="2666" w:type="dxa"/>
            <w:vAlign w:val="center"/>
          </w:tcPr>
          <w:p w14:paraId="32E56A8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ПСБ Банк</w:t>
            </w:r>
          </w:p>
        </w:tc>
        <w:tc>
          <w:tcPr>
            <w:tcW w:w="2337" w:type="dxa"/>
            <w:vAlign w:val="center"/>
          </w:tcPr>
          <w:p w14:paraId="6E5F1DCC">
            <w:pPr>
              <w:spacing w:after="0" w:line="36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41 347,2</w:t>
            </w:r>
          </w:p>
        </w:tc>
      </w:tr>
      <w:tr w14:paraId="3B2D4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6" w:type="dxa"/>
            <w:vAlign w:val="center"/>
          </w:tcPr>
          <w:p w14:paraId="0635084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2336" w:type="dxa"/>
            <w:vAlign w:val="center"/>
          </w:tcPr>
          <w:p w14:paraId="6E39EB4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+1</w:t>
            </w:r>
          </w:p>
        </w:tc>
        <w:tc>
          <w:tcPr>
            <w:tcW w:w="2666" w:type="dxa"/>
            <w:vAlign w:val="center"/>
          </w:tcPr>
          <w:p w14:paraId="5ECA50BB">
            <w:pPr>
              <w:spacing w:after="0" w:line="36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Газпромбанк</w:t>
            </w:r>
          </w:p>
        </w:tc>
        <w:tc>
          <w:tcPr>
            <w:tcW w:w="2337" w:type="dxa"/>
            <w:vAlign w:val="center"/>
          </w:tcPr>
          <w:p w14:paraId="15F27540">
            <w:pPr>
              <w:spacing w:after="0" w:line="360" w:lineRule="auto"/>
              <w:jc w:val="center"/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8"/>
                <w:szCs w:val="28"/>
                <w:lang w:val="ru-RU"/>
              </w:rPr>
              <w:t>40 458,8</w:t>
            </w:r>
          </w:p>
        </w:tc>
      </w:tr>
    </w:tbl>
    <w:p w14:paraId="27F85C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0" w:line="360" w:lineRule="auto"/>
        <w:ind w:firstLine="709" w:firstLineChars="0"/>
        <w:jc w:val="both"/>
        <w:textAlignment w:val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Как видно из таблицы 1.1, АО «Альфа-Банк» занимает на 202</w:t>
      </w:r>
      <w:r>
        <w:rPr>
          <w:rFonts w:hint="default" w:ascii="Times New Roman" w:hAnsi="Times New Roman"/>
          <w:color w:val="000000"/>
          <w:sz w:val="28"/>
          <w:szCs w:val="28"/>
          <w:lang w:val="ru-RU"/>
        </w:rPr>
        <w:t>5</w:t>
      </w:r>
      <w:r>
        <w:rPr>
          <w:rFonts w:ascii="Times New Roman" w:hAnsi="Times New Roman"/>
          <w:color w:val="000000"/>
          <w:sz w:val="28"/>
          <w:szCs w:val="28"/>
        </w:rPr>
        <w:t xml:space="preserve"> год 3 место в рейтинге российских банков.</w:t>
      </w:r>
    </w:p>
    <w:p w14:paraId="56866CE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360" w:lineRule="auto"/>
        <w:ind w:firstLine="709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Данные по технико-экономическим показателям организации и их расчеты представлены в таблице 1.2.</w:t>
      </w:r>
    </w:p>
    <w:p w14:paraId="487AB0F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uto"/>
        <w:jc w:val="both"/>
        <w:textAlignment w:val="auto"/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Таблица 1.2 – Анализ основных технико-экономических показателей </w:t>
      </w: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АО «Альфа-Банк»</w:t>
      </w:r>
      <w:r>
        <w:rPr>
          <w:rFonts w:hint="default" w:ascii="Times New Roman" w:hAnsi="Times New Roman"/>
          <w:color w:val="000000"/>
          <w:sz w:val="28"/>
          <w:szCs w:val="28"/>
          <w:lang w:val="en-US" w:eastAsia="ru-RU"/>
        </w:rPr>
        <w:t xml:space="preserve"> [5].</w:t>
      </w:r>
    </w:p>
    <w:tbl>
      <w:tblPr>
        <w:tblStyle w:val="118"/>
        <w:tblW w:w="97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8"/>
        <w:gridCol w:w="1462"/>
        <w:gridCol w:w="1294"/>
        <w:gridCol w:w="1869"/>
        <w:gridCol w:w="2204"/>
      </w:tblGrid>
      <w:tr w14:paraId="6E173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8" w:type="dxa"/>
            <w:vAlign w:val="center"/>
          </w:tcPr>
          <w:p w14:paraId="1DF466E3">
            <w:pPr>
              <w:widowControl w:val="0"/>
              <w:spacing w:before="0" w:beforeAutospacing="0" w:after="0" w:afterAutospacing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Показатели</w:t>
            </w:r>
          </w:p>
        </w:tc>
        <w:tc>
          <w:tcPr>
            <w:tcW w:w="1462" w:type="dxa"/>
            <w:vAlign w:val="center"/>
          </w:tcPr>
          <w:p w14:paraId="4FD8FA28">
            <w:pPr>
              <w:widowControl w:val="0"/>
              <w:spacing w:before="0" w:beforeAutospacing="0" w:after="0" w:afterAutospacing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2023</w:t>
            </w:r>
          </w:p>
        </w:tc>
        <w:tc>
          <w:tcPr>
            <w:tcW w:w="1294" w:type="dxa"/>
            <w:vAlign w:val="center"/>
          </w:tcPr>
          <w:p w14:paraId="1519BB2C">
            <w:pPr>
              <w:widowControl w:val="0"/>
              <w:spacing w:before="0" w:beforeAutospacing="0" w:after="0" w:afterAutospacing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2024</w:t>
            </w:r>
          </w:p>
        </w:tc>
        <w:tc>
          <w:tcPr>
            <w:tcW w:w="1869" w:type="dxa"/>
            <w:vAlign w:val="center"/>
          </w:tcPr>
          <w:p w14:paraId="174B5121">
            <w:pPr>
              <w:widowControl w:val="0"/>
              <w:spacing w:before="0" w:beforeAutospacing="0" w:after="0" w:afterAutospacing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 xml:space="preserve">Абсолютное отклонение </w:t>
            </w:r>
          </w:p>
        </w:tc>
        <w:tc>
          <w:tcPr>
            <w:tcW w:w="2204" w:type="dxa"/>
            <w:vAlign w:val="center"/>
          </w:tcPr>
          <w:p w14:paraId="6CEF9C3C">
            <w:pPr>
              <w:widowControl w:val="0"/>
              <w:spacing w:before="0" w:beforeAutospacing="0" w:after="0" w:afterAutospacing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Темп прироста (%)</w:t>
            </w:r>
          </w:p>
        </w:tc>
      </w:tr>
      <w:tr w14:paraId="0A659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2888" w:type="dxa"/>
          </w:tcPr>
          <w:p w14:paraId="0BBD1A6A">
            <w:pPr>
              <w:widowControl w:val="0"/>
              <w:spacing w:before="0" w:beforeAutospacing="0" w:after="120" w:afterAutospacing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1 Выручка от реализации (тыс. руб.)</w:t>
            </w:r>
          </w:p>
        </w:tc>
        <w:tc>
          <w:tcPr>
            <w:tcW w:w="1462" w:type="dxa"/>
            <w:vAlign w:val="center"/>
          </w:tcPr>
          <w:p w14:paraId="5ECD3E2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  <w:t>390 974</w:t>
            </w:r>
          </w:p>
        </w:tc>
        <w:tc>
          <w:tcPr>
            <w:tcW w:w="1294" w:type="dxa"/>
            <w:vAlign w:val="center"/>
          </w:tcPr>
          <w:p w14:paraId="081A702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120" w:firstLineChars="5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ru-RU"/>
              </w:rPr>
              <w:t>508597</w:t>
            </w:r>
          </w:p>
        </w:tc>
        <w:tc>
          <w:tcPr>
            <w:tcW w:w="1869" w:type="dxa"/>
            <w:vAlign w:val="center"/>
          </w:tcPr>
          <w:p w14:paraId="5FBA16BC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117 623</w:t>
            </w:r>
          </w:p>
        </w:tc>
        <w:tc>
          <w:tcPr>
            <w:tcW w:w="2204" w:type="dxa"/>
            <w:vAlign w:val="center"/>
          </w:tcPr>
          <w:p w14:paraId="6FF22154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30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  <w:lang w:val="ru-RU"/>
              </w:rPr>
              <w:t>,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  <w:lang w:val="ru-RU"/>
              </w:rPr>
              <w:t>8</w:t>
            </w:r>
          </w:p>
        </w:tc>
      </w:tr>
      <w:tr w14:paraId="2AF94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8" w:type="dxa"/>
          </w:tcPr>
          <w:p w14:paraId="2186EC15">
            <w:pPr>
              <w:widowControl w:val="0"/>
              <w:spacing w:before="0" w:beforeAutospacing="0" w:after="120" w:afterAutospacing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2 Себестоимость продаж (тыс. руб.)</w:t>
            </w:r>
          </w:p>
        </w:tc>
        <w:tc>
          <w:tcPr>
            <w:tcW w:w="1462" w:type="dxa"/>
            <w:vAlign w:val="center"/>
          </w:tcPr>
          <w:p w14:paraId="2F0F824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  <w:t>(322 191)</w:t>
            </w:r>
          </w:p>
        </w:tc>
        <w:tc>
          <w:tcPr>
            <w:tcW w:w="1294" w:type="dxa"/>
            <w:vAlign w:val="center"/>
          </w:tcPr>
          <w:p w14:paraId="2BF8E85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  <w:t>(415 671)</w:t>
            </w:r>
          </w:p>
        </w:tc>
        <w:tc>
          <w:tcPr>
            <w:tcW w:w="1869" w:type="dxa"/>
            <w:vAlign w:val="center"/>
          </w:tcPr>
          <w:p w14:paraId="02BCF7FC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-93 480</w:t>
            </w:r>
          </w:p>
        </w:tc>
        <w:tc>
          <w:tcPr>
            <w:tcW w:w="2204" w:type="dxa"/>
            <w:vAlign w:val="center"/>
          </w:tcPr>
          <w:p w14:paraId="60CD8EEF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29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  <w:lang w:val="ru-RU"/>
              </w:rPr>
              <w:t>,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  <w:lang w:val="ru-RU"/>
              </w:rPr>
              <w:t>2</w:t>
            </w:r>
          </w:p>
        </w:tc>
      </w:tr>
      <w:tr w14:paraId="78828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8" w:type="dxa"/>
          </w:tcPr>
          <w:p w14:paraId="1F77AE4A">
            <w:pPr>
              <w:widowControl w:val="0"/>
              <w:spacing w:before="0" w:beforeAutospacing="0" w:after="120" w:afterAutospacing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3 Прибыль от продаж (убыток) (тыс. руб.)</w:t>
            </w:r>
          </w:p>
        </w:tc>
        <w:tc>
          <w:tcPr>
            <w:tcW w:w="1462" w:type="dxa"/>
            <w:vAlign w:val="center"/>
          </w:tcPr>
          <w:p w14:paraId="7BF8F18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10 251</w:t>
            </w:r>
          </w:p>
        </w:tc>
        <w:tc>
          <w:tcPr>
            <w:tcW w:w="1294" w:type="dxa"/>
            <w:vAlign w:val="center"/>
          </w:tcPr>
          <w:p w14:paraId="6ED125B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11 173</w:t>
            </w:r>
          </w:p>
        </w:tc>
        <w:tc>
          <w:tcPr>
            <w:tcW w:w="1869" w:type="dxa"/>
            <w:vAlign w:val="center"/>
          </w:tcPr>
          <w:p w14:paraId="0C0B3A3C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922</w:t>
            </w:r>
          </w:p>
        </w:tc>
        <w:tc>
          <w:tcPr>
            <w:tcW w:w="2204" w:type="dxa"/>
            <w:vAlign w:val="center"/>
          </w:tcPr>
          <w:p w14:paraId="72FE144B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ru-RU"/>
              </w:rPr>
              <w:t>8,99</w:t>
            </w:r>
          </w:p>
        </w:tc>
      </w:tr>
      <w:tr w14:paraId="42383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8" w:type="dxa"/>
          </w:tcPr>
          <w:p w14:paraId="47C59A44">
            <w:pPr>
              <w:widowControl w:val="0"/>
              <w:spacing w:before="0" w:beforeAutospacing="0" w:after="120" w:afterAutospacing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4 Рентабельность основной деятельности (%)</w:t>
            </w:r>
          </w:p>
        </w:tc>
        <w:tc>
          <w:tcPr>
            <w:tcW w:w="1462" w:type="dxa"/>
            <w:vAlign w:val="center"/>
          </w:tcPr>
          <w:p w14:paraId="62E7FDC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  <w:t>38,6</w:t>
            </w:r>
          </w:p>
        </w:tc>
        <w:tc>
          <w:tcPr>
            <w:tcW w:w="1294" w:type="dxa"/>
            <w:vAlign w:val="center"/>
          </w:tcPr>
          <w:p w14:paraId="13E9FA5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  <w:t>36,8</w:t>
            </w:r>
          </w:p>
        </w:tc>
        <w:tc>
          <w:tcPr>
            <w:tcW w:w="1869" w:type="dxa"/>
            <w:vAlign w:val="center"/>
          </w:tcPr>
          <w:p w14:paraId="0A0CA3FE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-1.8</w:t>
            </w:r>
          </w:p>
        </w:tc>
        <w:tc>
          <w:tcPr>
            <w:tcW w:w="2204" w:type="dxa"/>
            <w:vAlign w:val="center"/>
          </w:tcPr>
          <w:p w14:paraId="674F21B0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-4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  <w:lang w:val="ru-RU"/>
              </w:rPr>
              <w:t>,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66</w:t>
            </w:r>
          </w:p>
        </w:tc>
      </w:tr>
      <w:tr w14:paraId="75D01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8" w:type="dxa"/>
          </w:tcPr>
          <w:p w14:paraId="3C225F76">
            <w:pPr>
              <w:widowControl w:val="0"/>
              <w:spacing w:before="0" w:beforeAutospacing="0" w:after="120" w:afterAutospacing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5 Численность сотрудников (чел.)</w:t>
            </w:r>
          </w:p>
        </w:tc>
        <w:tc>
          <w:tcPr>
            <w:tcW w:w="1462" w:type="dxa"/>
            <w:vAlign w:val="center"/>
          </w:tcPr>
          <w:p w14:paraId="5524F0D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12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18 500</w:t>
            </w:r>
          </w:p>
        </w:tc>
        <w:tc>
          <w:tcPr>
            <w:tcW w:w="1294" w:type="dxa"/>
            <w:vAlign w:val="center"/>
          </w:tcPr>
          <w:p w14:paraId="5C7CDA5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12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19 200</w:t>
            </w:r>
          </w:p>
        </w:tc>
        <w:tc>
          <w:tcPr>
            <w:tcW w:w="1869" w:type="dxa"/>
            <w:vAlign w:val="center"/>
          </w:tcPr>
          <w:p w14:paraId="043E4879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700</w:t>
            </w:r>
          </w:p>
        </w:tc>
        <w:tc>
          <w:tcPr>
            <w:tcW w:w="2204" w:type="dxa"/>
            <w:vAlign w:val="center"/>
          </w:tcPr>
          <w:p w14:paraId="7C4036E7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  <w:lang w:val="ru-RU"/>
              </w:rPr>
              <w:t>,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78</w:t>
            </w:r>
          </w:p>
        </w:tc>
      </w:tr>
      <w:tr w14:paraId="742E7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8" w:type="dxa"/>
          </w:tcPr>
          <w:p w14:paraId="49DDAAFA">
            <w:pPr>
              <w:widowControl w:val="0"/>
              <w:spacing w:before="0" w:beforeAutospacing="0" w:after="120" w:afterAutospacing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6 Среднегодовая заработная плата (тыс. руб. / чел)</w:t>
            </w:r>
          </w:p>
        </w:tc>
        <w:tc>
          <w:tcPr>
            <w:tcW w:w="1462" w:type="dxa"/>
            <w:vAlign w:val="center"/>
          </w:tcPr>
          <w:p w14:paraId="4BA20D9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12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125 000</w:t>
            </w:r>
          </w:p>
        </w:tc>
        <w:tc>
          <w:tcPr>
            <w:tcW w:w="1294" w:type="dxa"/>
            <w:vAlign w:val="center"/>
          </w:tcPr>
          <w:p w14:paraId="3528B9D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12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137 500</w:t>
            </w:r>
          </w:p>
        </w:tc>
        <w:tc>
          <w:tcPr>
            <w:tcW w:w="1869" w:type="dxa"/>
            <w:vAlign w:val="center"/>
          </w:tcPr>
          <w:p w14:paraId="6C641501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12 500</w:t>
            </w:r>
          </w:p>
        </w:tc>
        <w:tc>
          <w:tcPr>
            <w:tcW w:w="2204" w:type="dxa"/>
            <w:vAlign w:val="center"/>
          </w:tcPr>
          <w:p w14:paraId="59264CFE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10</w:t>
            </w:r>
          </w:p>
        </w:tc>
      </w:tr>
      <w:tr w14:paraId="44A5C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8" w:type="dxa"/>
          </w:tcPr>
          <w:p w14:paraId="7AACFF8E">
            <w:pPr>
              <w:widowControl w:val="0"/>
              <w:spacing w:before="0" w:beforeAutospacing="0" w:after="120" w:afterAutospacing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7 Фонд оплаты труда (тыс. руб.)</w:t>
            </w:r>
          </w:p>
        </w:tc>
        <w:tc>
          <w:tcPr>
            <w:tcW w:w="1462" w:type="dxa"/>
            <w:vAlign w:val="center"/>
          </w:tcPr>
          <w:p w14:paraId="68F2758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12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2 312 500</w:t>
            </w:r>
          </w:p>
        </w:tc>
        <w:tc>
          <w:tcPr>
            <w:tcW w:w="1294" w:type="dxa"/>
            <w:vAlign w:val="center"/>
          </w:tcPr>
          <w:p w14:paraId="076EF2D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12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2 640 000</w:t>
            </w:r>
          </w:p>
        </w:tc>
        <w:tc>
          <w:tcPr>
            <w:tcW w:w="1869" w:type="dxa"/>
            <w:vAlign w:val="center"/>
          </w:tcPr>
          <w:p w14:paraId="4D51E3C4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327 500</w:t>
            </w:r>
          </w:p>
        </w:tc>
        <w:tc>
          <w:tcPr>
            <w:tcW w:w="2204" w:type="dxa"/>
            <w:vAlign w:val="center"/>
          </w:tcPr>
          <w:p w14:paraId="32BBB0AE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14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  <w:lang w:val="ru-RU"/>
              </w:rPr>
              <w:t>,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16</w:t>
            </w:r>
          </w:p>
        </w:tc>
      </w:tr>
    </w:tbl>
    <w:p w14:paraId="7031603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0" w:line="360" w:lineRule="auto"/>
        <w:ind w:firstLine="709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Анализ динамики технико-экономических показателей АО «Альфа-Банк» за 2023–2024 годы свидетельствует о значительном расширении масштабов деятельности, сопровождаемом снижением эффективности операционного управления. Выручка от реализации продемонстрировала существенный прирост на 117 623 тыс. руб. (+30,08%), достигнув 508 597 тыс. руб. в 2024 году, что подтверждает успешное развитие клиентской базы и рост объема банковских операций. Однако себестоимость продаж увеличилась пропорционально – на 93 480 тыс. руб. (+29,02%), что указывает на сохранение прежней структуры затрат при росте бизнеса. Прибыль от продаж выросла лишь на 922 тыс. руб. (+8,99%), что привело к снижению рентабельности основной деятельности на 1,8 п.п. (до 36,8%). Данная динамика свидетельствует о сокращении операционной маржи, где рост затрат опережает увеличение прибыльности.</w:t>
      </w:r>
    </w:p>
    <w:p w14:paraId="619EDAAD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В кадровой политике наблюдается увеличение численности персонала на 700 человек (+3,78%), что согласуется со стратегией расширения присутствия и развития цифровых направлений. При этом среднегодовая заработная плата возросла на 12 500 тыс. руб./чел. (+10%), что существенно превышает уровень инфляции и отражает инвестиции в удержание квалифицированных кадров, особенно в IT-сегменте. Фонд оплаты труда увеличился на 327 500 тыс. руб. (+14,16%), демонстрируя опережающий рост относительно как численности персонала, так и прибыли (+8,99%). Это создает давление на рентабельность, поскольку затраты на персонал растут быстрее финансовых результатов.</w:t>
      </w: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br w:type="textWrapping"/>
      </w:r>
      <w:r>
        <w:rPr>
          <w:rFonts w:hint="default" w:ascii="Times New Roman" w:hAnsi="Times New Roman"/>
          <w:color w:val="000000"/>
          <w:sz w:val="28"/>
          <w:szCs w:val="28"/>
          <w:lang w:val="en-US" w:eastAsia="ru-RU"/>
        </w:rPr>
        <w:tab/>
      </w: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Банк сохраняет позитивную динамику развития, наращивая объемы операций и инвестируя в человеческий капитал. Однако снижение операционной эффективности (-4,66% по рентабельности) требует оптимизации структуры затрат. Основные риски связаны с дисбалансом между ростом ФОТ (+14,16%) и прибыли (+8,99%), а также недостаточной контролем над себестоимостью. Для укрепления финансовой устойчивости рекомендуется пересмотр модели управления издержками, внедрение KPI для соотнесения затрат на персонал с продуктивностью, и детальный анализ факторов роста себестоимости. При сохранении текущих тенденций банк сохранит рыночные позиции, но потенциал рентабельности останется недоиспользованным без корректировки операционной стратегии.</w:t>
      </w:r>
    </w:p>
    <w:p w14:paraId="00DC22E8">
      <w:pPr>
        <w:keepNext w:val="0"/>
        <w:keepLines w:val="0"/>
        <w:pageBreakBefore w:val="0"/>
        <w:widowControl/>
        <w:numPr>
          <w:ilvl w:val="0"/>
          <w:numId w:val="1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ind w:left="1460" w:leftChars="0" w:hanging="360" w:firstLineChars="0"/>
        <w:jc w:val="center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Arial" w:hAnsi="Arial" w:cs="Arial"/>
          <w:color w:val="000000" w:themeColor="text1"/>
          <w:sz w:val="30"/>
          <w:szCs w:val="30"/>
          <w:lang w:val="ru-RU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Раздел 2. Проектный</w:t>
      </w:r>
    </w:p>
    <w:p w14:paraId="212D8C2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8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Горизонтальный анализ отчета о финансовых результатах представляет собой важный инструмент финансовой диагностики, основной целью которого является выявление и оценка динамики ключевых показателей деятельности организации за рассматриваемые периоды.</w:t>
      </w:r>
    </w:p>
    <w:p w14:paraId="5FDB278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8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Его суть заключается в последовательном сравнении каждой статьи отчета (выручки, себестоимости продаж, коммерческих и управленческих расходов, прочих доходов и расходов, различных видов прибыли) с аналогичными показателями за предыдущий период или ряд периодов, выраженном как в абсолютных величинах изменений, так и в относительных темпах роста или снижения.</w:t>
      </w:r>
    </w:p>
    <w:p w14:paraId="2724326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8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Главная ценность этого анализа состоит в его способности наглядно демонстрировать траекторию развития компании: фиксировать точки роста, сигнализировать о возникающих негативных тенденциях, определять факторы, оказавшие наибольшее влияние на финансовый результат. Он позволяет ответить на критически важные вопросы: растет ли выручка и опережает ли этот рост увеличение затрат? Какие именно расходные статьи демонстрируют наибольший рост, потенциально сдерживая прибыльность? Сохраняется ли положительная динамика чистой прибыли, и за счет каких компонентов она достигается?</w:t>
      </w:r>
      <w:r>
        <w:rPr>
          <w:rFonts w:hint="default" w:ascii="Times New Roman" w:hAnsi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 xml:space="preserve">Результаты горизонтального анализа служат основой для выявления причинно-следственных связей в финансовых процессах, оценки эффективности управленческих решений, принятых в прошлом, и для формирования обоснованных прогнозов и разработки стратегических и оперативных планов на будущее. </w:t>
      </w:r>
    </w:p>
    <w:p w14:paraId="270F500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8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Таким образом, проведение горизонтального анализа является неотъемлемым и первостепенным этапом глубокой оценки финансового состояния и результатов работы организации, обеспечивая необходимую базу для последующей интерпретации данных и принятия эффективных управленческих решений.</w:t>
      </w:r>
    </w:p>
    <w:p w14:paraId="6A19A32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p w14:paraId="21430FE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120" w:line="240" w:lineRule="auto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en-US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Таблица 2.1 – Горизонтальный анализ отчета финансовых результатов</w:t>
      </w:r>
      <w:r>
        <w:rPr>
          <w:rFonts w:hint="default" w:ascii="Times New Roman" w:hAnsi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АО «Альфа-Банк»</w:t>
      </w:r>
    </w:p>
    <w:tbl>
      <w:tblPr>
        <w:tblStyle w:val="12"/>
        <w:tblW w:w="969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09"/>
        <w:gridCol w:w="825"/>
        <w:gridCol w:w="1193"/>
        <w:gridCol w:w="1265"/>
        <w:gridCol w:w="1550"/>
        <w:gridCol w:w="1549"/>
      </w:tblGrid>
      <w:tr w14:paraId="4188A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6B6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Наименование показателя</w:t>
            </w:r>
          </w:p>
        </w:tc>
        <w:tc>
          <w:tcPr>
            <w:tcW w:w="82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FD0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Код</w:t>
            </w:r>
          </w:p>
        </w:tc>
        <w:tc>
          <w:tcPr>
            <w:tcW w:w="119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41B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2023</w:t>
            </w:r>
          </w:p>
        </w:tc>
        <w:tc>
          <w:tcPr>
            <w:tcW w:w="126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485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Calibri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2024</w:t>
            </w:r>
          </w:p>
        </w:tc>
        <w:tc>
          <w:tcPr>
            <w:tcW w:w="1550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1A73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Абсолютное отклонение </w:t>
            </w:r>
          </w:p>
        </w:tc>
        <w:tc>
          <w:tcPr>
            <w:tcW w:w="154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CA75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Темп прироста (%) </w:t>
            </w:r>
          </w:p>
        </w:tc>
      </w:tr>
      <w:tr w14:paraId="6A9C1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D95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Выручка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(тыс. руб.)</w:t>
            </w:r>
          </w:p>
        </w:tc>
        <w:tc>
          <w:tcPr>
            <w:tcW w:w="82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AD4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2110</w:t>
            </w:r>
          </w:p>
        </w:tc>
        <w:tc>
          <w:tcPr>
            <w:tcW w:w="119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48F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390 974</w:t>
            </w:r>
          </w:p>
        </w:tc>
        <w:tc>
          <w:tcPr>
            <w:tcW w:w="126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842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508 597</w:t>
            </w:r>
          </w:p>
        </w:tc>
        <w:tc>
          <w:tcPr>
            <w:tcW w:w="1550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870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+117 623</w:t>
            </w:r>
          </w:p>
        </w:tc>
        <w:tc>
          <w:tcPr>
            <w:tcW w:w="154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BA9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+30.09</w:t>
            </w:r>
          </w:p>
        </w:tc>
      </w:tr>
      <w:tr w14:paraId="4FE1D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A5B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Себестоимость продаж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(тыс. руб.)</w:t>
            </w:r>
          </w:p>
        </w:tc>
        <w:tc>
          <w:tcPr>
            <w:tcW w:w="82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9EA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2120</w:t>
            </w:r>
          </w:p>
        </w:tc>
        <w:tc>
          <w:tcPr>
            <w:tcW w:w="119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1A2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(322 191)</w:t>
            </w:r>
          </w:p>
        </w:tc>
        <w:tc>
          <w:tcPr>
            <w:tcW w:w="126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958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(415 671)</w:t>
            </w:r>
          </w:p>
        </w:tc>
        <w:tc>
          <w:tcPr>
            <w:tcW w:w="1550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07A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-93 480</w:t>
            </w:r>
          </w:p>
        </w:tc>
        <w:tc>
          <w:tcPr>
            <w:tcW w:w="154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59B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+29.01</w:t>
            </w:r>
          </w:p>
        </w:tc>
      </w:tr>
      <w:tr w14:paraId="73828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042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Валовая прибыль (убыток)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(тыс. руб.)</w:t>
            </w:r>
          </w:p>
        </w:tc>
        <w:tc>
          <w:tcPr>
            <w:tcW w:w="82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A8E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2100</w:t>
            </w:r>
          </w:p>
        </w:tc>
        <w:tc>
          <w:tcPr>
            <w:tcW w:w="119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D68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68 783</w:t>
            </w:r>
          </w:p>
        </w:tc>
        <w:tc>
          <w:tcPr>
            <w:tcW w:w="126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22B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92 926</w:t>
            </w:r>
          </w:p>
        </w:tc>
        <w:tc>
          <w:tcPr>
            <w:tcW w:w="1550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398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+24 143</w:t>
            </w:r>
          </w:p>
        </w:tc>
        <w:tc>
          <w:tcPr>
            <w:tcW w:w="154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F54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+35.10</w:t>
            </w:r>
          </w:p>
        </w:tc>
      </w:tr>
      <w:tr w14:paraId="44BBF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410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Коммерческие расходы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(тыс. руб.)</w:t>
            </w:r>
          </w:p>
        </w:tc>
        <w:tc>
          <w:tcPr>
            <w:tcW w:w="82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C52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2210</w:t>
            </w:r>
          </w:p>
        </w:tc>
        <w:tc>
          <w:tcPr>
            <w:tcW w:w="119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EB4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(41 033)</w:t>
            </w:r>
          </w:p>
        </w:tc>
        <w:tc>
          <w:tcPr>
            <w:tcW w:w="126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803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(61 393)</w:t>
            </w:r>
          </w:p>
        </w:tc>
        <w:tc>
          <w:tcPr>
            <w:tcW w:w="1550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83D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-20 360</w:t>
            </w:r>
          </w:p>
        </w:tc>
        <w:tc>
          <w:tcPr>
            <w:tcW w:w="154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5CB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+49.62</w:t>
            </w:r>
          </w:p>
        </w:tc>
      </w:tr>
      <w:tr w14:paraId="42F2E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743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Управленческие расходы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(тыс. руб.)</w:t>
            </w:r>
          </w:p>
        </w:tc>
        <w:tc>
          <w:tcPr>
            <w:tcW w:w="82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AAF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2220</w:t>
            </w:r>
          </w:p>
        </w:tc>
        <w:tc>
          <w:tcPr>
            <w:tcW w:w="119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962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(17 499)</w:t>
            </w:r>
          </w:p>
        </w:tc>
        <w:tc>
          <w:tcPr>
            <w:tcW w:w="126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CD0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(20 360)</w:t>
            </w:r>
          </w:p>
        </w:tc>
        <w:tc>
          <w:tcPr>
            <w:tcW w:w="1550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065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-2 861</w:t>
            </w:r>
          </w:p>
        </w:tc>
        <w:tc>
          <w:tcPr>
            <w:tcW w:w="154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08B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+16.35</w:t>
            </w:r>
          </w:p>
        </w:tc>
      </w:tr>
      <w:tr w14:paraId="5BA49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5D6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Прибыль (убыток) от продаж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(тыс. руб.)</w:t>
            </w:r>
          </w:p>
        </w:tc>
        <w:tc>
          <w:tcPr>
            <w:tcW w:w="82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DF0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2200</w:t>
            </w:r>
          </w:p>
        </w:tc>
        <w:tc>
          <w:tcPr>
            <w:tcW w:w="119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B9C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10 251</w:t>
            </w:r>
          </w:p>
        </w:tc>
        <w:tc>
          <w:tcPr>
            <w:tcW w:w="126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214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11 173</w:t>
            </w:r>
          </w:p>
        </w:tc>
        <w:tc>
          <w:tcPr>
            <w:tcW w:w="1550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DC8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+922</w:t>
            </w:r>
          </w:p>
        </w:tc>
        <w:tc>
          <w:tcPr>
            <w:tcW w:w="154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FB3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+9.00</w:t>
            </w:r>
          </w:p>
        </w:tc>
      </w:tr>
      <w:tr w14:paraId="4D5AD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156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Прочие доходы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(тыс. руб.)</w:t>
            </w:r>
          </w:p>
        </w:tc>
        <w:tc>
          <w:tcPr>
            <w:tcW w:w="82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025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2340</w:t>
            </w:r>
          </w:p>
        </w:tc>
        <w:tc>
          <w:tcPr>
            <w:tcW w:w="119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353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3 286</w:t>
            </w:r>
          </w:p>
        </w:tc>
        <w:tc>
          <w:tcPr>
            <w:tcW w:w="126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B31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2 457</w:t>
            </w:r>
          </w:p>
        </w:tc>
        <w:tc>
          <w:tcPr>
            <w:tcW w:w="1550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C4A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-829</w:t>
            </w:r>
          </w:p>
        </w:tc>
        <w:tc>
          <w:tcPr>
            <w:tcW w:w="154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27E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-25.23</w:t>
            </w:r>
          </w:p>
        </w:tc>
      </w:tr>
      <w:tr w14:paraId="576C8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421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Прочие расходы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(тыс. руб.)</w:t>
            </w:r>
          </w:p>
        </w:tc>
        <w:tc>
          <w:tcPr>
            <w:tcW w:w="82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0A5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2350</w:t>
            </w:r>
          </w:p>
        </w:tc>
        <w:tc>
          <w:tcPr>
            <w:tcW w:w="119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CA5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(3 766)</w:t>
            </w:r>
          </w:p>
        </w:tc>
        <w:tc>
          <w:tcPr>
            <w:tcW w:w="126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306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(4 461)</w:t>
            </w:r>
          </w:p>
        </w:tc>
        <w:tc>
          <w:tcPr>
            <w:tcW w:w="1550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9F5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-695</w:t>
            </w:r>
          </w:p>
        </w:tc>
        <w:tc>
          <w:tcPr>
            <w:tcW w:w="154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279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+18.45</w:t>
            </w:r>
          </w:p>
        </w:tc>
      </w:tr>
      <w:tr w14:paraId="0C074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22C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Прибыль (убыток) до налогообложения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(тыс. руб.)</w:t>
            </w:r>
          </w:p>
        </w:tc>
        <w:tc>
          <w:tcPr>
            <w:tcW w:w="82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DE5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2300</w:t>
            </w:r>
          </w:p>
        </w:tc>
        <w:tc>
          <w:tcPr>
            <w:tcW w:w="119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30E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9 771</w:t>
            </w:r>
          </w:p>
        </w:tc>
        <w:tc>
          <w:tcPr>
            <w:tcW w:w="126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731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9 169</w:t>
            </w:r>
          </w:p>
        </w:tc>
        <w:tc>
          <w:tcPr>
            <w:tcW w:w="1550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0CD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-602</w:t>
            </w:r>
          </w:p>
        </w:tc>
        <w:tc>
          <w:tcPr>
            <w:tcW w:w="154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7B8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-6.16</w:t>
            </w:r>
          </w:p>
        </w:tc>
      </w:tr>
      <w:tr w14:paraId="6B0A3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3BD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Налог на прибыль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(тыс. руб.)</w:t>
            </w:r>
          </w:p>
        </w:tc>
        <w:tc>
          <w:tcPr>
            <w:tcW w:w="82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85A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2410</w:t>
            </w:r>
          </w:p>
        </w:tc>
        <w:tc>
          <w:tcPr>
            <w:tcW w:w="119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F83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(2 426)</w:t>
            </w:r>
          </w:p>
        </w:tc>
        <w:tc>
          <w:tcPr>
            <w:tcW w:w="126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8BF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(2 190)</w:t>
            </w:r>
          </w:p>
        </w:tc>
        <w:tc>
          <w:tcPr>
            <w:tcW w:w="1550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290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+236</w:t>
            </w:r>
          </w:p>
        </w:tc>
        <w:tc>
          <w:tcPr>
            <w:tcW w:w="154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707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-9.73</w:t>
            </w:r>
          </w:p>
        </w:tc>
      </w:tr>
      <w:tr w14:paraId="501EF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CD2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текущий налог на прибыль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(тыс. руб.)</w:t>
            </w:r>
          </w:p>
        </w:tc>
        <w:tc>
          <w:tcPr>
            <w:tcW w:w="82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809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2411</w:t>
            </w:r>
          </w:p>
        </w:tc>
        <w:tc>
          <w:tcPr>
            <w:tcW w:w="119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14F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 w:bidi="ar"/>
              </w:rPr>
              <w:t>(2 412)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126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C88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(2 309)</w:t>
            </w:r>
          </w:p>
        </w:tc>
        <w:tc>
          <w:tcPr>
            <w:tcW w:w="1550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0E4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+103</w:t>
            </w:r>
          </w:p>
        </w:tc>
        <w:tc>
          <w:tcPr>
            <w:tcW w:w="154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13F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-4.27</w:t>
            </w:r>
          </w:p>
        </w:tc>
      </w:tr>
      <w:tr w14:paraId="37832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AB6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отложенный налог на прибыль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(тыс. руб.)</w:t>
            </w:r>
          </w:p>
        </w:tc>
        <w:tc>
          <w:tcPr>
            <w:tcW w:w="82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B04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2412</w:t>
            </w:r>
          </w:p>
        </w:tc>
        <w:tc>
          <w:tcPr>
            <w:tcW w:w="119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ECE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(14)</w:t>
            </w:r>
          </w:p>
        </w:tc>
        <w:tc>
          <w:tcPr>
            <w:tcW w:w="126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2E9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119</w:t>
            </w:r>
          </w:p>
        </w:tc>
        <w:tc>
          <w:tcPr>
            <w:tcW w:w="1550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74B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+133</w:t>
            </w:r>
          </w:p>
        </w:tc>
        <w:tc>
          <w:tcPr>
            <w:tcW w:w="154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739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+950.00</w:t>
            </w:r>
          </w:p>
        </w:tc>
      </w:tr>
      <w:tr w14:paraId="26883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0DE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Чистая прибыль (убыток)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(тыс. руб.)</w:t>
            </w:r>
          </w:p>
        </w:tc>
        <w:tc>
          <w:tcPr>
            <w:tcW w:w="82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385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2400</w:t>
            </w:r>
          </w:p>
        </w:tc>
        <w:tc>
          <w:tcPr>
            <w:tcW w:w="119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635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7 345</w:t>
            </w:r>
          </w:p>
        </w:tc>
        <w:tc>
          <w:tcPr>
            <w:tcW w:w="126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059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6 979</w:t>
            </w:r>
          </w:p>
        </w:tc>
        <w:tc>
          <w:tcPr>
            <w:tcW w:w="1550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149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-366</w:t>
            </w:r>
          </w:p>
        </w:tc>
        <w:tc>
          <w:tcPr>
            <w:tcW w:w="154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877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-4.98</w:t>
            </w:r>
          </w:p>
        </w:tc>
      </w:tr>
      <w:tr w14:paraId="22545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C7D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Совокупный финансовый результат периода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(тыс. руб.)</w:t>
            </w:r>
          </w:p>
        </w:tc>
        <w:tc>
          <w:tcPr>
            <w:tcW w:w="82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E92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2500</w:t>
            </w:r>
          </w:p>
        </w:tc>
        <w:tc>
          <w:tcPr>
            <w:tcW w:w="119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B63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7 345</w:t>
            </w:r>
          </w:p>
        </w:tc>
        <w:tc>
          <w:tcPr>
            <w:tcW w:w="1265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787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6 979</w:t>
            </w:r>
          </w:p>
        </w:tc>
        <w:tc>
          <w:tcPr>
            <w:tcW w:w="1550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DD7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-366</w:t>
            </w:r>
          </w:p>
        </w:tc>
        <w:tc>
          <w:tcPr>
            <w:tcW w:w="1549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7BC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" w:lineRule="atLeast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-4.98</w:t>
            </w:r>
          </w:p>
        </w:tc>
      </w:tr>
    </w:tbl>
    <w:p w14:paraId="41DD73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0" w:line="360" w:lineRule="auto"/>
        <w:ind w:firstLine="709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Горизонтальный анализ отчета финансовых результатов АО «Альфа-Банк» за 2023–2024 годы выявляет противоречивые тенденции, характеризующиеся значительным ростом операционной деятельности при одновременном снижении итоговой прибыльности.</w:t>
      </w:r>
    </w:p>
    <w:p w14:paraId="351814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Выручка банка продемонстрировала существенный рост на 117 623 тыс. руб. (+30.09%), достигнув 508 597 тыс. руб. в 2024 году. Это свидетельствует об успешном расширении бизнес-активности, увеличении клиентской базы или объема предоставляемых услуг. Рост выручки сопровождался пропорциональным увеличением себестоимости продаж на 93 480 тыс. руб. (+29.01%), что позволило сохранить стабильность валовой прибыли, которая выросла на 24 143 тыс. руб. (+35.10%). Однако дальнейшая динамика расходов оказала негативное влияние на финансовый результат.</w:t>
      </w:r>
    </w:p>
    <w:p w14:paraId="605967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Критическим фактором стало опережающее увеличение коммерческих расходов на 20 360 тыс. руб. (+49.62%), что почти вдвое превышает темп роста выручки. Это указывает на резкое удорожание маркетинговых активностей, развития каналов продаж или логистики. Управленческие расходы также выросли на 2 861 тыс. руб. (+16.35%), усугубляя давление на операционную прибыль. В результате, несмотря на рост валовой прибыли, прибыль от продаж увеличилась лишь на 922 тыс. руб. (+9.00%), демонстрируя снижение операционной эффективности.</w:t>
      </w:r>
    </w:p>
    <w:p w14:paraId="1F7C53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Ситуацию ухудшила негативная динамика прочих операций: прочие доходы сократились на 829 тыс. руб. (-25.23%), а прочие расходы выросли на 695 тыс. руб. (+18.45%). Это могло быть вызвано падением доходов от инвестиций, курсовых разниц или ростом штрафных обязательств. Совокупное влияние этих факторов привело к снижению прибыли до налогообложения на 602 тыс. руб. (-6.16%).</w:t>
      </w:r>
    </w:p>
    <w:p w14:paraId="56AF7F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Налоговая составляющая отразила неоднозначные процессы: при снижении текущего налога на прибыль (-4.27%) наблюдался аномальный рост отложенного налога на 133 тыс. руб. (+950%), связанный с изменением временных разниц (например, переоценкой активов или корректировкой резервов). Чистая прибыль сократилась на 366 тыс. руб. (-4.98%), подтверждая общую тенденцию снижения рентабельности.</w:t>
      </w:r>
    </w:p>
    <w:p w14:paraId="6CFA08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Таким</w:t>
      </w:r>
      <w:r>
        <w:rPr>
          <w:rFonts w:hint="default" w:ascii="Times New Roman" w:hAnsi="Times New Roman"/>
          <w:color w:val="000000"/>
          <w:sz w:val="28"/>
          <w:szCs w:val="28"/>
          <w:lang w:val="en-US" w:eastAsia="ru-RU"/>
        </w:rPr>
        <w:t xml:space="preserve"> образом, </w:t>
      </w: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АО «Альфа-Банк» находится в фазе активной бизнес-экспансии, что подтверждается значительным ростом выручки. Однако банк столкнулся с критическим ростом издержек и снижением эффективности непрофильных операций. Опережающий рост коммерческих расходов (+49.62%) при замедлении темпов увеличения операционной прибыли (+9%) указывает на потерю контроля над затратами. Сокращение чистой прибыли на фоне роста выручки сигнализирует о необходимости срочной оптимизации расходной части: пересмотра маркетинговой стратегии, анализа структуры прочих доходов/расходов и усиления контроля за управленческими издержками. Без этих мер дальнейшее наращивание оборотов может привести к эрозии финансовой устойчивости.</w:t>
      </w:r>
    </w:p>
    <w:p w14:paraId="48A9FD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Вертикальный анализ бухгалтерского баланса необходим для глубокого понимания структуры имущества компании (активов) и источников его финансирования (пассивов) на конкретную дату. Его суть заключается в расчете удельного веса каждой значимой статьи баланса в общем итоге соответствующего раздела или в валюте баланса в целом. Это позволяет увидеть, как именно сформирован капитал предприятия и как он распределен.</w:t>
      </w:r>
    </w:p>
    <w:p w14:paraId="385294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Главная ценность вертикального анализа – выявление ключевых пропорций и структурных сдвигов. Он отвечает на критически важные вопросы: какова доля оборотных и внеоборотных активов, достаточно ли ликвидности? Как соотносятся собственный и заемный капитал, насколько компания финансирует себя за счет долгов? Каков удельный вес основных средств, запасов, дебиторской или кредиторской задолженности?</w:t>
      </w:r>
    </w:p>
    <w:p w14:paraId="35BB50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Результаты анализа служат для оценки финансовой устойчивости, ликвидности и платежеспособности. Сравнение полученной структуры с внутренними нормативами, данными прошлых периодов или отраслевыми показателями помогает выявить сильные стороны (например, высокая доля собственного капитала) и потенциальные риски (например, чрезмерная доля краткосрочных займов или запасов). Таким образом, вертикальный анализ формирует основу для оценки финансового состояния и принятия обоснованных управленческих решений относительно инвестиций, финансирования и управления активами и обязательствами.</w:t>
      </w:r>
      <w:r>
        <w:rPr>
          <w:rFonts w:hint="default" w:ascii="Times New Roman" w:hAnsi="Times New Roman"/>
          <w:color w:val="000000"/>
          <w:sz w:val="28"/>
          <w:szCs w:val="28"/>
          <w:lang w:val="en-US" w:eastAsia="ru-RU"/>
        </w:rPr>
        <w:t xml:space="preserve"> Данные по вертикальному анализу бухгалтерскому балансу организации и их расчеты представлены в таблице 2.2.</w:t>
      </w:r>
    </w:p>
    <w:p w14:paraId="3613B00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p w14:paraId="4936410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p w14:paraId="0ADEA04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p w14:paraId="049BEF9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en-US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Таблица 2.</w:t>
      </w:r>
      <w:r>
        <w:rPr>
          <w:rFonts w:hint="default" w:ascii="Times New Roman" w:hAnsi="Times New Roman"/>
          <w:color w:val="000000"/>
          <w:sz w:val="28"/>
          <w:szCs w:val="28"/>
          <w:lang w:val="en-US" w:eastAsia="ru-RU"/>
        </w:rPr>
        <w:t>2</w:t>
      </w: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 xml:space="preserve"> – Вертикальный анализ бухгалтерского баланса</w:t>
      </w:r>
      <w:r>
        <w:rPr>
          <w:rFonts w:hint="default" w:ascii="Times New Roman" w:hAnsi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АО «Альфа-Банк»</w:t>
      </w:r>
    </w:p>
    <w:tbl>
      <w:tblPr>
        <w:tblStyle w:val="12"/>
        <w:tblW w:w="95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57"/>
        <w:gridCol w:w="798"/>
        <w:gridCol w:w="1103"/>
        <w:gridCol w:w="1071"/>
        <w:gridCol w:w="1532"/>
        <w:gridCol w:w="1458"/>
      </w:tblGrid>
      <w:tr w14:paraId="13734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6" w:hRule="atLeast"/>
        </w:trPr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3CE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Наименование показателя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BC7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Код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2E5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ru-RU"/>
              </w:rPr>
              <w:t>2023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ECF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ru-RU" w:eastAsia="zh-CN" w:bidi="ar"/>
              </w:rPr>
              <w:t>2024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4BEF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Абсолютное отклонение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9ED5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Темп прироста (%)</w:t>
            </w:r>
          </w:p>
        </w:tc>
      </w:tr>
      <w:tr w14:paraId="7F42C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19" w:type="dxa"/>
            <w:gridSpan w:val="6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F4A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АКТИВ</w:t>
            </w:r>
          </w:p>
        </w:tc>
      </w:tr>
      <w:tr w14:paraId="6D178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19" w:type="dxa"/>
            <w:gridSpan w:val="6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851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I. ВНЕОБОРОТНЫЕ АКТИВЫ</w:t>
            </w:r>
          </w:p>
        </w:tc>
      </w:tr>
      <w:tr w14:paraId="3C2F0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32A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Основные средства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03B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1150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238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52 143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D89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54 894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7691FC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2751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E0E745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5.28</w:t>
            </w:r>
          </w:p>
        </w:tc>
      </w:tr>
      <w:tr w14:paraId="2E2F3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07A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Отложенные налоговые активы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F91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1180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206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E1E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505AAD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119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2A245F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87.50</w:t>
            </w:r>
          </w:p>
        </w:tc>
      </w:tr>
      <w:tr w14:paraId="05CC2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4A9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Итого по разделу I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6C5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1100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40B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52 279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91E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55 149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E2F0C1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2870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5B4AC4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5.49</w:t>
            </w:r>
          </w:p>
        </w:tc>
      </w:tr>
      <w:tr w14:paraId="124A6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19" w:type="dxa"/>
            <w:gridSpan w:val="6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A96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II. ОБОРОТНЫЕ АКТИВЫ</w:t>
            </w:r>
          </w:p>
        </w:tc>
      </w:tr>
      <w:tr w14:paraId="0ED22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F68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Запасы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AF2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1210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F4B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3 653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7D4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8 564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E69466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4911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60BE8C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134.44</w:t>
            </w:r>
          </w:p>
        </w:tc>
      </w:tr>
      <w:tr w14:paraId="2F343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8E5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Дебиторская задолженность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6E8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2821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19 125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1FB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6 778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5FD383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-12347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C80F8E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-64.56</w:t>
            </w:r>
          </w:p>
        </w:tc>
      </w:tr>
      <w:tr w14:paraId="52018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B94B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Денежные средства и денежные эквиваленты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0E9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1250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6AF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17 777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2D2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24 793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7FC378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7016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F90630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39.47</w:t>
            </w:r>
          </w:p>
        </w:tc>
      </w:tr>
      <w:tr w14:paraId="7D47A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56F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Прочие оборотные активы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4E2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1260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C0D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2 642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C1D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3 847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15FC17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1205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9D0284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45.63</w:t>
            </w:r>
          </w:p>
        </w:tc>
      </w:tr>
      <w:tr w14:paraId="68960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8F6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Итого по разделу II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E56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C05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43 197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B37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43 982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B67988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785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5AACF8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1.82</w:t>
            </w:r>
          </w:p>
        </w:tc>
      </w:tr>
      <w:tr w14:paraId="45347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4A5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БАЛАНС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C8E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1600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D43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95 476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110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99 131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06F855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b/>
                <w:bCs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3655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BE68FC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b/>
                <w:bCs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3.83</w:t>
            </w:r>
          </w:p>
        </w:tc>
      </w:tr>
      <w:tr w14:paraId="20C99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19" w:type="dxa"/>
            <w:gridSpan w:val="6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204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ПАССИВ</w:t>
            </w:r>
          </w:p>
        </w:tc>
      </w:tr>
      <w:tr w14:paraId="0B6B1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19" w:type="dxa"/>
            <w:gridSpan w:val="6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996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III. ЦЕЛЕВОЕ ФИНАНСИРОВАНИЕ</w:t>
            </w:r>
          </w:p>
        </w:tc>
      </w:tr>
      <w:tr w14:paraId="28400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6A8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Целевые средства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682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1350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CDB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22 213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C20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31 016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4A1885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8803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14E547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39.65</w:t>
            </w:r>
          </w:p>
        </w:tc>
      </w:tr>
      <w:tr w14:paraId="5F38D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101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Фонд недвижимого и особо ценного движимого имущества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BDC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1360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EB3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18 689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6FB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24 741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E6720E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6052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E15E80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32.39</w:t>
            </w:r>
          </w:p>
        </w:tc>
      </w:tr>
      <w:tr w14:paraId="4EF3C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74F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Итого по разделу III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85F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1300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25D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40 902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228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55 757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7AF10A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14855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7725E4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36.32</w:t>
            </w:r>
          </w:p>
        </w:tc>
      </w:tr>
      <w:tr w14:paraId="6CAFA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19" w:type="dxa"/>
            <w:gridSpan w:val="6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593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IV. ДОЛГОСРОЧНЫЕ ОБЯЗАТЕЛЬСТВА</w:t>
            </w:r>
          </w:p>
        </w:tc>
      </w:tr>
      <w:tr w14:paraId="1F6AE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97B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Прочие обязательства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06F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1450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C19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31 351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AA6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27 720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D7B034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-3631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B71B0C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-11.58</w:t>
            </w:r>
          </w:p>
        </w:tc>
      </w:tr>
      <w:tr w14:paraId="54090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F91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Итого по разделу IV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3F6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1400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3E9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31 351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D8C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27 720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71FBFE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-3631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EA6D6B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-11.58</w:t>
            </w:r>
          </w:p>
        </w:tc>
      </w:tr>
      <w:tr w14:paraId="0D30D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19" w:type="dxa"/>
            <w:gridSpan w:val="6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5B3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V. КРАТКОСРОЧНЫЕ ОБЯЗАТЕЛЬСТВА</w:t>
            </w:r>
          </w:p>
        </w:tc>
      </w:tr>
      <w:tr w14:paraId="7628C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B28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Кредиторская задолженность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022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1520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438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22 544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8B1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14 380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B75809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-8164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D3AAB4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-36.21</w:t>
            </w:r>
          </w:p>
        </w:tc>
      </w:tr>
      <w:tr w14:paraId="23C78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E86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Доходы будущих периодов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181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1530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567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-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463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-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5B7A21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0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7D2D24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vertAlign w:val="baseline"/>
                <w:lang w:val="ru-RU" w:eastAsia="zh-CN" w:bidi="ar"/>
              </w:rPr>
              <w:t>0%</w:t>
            </w:r>
          </w:p>
        </w:tc>
      </w:tr>
      <w:tr w14:paraId="315B1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379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Оценочные обязательства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F57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1540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783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B42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1 274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D0A47E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595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DA12FC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87.63</w:t>
            </w:r>
          </w:p>
        </w:tc>
      </w:tr>
      <w:tr w14:paraId="48311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E11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Итого по разделу V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A5B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1500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0D6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23 223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dotted" w:color="AEAAAA" w:themeColor="background2" w:themeShade="BF" w:sz="2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627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Calibri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15 654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dotted" w:color="AEAAAA" w:themeColor="background2" w:themeShade="BF" w:sz="2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44F874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-7569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dotted" w:color="AEAAAA" w:themeColor="background2" w:themeShade="BF" w:sz="2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AD74D8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-32.59</w:t>
            </w:r>
          </w:p>
        </w:tc>
      </w:tr>
      <w:tr w14:paraId="498EE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57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66F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БАЛАНС</w:t>
            </w:r>
          </w:p>
        </w:tc>
        <w:tc>
          <w:tcPr>
            <w:tcW w:w="798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FD0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1700</w:t>
            </w:r>
          </w:p>
        </w:tc>
        <w:tc>
          <w:tcPr>
            <w:tcW w:w="1103" w:type="dxa"/>
            <w:tcBorders>
              <w:top w:val="single" w:color="CACACA" w:sz="4" w:space="0"/>
              <w:left w:val="single" w:color="CACACA" w:sz="4" w:space="0"/>
              <w:bottom w:val="single" w:color="CACACA" w:sz="4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F8E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95 476</w:t>
            </w:r>
          </w:p>
        </w:tc>
        <w:tc>
          <w:tcPr>
            <w:tcW w:w="1071" w:type="dxa"/>
            <w:tcBorders>
              <w:top w:val="single" w:color="CACACA" w:sz="4" w:space="0"/>
              <w:left w:val="single" w:color="CACACA" w:sz="4" w:space="0"/>
              <w:bottom w:val="dotted" w:color="AEAAAA" w:themeColor="background2" w:themeShade="BF" w:sz="2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A0D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99 131</w:t>
            </w:r>
          </w:p>
        </w:tc>
        <w:tc>
          <w:tcPr>
            <w:tcW w:w="1532" w:type="dxa"/>
            <w:tcBorders>
              <w:top w:val="single" w:color="CACACA" w:sz="4" w:space="0"/>
              <w:left w:val="single" w:color="CACACA" w:sz="4" w:space="0"/>
              <w:bottom w:val="dotted" w:color="AEAAAA" w:themeColor="background2" w:themeShade="BF" w:sz="2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821598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b/>
                <w:bCs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3655</w:t>
            </w:r>
          </w:p>
        </w:tc>
        <w:tc>
          <w:tcPr>
            <w:tcW w:w="1458" w:type="dxa"/>
            <w:tcBorders>
              <w:top w:val="single" w:color="CACACA" w:sz="4" w:space="0"/>
              <w:left w:val="single" w:color="CACACA" w:sz="4" w:space="0"/>
              <w:bottom w:val="dotted" w:color="AEAAAA" w:themeColor="background2" w:themeShade="BF" w:sz="2" w:space="0"/>
              <w:right w:val="single" w:color="CACACA" w:sz="4" w:space="0"/>
            </w:tcBorders>
            <w:shd w:val="clear" w:color="auto" w:fill="auto"/>
            <w:noWrap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C1A21D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Courier New" w:cs="Times New Roman"/>
                <w:b/>
                <w:bCs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3.83</w:t>
            </w:r>
          </w:p>
        </w:tc>
      </w:tr>
    </w:tbl>
    <w:p w14:paraId="3B723E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0" w:line="360" w:lineRule="auto"/>
        <w:ind w:firstLine="709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ru-RU" w:eastAsia="ru-RU"/>
        </w:rPr>
        <w:t>Вертикальный анализ бухгалтерского баланса АО «Альфа-Банк» за 2023-2024 годы выявил ряд существенных изменений в структуре активов и пассивов, свидетельствующих об улучшении финансового положения банка. Внеоборотные активы увеличились на 5,49%, что в основном обусловлено ростом основных средств на 5,28% и значительным приростом отложенных налоговых активов на 87,5%, что говорит о развитии материально-технической базы банка. В составе оборотных активов наблюдается резкий рост запасов на 134,44%, который требует дополнительного анализа причин, в то время как сокращение дебиторской задолженности на 64,56% является положительным фактором, указывающим на улучшение работы с дебиторами. Увеличение денежных средств на 39,47% укрепляет ликвидность банка и его платежеспособность.</w:t>
      </w:r>
    </w:p>
    <w:p w14:paraId="2FA1CF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ru-RU" w:eastAsia="ru-RU"/>
        </w:rPr>
        <w:t>В части пассивов обращает на себя внимание значительный рост целевого финансирования на 36,32%, включая увеличение целевых средств на 39,65% и фонда недвижимого имущества на 32,39%, что свидетельствует о привлечении долгосрочных финансовых ресурсов для развития банка. Одновременно произошло сокращение долгосрочных обязательств на 11,58% и краткосрочных обязательств на 32,59%, в основном за счет уменьшения кредиторской задолженности на 36,21%, что снижает финансовую нагрузку на банк. Общий прирост валюты баланса на 3,83% подтверждает стабильность развития банка.</w:t>
      </w:r>
    </w:p>
    <w:p w14:paraId="06139A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ru-RU" w:eastAsia="ru-RU"/>
        </w:rPr>
        <w:t>Таким образом, анализ показывает улучшение финансовой устойчивости банка за счет роста собственных источников финансирования и снижения зависимости от заемных средств, укрепление ликвидности благодаря увеличению денежных средств и сокращению кредиторской задолженности, а также оптимизацию структуры активов. Однако резкий рост запасов требует дополнительного внимания со стороны руководства банка. В целом наблюдаемые изменения носят позитивный характер и свидетельствуют об эффективном управлении финансовыми ресурсами.</w:t>
      </w:r>
    </w:p>
    <w:p w14:paraId="2017D1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ru-RU" w:eastAsia="ru-RU"/>
        </w:rPr>
        <w:t>Кроме того, стоит рассмотреть ключевые показатели компании, а в частности показатели ликвидности, финансовой устойчивости и деловой активности.</w:t>
      </w:r>
    </w:p>
    <w:p w14:paraId="53F8F3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ru-RU" w:eastAsia="ru-RU"/>
        </w:rPr>
        <w:t>Данные по анализу ликвидности и их расчеты представлены в таблице 2.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  <w:t>3.</w:t>
      </w:r>
    </w:p>
    <w:p w14:paraId="0A4CA0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  <w:t xml:space="preserve">Таблица 2.3 – Анализ ликвидности 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ru-RU" w:eastAsia="ru-RU"/>
        </w:rPr>
        <w:t>АО «Альфа-Банк»</w:t>
      </w:r>
    </w:p>
    <w:tbl>
      <w:tblPr>
        <w:tblStyle w:val="12"/>
        <w:tblW w:w="487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1"/>
        <w:gridCol w:w="3369"/>
        <w:gridCol w:w="1027"/>
        <w:gridCol w:w="968"/>
        <w:gridCol w:w="1018"/>
        <w:gridCol w:w="978"/>
      </w:tblGrid>
      <w:tr w14:paraId="4225FE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9" w:type="pct"/>
            <w:vMerge w:val="restart"/>
            <w:vAlign w:val="center"/>
          </w:tcPr>
          <w:p w14:paraId="4077D7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2"/>
                <w:szCs w:val="22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Показатели</w:t>
            </w:r>
          </w:p>
        </w:tc>
        <w:tc>
          <w:tcPr>
            <w:tcW w:w="1789" w:type="pct"/>
            <w:vMerge w:val="restart"/>
            <w:vAlign w:val="center"/>
          </w:tcPr>
          <w:p w14:paraId="1A61AD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 xml:space="preserve">Методика расчета </w:t>
            </w:r>
          </w:p>
        </w:tc>
        <w:tc>
          <w:tcPr>
            <w:tcW w:w="1059" w:type="pct"/>
            <w:gridSpan w:val="2"/>
            <w:tcBorders>
              <w:left w:val="single" w:color="auto" w:sz="4" w:space="0"/>
            </w:tcBorders>
            <w:vAlign w:val="center"/>
          </w:tcPr>
          <w:p w14:paraId="52314D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val="en-US" w:eastAsia="en-US"/>
              </w:rPr>
              <w:t>Фактическое</w:t>
            </w:r>
          </w:p>
          <w:p w14:paraId="5F4FE82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val="en-US" w:eastAsia="en-US"/>
              </w:rPr>
              <w:t xml:space="preserve"> значение</w:t>
            </w:r>
          </w:p>
        </w:tc>
        <w:tc>
          <w:tcPr>
            <w:tcW w:w="1060" w:type="pct"/>
            <w:gridSpan w:val="2"/>
            <w:tcBorders>
              <w:left w:val="single" w:color="auto" w:sz="4" w:space="0"/>
            </w:tcBorders>
            <w:vAlign w:val="center"/>
          </w:tcPr>
          <w:p w14:paraId="1A0FE09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Отклонение 2024 от 2023 г.</w:t>
            </w:r>
          </w:p>
        </w:tc>
      </w:tr>
      <w:tr w14:paraId="332CE4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9" w:type="pct"/>
            <w:vMerge w:val="continue"/>
            <w:tcBorders>
              <w:bottom w:val="single" w:color="000000" w:sz="6" w:space="0"/>
            </w:tcBorders>
            <w:vAlign w:val="center"/>
          </w:tcPr>
          <w:p w14:paraId="606E621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val="en-US" w:eastAsia="en-US"/>
              </w:rPr>
            </w:pPr>
          </w:p>
        </w:tc>
        <w:tc>
          <w:tcPr>
            <w:tcW w:w="1789" w:type="pct"/>
            <w:vMerge w:val="continue"/>
            <w:tcBorders>
              <w:bottom w:val="single" w:color="000000" w:sz="6" w:space="0"/>
            </w:tcBorders>
            <w:vAlign w:val="center"/>
          </w:tcPr>
          <w:p w14:paraId="02F9666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val="en-US" w:eastAsia="en-US"/>
              </w:rPr>
            </w:pPr>
          </w:p>
        </w:tc>
        <w:tc>
          <w:tcPr>
            <w:tcW w:w="545" w:type="pct"/>
            <w:tcBorders>
              <w:top w:val="nil"/>
              <w:left w:val="single" w:color="auto" w:sz="4" w:space="0"/>
              <w:bottom w:val="single" w:color="000000" w:sz="6" w:space="0"/>
            </w:tcBorders>
            <w:vAlign w:val="center"/>
          </w:tcPr>
          <w:p w14:paraId="2A839F1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val="en-US" w:eastAsia="en-US"/>
              </w:rPr>
              <w:t>202</w:t>
            </w: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14" w:type="pct"/>
            <w:tcBorders>
              <w:top w:val="nil"/>
              <w:bottom w:val="single" w:color="000000" w:sz="6" w:space="0"/>
            </w:tcBorders>
            <w:vAlign w:val="center"/>
          </w:tcPr>
          <w:p w14:paraId="4172D48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val="en-US" w:eastAsia="en-US"/>
              </w:rPr>
              <w:t>202</w:t>
            </w: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40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B1FD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абс.</w:t>
            </w:r>
          </w:p>
        </w:tc>
        <w:tc>
          <w:tcPr>
            <w:tcW w:w="5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87F72C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отн, в %</w:t>
            </w:r>
          </w:p>
        </w:tc>
      </w:tr>
      <w:tr w14:paraId="688549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9" w:type="pct"/>
            <w:tcBorders>
              <w:top w:val="single" w:color="000000" w:sz="6" w:space="0"/>
            </w:tcBorders>
            <w:vAlign w:val="center"/>
          </w:tcPr>
          <w:p w14:paraId="0917A915">
            <w:pPr>
              <w:widowControl w:val="0"/>
              <w:autoSpaceDE w:val="0"/>
              <w:autoSpaceDN w:val="0"/>
              <w:spacing w:after="0" w:line="240" w:lineRule="auto"/>
              <w:ind w:left="147"/>
              <w:jc w:val="left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Н1 Достаточности собственных средств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 xml:space="preserve">(капитала), % </w:t>
            </w:r>
            <w:r>
              <w:rPr>
                <w:rFonts w:ascii="Times New Roman" w:hAnsi="Times New Roman" w:eastAsia="Calibri" w:cs="Times New Roman"/>
                <w:sz w:val="22"/>
                <w:szCs w:val="22"/>
                <w:lang w:val="en-US" w:eastAsia="en-US"/>
              </w:rPr>
              <w:t>min</w:t>
            </w:r>
          </w:p>
        </w:tc>
        <w:tc>
          <w:tcPr>
            <w:tcW w:w="1789" w:type="pct"/>
            <w:tcBorders>
              <w:top w:val="single" w:color="000000" w:sz="6" w:space="0"/>
            </w:tcBorders>
            <w:vAlign w:val="center"/>
          </w:tcPr>
          <w:p w14:paraId="27DDCDE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Отношение размера собственных средств (капитала) банка и суммы его активов, взвешенных по уровню риска</w:t>
            </w:r>
          </w:p>
        </w:tc>
        <w:tc>
          <w:tcPr>
            <w:tcW w:w="545" w:type="pct"/>
            <w:tcBorders>
              <w:top w:val="single" w:color="000000" w:sz="6" w:space="0"/>
              <w:left w:val="single" w:color="auto" w:sz="4" w:space="0"/>
            </w:tcBorders>
            <w:vAlign w:val="center"/>
          </w:tcPr>
          <w:p w14:paraId="5F876EA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14,39</w:t>
            </w:r>
          </w:p>
        </w:tc>
        <w:tc>
          <w:tcPr>
            <w:tcW w:w="514" w:type="pct"/>
            <w:tcBorders>
              <w:top w:val="single" w:color="000000" w:sz="6" w:space="0"/>
            </w:tcBorders>
            <w:vAlign w:val="center"/>
          </w:tcPr>
          <w:p w14:paraId="637AC1B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13,84</w:t>
            </w:r>
          </w:p>
        </w:tc>
        <w:tc>
          <w:tcPr>
            <w:tcW w:w="540" w:type="pct"/>
            <w:tcBorders>
              <w:top w:val="single" w:color="000000" w:sz="6" w:space="0"/>
              <w:right w:val="single" w:color="auto" w:sz="4" w:space="0"/>
            </w:tcBorders>
            <w:vAlign w:val="center"/>
          </w:tcPr>
          <w:p w14:paraId="5DBFD8B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-0,55</w:t>
            </w:r>
          </w:p>
        </w:tc>
        <w:tc>
          <w:tcPr>
            <w:tcW w:w="519" w:type="pct"/>
            <w:tcBorders>
              <w:top w:val="single" w:color="000000" w:sz="6" w:space="0"/>
              <w:left w:val="single" w:color="auto" w:sz="4" w:space="0"/>
            </w:tcBorders>
            <w:vAlign w:val="center"/>
          </w:tcPr>
          <w:p w14:paraId="3CE32F5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-3,9</w:t>
            </w:r>
          </w:p>
        </w:tc>
      </w:tr>
      <w:tr w14:paraId="74F011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9" w:type="pct"/>
            <w:vAlign w:val="center"/>
          </w:tcPr>
          <w:p w14:paraId="0199D5C6">
            <w:pPr>
              <w:widowControl w:val="0"/>
              <w:autoSpaceDE w:val="0"/>
              <w:autoSpaceDN w:val="0"/>
              <w:spacing w:after="0" w:line="240" w:lineRule="auto"/>
              <w:ind w:left="147"/>
              <w:jc w:val="left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 xml:space="preserve">Н2 Мгновенной ликвидности, % </w:t>
            </w:r>
            <w:r>
              <w:rPr>
                <w:rFonts w:ascii="Times New Roman" w:hAnsi="Times New Roman" w:eastAsia="Calibri" w:cs="Times New Roman"/>
                <w:sz w:val="22"/>
                <w:szCs w:val="22"/>
                <w:lang w:val="en-US" w:eastAsia="en-US"/>
              </w:rPr>
              <w:t>min</w:t>
            </w:r>
          </w:p>
        </w:tc>
        <w:tc>
          <w:tcPr>
            <w:tcW w:w="1789" w:type="pct"/>
            <w:vAlign w:val="center"/>
          </w:tcPr>
          <w:p w14:paraId="08BD7B3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Отношение высоколиквидных активов к обязательствам до востребования</w:t>
            </w:r>
          </w:p>
        </w:tc>
        <w:tc>
          <w:tcPr>
            <w:tcW w:w="545" w:type="pct"/>
            <w:tcBorders>
              <w:left w:val="single" w:color="auto" w:sz="4" w:space="0"/>
            </w:tcBorders>
            <w:vAlign w:val="center"/>
          </w:tcPr>
          <w:p w14:paraId="7729D02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85,38</w:t>
            </w:r>
          </w:p>
        </w:tc>
        <w:tc>
          <w:tcPr>
            <w:tcW w:w="514" w:type="pct"/>
            <w:vAlign w:val="center"/>
          </w:tcPr>
          <w:p w14:paraId="608A27B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118,2</w:t>
            </w:r>
          </w:p>
        </w:tc>
        <w:tc>
          <w:tcPr>
            <w:tcW w:w="540" w:type="pct"/>
            <w:tcBorders>
              <w:right w:val="single" w:color="auto" w:sz="4" w:space="0"/>
            </w:tcBorders>
            <w:vAlign w:val="center"/>
          </w:tcPr>
          <w:p w14:paraId="056ECFA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32,87</w:t>
            </w:r>
          </w:p>
        </w:tc>
        <w:tc>
          <w:tcPr>
            <w:tcW w:w="519" w:type="pct"/>
            <w:tcBorders>
              <w:left w:val="single" w:color="auto" w:sz="4" w:space="0"/>
            </w:tcBorders>
            <w:vAlign w:val="center"/>
          </w:tcPr>
          <w:p w14:paraId="16CB8D9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38,5</w:t>
            </w:r>
          </w:p>
        </w:tc>
      </w:tr>
      <w:tr w14:paraId="2CC595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089" w:type="pct"/>
            <w:vAlign w:val="center"/>
          </w:tcPr>
          <w:p w14:paraId="6ABE7D14">
            <w:pPr>
              <w:widowControl w:val="0"/>
              <w:autoSpaceDE w:val="0"/>
              <w:autoSpaceDN w:val="0"/>
              <w:spacing w:after="0" w:line="240" w:lineRule="auto"/>
              <w:ind w:left="147"/>
              <w:jc w:val="left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 xml:space="preserve">Н3 Текущей ликвидности, % </w:t>
            </w:r>
            <w:r>
              <w:rPr>
                <w:rFonts w:ascii="Times New Roman" w:hAnsi="Times New Roman" w:eastAsia="Calibri" w:cs="Times New Roman"/>
                <w:sz w:val="22"/>
                <w:szCs w:val="22"/>
                <w:lang w:val="en-US" w:eastAsia="en-US"/>
              </w:rPr>
              <w:t>min</w:t>
            </w:r>
          </w:p>
        </w:tc>
        <w:tc>
          <w:tcPr>
            <w:tcW w:w="1789" w:type="pct"/>
            <w:vAlign w:val="center"/>
          </w:tcPr>
          <w:p w14:paraId="1F3FB0B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Отношение активов, которые банк может реализовать в течение ближайших 30-ти дней, к обязательствам, которые необходимо исполнить также в течение ближайших 30-ти дней</w:t>
            </w:r>
          </w:p>
        </w:tc>
        <w:tc>
          <w:tcPr>
            <w:tcW w:w="545" w:type="pct"/>
            <w:tcBorders>
              <w:left w:val="single" w:color="auto" w:sz="4" w:space="0"/>
            </w:tcBorders>
            <w:vAlign w:val="center"/>
          </w:tcPr>
          <w:p w14:paraId="6729A94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123,64</w:t>
            </w:r>
          </w:p>
        </w:tc>
        <w:tc>
          <w:tcPr>
            <w:tcW w:w="514" w:type="pct"/>
            <w:vAlign w:val="center"/>
          </w:tcPr>
          <w:p w14:paraId="79F493C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105,84</w:t>
            </w:r>
          </w:p>
        </w:tc>
        <w:tc>
          <w:tcPr>
            <w:tcW w:w="540" w:type="pct"/>
            <w:tcBorders>
              <w:right w:val="single" w:color="auto" w:sz="4" w:space="0"/>
            </w:tcBorders>
            <w:vAlign w:val="center"/>
          </w:tcPr>
          <w:p w14:paraId="6CCDA44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-17,80</w:t>
            </w:r>
          </w:p>
        </w:tc>
        <w:tc>
          <w:tcPr>
            <w:tcW w:w="519" w:type="pct"/>
            <w:tcBorders>
              <w:left w:val="single" w:color="auto" w:sz="4" w:space="0"/>
            </w:tcBorders>
            <w:vAlign w:val="center"/>
          </w:tcPr>
          <w:p w14:paraId="65D8524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-14,4</w:t>
            </w:r>
          </w:p>
        </w:tc>
      </w:tr>
      <w:tr w14:paraId="3C96A8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  <w:jc w:val="center"/>
        </w:trPr>
        <w:tc>
          <w:tcPr>
            <w:tcW w:w="1089" w:type="pct"/>
            <w:vAlign w:val="center"/>
          </w:tcPr>
          <w:p w14:paraId="0C96F776">
            <w:pPr>
              <w:widowControl w:val="0"/>
              <w:autoSpaceDE w:val="0"/>
              <w:autoSpaceDN w:val="0"/>
              <w:spacing w:after="0" w:line="240" w:lineRule="auto"/>
              <w:ind w:left="147"/>
              <w:jc w:val="left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val="en-US" w:eastAsia="en-US"/>
              </w:rPr>
              <w:t>Н4 Долгосрочной ликвидности, % max</w:t>
            </w:r>
          </w:p>
        </w:tc>
        <w:tc>
          <w:tcPr>
            <w:tcW w:w="1789" w:type="pct"/>
            <w:vAlign w:val="center"/>
          </w:tcPr>
          <w:p w14:paraId="17FD0D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Отношение  активов, которые будут реализованы не ранее, чем через год, к сумме капитала и обязательств, которые должны быть исполнены также не ранее, чем через год.</w:t>
            </w:r>
          </w:p>
        </w:tc>
        <w:tc>
          <w:tcPr>
            <w:tcW w:w="545" w:type="pct"/>
            <w:tcBorders>
              <w:left w:val="single" w:color="auto" w:sz="4" w:space="0"/>
            </w:tcBorders>
            <w:vAlign w:val="center"/>
          </w:tcPr>
          <w:p w14:paraId="052A632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55,66</w:t>
            </w:r>
          </w:p>
        </w:tc>
        <w:tc>
          <w:tcPr>
            <w:tcW w:w="514" w:type="pct"/>
            <w:vAlign w:val="center"/>
          </w:tcPr>
          <w:p w14:paraId="368CCF3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53,09</w:t>
            </w:r>
          </w:p>
        </w:tc>
        <w:tc>
          <w:tcPr>
            <w:tcW w:w="540" w:type="pct"/>
            <w:tcBorders>
              <w:right w:val="single" w:color="auto" w:sz="4" w:space="0"/>
            </w:tcBorders>
            <w:vAlign w:val="center"/>
          </w:tcPr>
          <w:p w14:paraId="30EB82B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-2,57</w:t>
            </w:r>
          </w:p>
        </w:tc>
        <w:tc>
          <w:tcPr>
            <w:tcW w:w="519" w:type="pct"/>
            <w:tcBorders>
              <w:left w:val="single" w:color="auto" w:sz="4" w:space="0"/>
            </w:tcBorders>
            <w:vAlign w:val="center"/>
          </w:tcPr>
          <w:p w14:paraId="6AE529B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2"/>
                <w:szCs w:val="22"/>
                <w:lang w:eastAsia="en-US"/>
              </w:rPr>
              <w:t>-4,6</w:t>
            </w:r>
          </w:p>
        </w:tc>
      </w:tr>
    </w:tbl>
    <w:p w14:paraId="0EAB6E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0" w:line="360" w:lineRule="auto"/>
        <w:ind w:firstLine="709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  <w:t>Достаточность капитала (Н1) снизилась на 0,55 п.п. (-3,9%), что может свидетельствовать о некотором увеличении рискованных активов или изменении структуры капитала. Однако значение показателя (13,84%) остается значительно выше минимального норматива, что подтверждает достаточный уровень финансовой устойчивости банка.</w:t>
      </w:r>
    </w:p>
    <w:p w14:paraId="1E3548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  <w:t>Мгновенная ликвидность (Н2) продемонстрировала значительный рост — увеличение на 32,87 п.п. (38,5%), достигнув 118,2%. Это говорит о существенном укреплении краткосрочной платежеспособности банка за счет роста высоколиквидных активов, что снижает риски неисполнения обязательств перед клиентами в краткосрочной перспективе.</w:t>
      </w:r>
    </w:p>
    <w:p w14:paraId="3E5273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  <w:t>Текущая ликвидность (Н3) снизилась на 17,8 п.п. (-14,4%), составив 105,84%. Несмотря на снижение, показатель остается выше минимального норматива, однако данная динамика требует внимания, так как может указывать на сокращение ликвидных активов, доступных для покрытия обязательств в течение месяца.</w:t>
      </w:r>
    </w:p>
    <w:p w14:paraId="1F4EA2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  <w:t>Долгосрочная ликвидность (Н4) уменьшилась на 2,57 п.п. (-4,6%), что является положительным фактором, поскольку снижает потенциальные риски, связанные с несоответствием сроков погашения активов и обязательств в долгосрочной перспективе.</w:t>
      </w:r>
    </w:p>
    <w:p w14:paraId="0B0C5C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8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  <w:t>Финансовая устойчивость АО «Альфа-Банк» в 2024 году характеризуется укреплением мгновенной ликвидности, что снижает риски нехватки средств для выполнения текущих обязательств. Вместе с тем снижение текущей ликвидности требует мониторинга, так как может указывать на сокращение ликвидных активов в среднесрочной перспективе. Достаточность капитала остается на безопасном уровне, а уменьшение долгосрочной ликвидности снижает потенциальные риски. В целом банк сохраняет устойчивое положение, однако динамика отдельных показателей (Н1 и Н3) требует дополнительного анализа для выявления причин изменений и возможных корректирующих мер.</w:t>
      </w:r>
    </w:p>
    <w:p w14:paraId="5467B90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360" w:lineRule="auto"/>
        <w:ind w:firstLine="709"/>
        <w:jc w:val="both"/>
        <w:textAlignment w:val="auto"/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Данные по анализу финансовой устойчивости и их расчеты представлены в таблице 2.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4.</w:t>
      </w:r>
    </w:p>
    <w:p w14:paraId="4C4B225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360" w:lineRule="auto"/>
        <w:jc w:val="both"/>
        <w:textAlignment w:val="auto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Таблица 2.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4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– Анализ финансовой устойчивости 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  <w:t>АО «Альфа-Банк»</w:t>
      </w:r>
    </w:p>
    <w:tbl>
      <w:tblPr>
        <w:tblStyle w:val="1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  <w:gridCol w:w="1934"/>
        <w:gridCol w:w="1934"/>
        <w:gridCol w:w="1791"/>
        <w:gridCol w:w="1791"/>
      </w:tblGrid>
      <w:tr w14:paraId="0B7EF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78" w:type="dxa"/>
            <w:vAlign w:val="center"/>
          </w:tcPr>
          <w:p w14:paraId="096F169E">
            <w:pPr>
              <w:widowControl w:val="0"/>
              <w:spacing w:before="0" w:beforeAutospacing="0" w:after="120" w:afterAutospacing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Показатели</w:t>
            </w:r>
          </w:p>
        </w:tc>
        <w:tc>
          <w:tcPr>
            <w:tcW w:w="1934" w:type="dxa"/>
            <w:vAlign w:val="center"/>
          </w:tcPr>
          <w:p w14:paraId="720F14A0">
            <w:pPr>
              <w:widowControl w:val="0"/>
              <w:spacing w:before="0" w:beforeAutospacing="0" w:after="120" w:afterAutospacing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2023</w:t>
            </w:r>
          </w:p>
        </w:tc>
        <w:tc>
          <w:tcPr>
            <w:tcW w:w="1934" w:type="dxa"/>
            <w:vAlign w:val="center"/>
          </w:tcPr>
          <w:p w14:paraId="162EBDBA">
            <w:pPr>
              <w:widowControl w:val="0"/>
              <w:spacing w:before="0" w:beforeAutospacing="0" w:after="120" w:afterAutospacing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 xml:space="preserve">2024 </w:t>
            </w:r>
          </w:p>
        </w:tc>
        <w:tc>
          <w:tcPr>
            <w:tcW w:w="1791" w:type="dxa"/>
            <w:vAlign w:val="center"/>
          </w:tcPr>
          <w:p w14:paraId="7FF09C44">
            <w:pPr>
              <w:widowControl w:val="0"/>
              <w:spacing w:before="0" w:beforeAutospacing="0" w:after="120" w:afterAutospacing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 xml:space="preserve">Абсолютное отклонение </w:t>
            </w:r>
          </w:p>
        </w:tc>
        <w:tc>
          <w:tcPr>
            <w:tcW w:w="1791" w:type="dxa"/>
            <w:vAlign w:val="center"/>
          </w:tcPr>
          <w:p w14:paraId="24DC873F">
            <w:pPr>
              <w:widowControl w:val="0"/>
              <w:spacing w:before="0" w:beforeAutospacing="0" w:after="120" w:afterAutospacing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Темп прироста (%)</w:t>
            </w:r>
          </w:p>
        </w:tc>
      </w:tr>
      <w:tr w14:paraId="7B559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8" w:type="dxa"/>
            <w:vAlign w:val="center"/>
          </w:tcPr>
          <w:p w14:paraId="12F9C7F6">
            <w:pPr>
              <w:widowControl w:val="0"/>
              <w:spacing w:before="0" w:beforeAutospacing="0" w:after="120" w:afterAutospacing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ru-RU" w:eastAsia="ru-RU" w:bidi="ar-SA"/>
              </w:rPr>
              <w:t>Собственный капитал (тыс. руб.)</w:t>
            </w:r>
          </w:p>
        </w:tc>
        <w:tc>
          <w:tcPr>
            <w:tcW w:w="1934" w:type="dxa"/>
            <w:vAlign w:val="center"/>
          </w:tcPr>
          <w:p w14:paraId="75FB64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eastAsia="PT Sans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855 272 418</w:t>
            </w:r>
          </w:p>
        </w:tc>
        <w:tc>
          <w:tcPr>
            <w:tcW w:w="1934" w:type="dxa"/>
            <w:vAlign w:val="center"/>
          </w:tcPr>
          <w:p w14:paraId="7D2E3B9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eastAsia="PT Sans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759 328 240</w:t>
            </w:r>
          </w:p>
        </w:tc>
        <w:tc>
          <w:tcPr>
            <w:tcW w:w="1791" w:type="dxa"/>
            <w:vAlign w:val="center"/>
          </w:tcPr>
          <w:p w14:paraId="540924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eastAsia="PT Sans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+95 944 178</w:t>
            </w:r>
          </w:p>
        </w:tc>
        <w:tc>
          <w:tcPr>
            <w:tcW w:w="1791" w:type="dxa"/>
            <w:vAlign w:val="center"/>
          </w:tcPr>
          <w:p w14:paraId="6A84EE4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eastAsia="PT Sans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+12,64%</w:t>
            </w:r>
          </w:p>
        </w:tc>
      </w:tr>
      <w:tr w14:paraId="6FC95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8" w:type="dxa"/>
            <w:shd w:val="clear" w:color="auto" w:fill="auto"/>
            <w:vAlign w:val="center"/>
          </w:tcPr>
          <w:p w14:paraId="48AE295F">
            <w:pPr>
              <w:widowControl w:val="0"/>
              <w:spacing w:before="0" w:beforeAutospacing="0" w:after="120" w:afterAutospacing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Пассивы (тыс. руб.)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7D787918">
            <w:pPr>
              <w:widowControl w:val="0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sz w:val="24"/>
                <w:szCs w:val="24"/>
              </w:rPr>
              <w:t>7 715 73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4"/>
                <w:szCs w:val="24"/>
                <w:lang w:val="ru-RU"/>
              </w:rPr>
              <w:t>8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6DCB7C1A">
            <w:pPr>
              <w:widowControl w:val="0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10 409 96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 w:bidi="ar-SA"/>
              </w:rPr>
              <w:t>2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74FBBD95">
            <w:pPr>
              <w:widowControl w:val="0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 w:bidi="ar-SA"/>
              </w:rPr>
              <w:t>2 694 224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1EB82781">
            <w:pPr>
              <w:widowControl w:val="0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 w:bidi="ar-SA"/>
              </w:rPr>
              <w:t>34,92</w:t>
            </w:r>
          </w:p>
        </w:tc>
      </w:tr>
      <w:tr w14:paraId="64836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8" w:type="dxa"/>
            <w:shd w:val="clear" w:color="auto" w:fill="auto"/>
            <w:vAlign w:val="center"/>
          </w:tcPr>
          <w:p w14:paraId="1028539D">
            <w:pPr>
              <w:widowControl w:val="0"/>
              <w:spacing w:before="0" w:beforeAutospacing="0" w:after="120" w:afterAutospacing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  <w:t>Коэффициент наличия собственных средств (тыс. руб.)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60B19C29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  <w:t>14,39</w:t>
            </w:r>
          </w:p>
        </w:tc>
        <w:tc>
          <w:tcPr>
            <w:tcW w:w="1934" w:type="dxa"/>
            <w:shd w:val="clear" w:color="auto" w:fill="auto"/>
            <w:vAlign w:val="center"/>
          </w:tcPr>
          <w:p w14:paraId="0D68A951">
            <w:pPr>
              <w:widowControl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  <w:t>13,84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44B60789">
            <w:pPr>
              <w:widowControl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  <w:t>-0,55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3E8D502C">
            <w:pPr>
              <w:widowControl w:val="0"/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  <w:t>-3,9</w:t>
            </w:r>
          </w:p>
        </w:tc>
      </w:tr>
    </w:tbl>
    <w:p w14:paraId="2B4495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0" w:line="360" w:lineRule="auto"/>
        <w:ind w:firstLine="709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  <w:t>Финансовая устойчивость АО «Альфа-Банк» в 2023–2024 годах характеризуется позитивным ростом собственного капитала на 95,9 млрд руб. (+12,64%), что свидетельствует об укреплении внутренней финансовой базы и способности банка генерировать прибыль или привлекать инвестиции. Однако параллельно наблюдается значительный рост обязательств на 2,69 млрд руб. (+34,92%), который опережает увеличение капитала и указывает на активное использование заемных средств, таких как клиентские депозиты или межбанковские кредиты. Это привело к снижению ключевого показателя устойчивости — коэффициента наличия собственных средств — с 14,39% до 13,84%, что отражает усиление зависимости банка от внешних источников финансирования. Несмотря на снижение, значение коэффициента (13,84%) существенно превышает минимальный норматив ЦБ РФ (8%), подтверждая достаточный запас прочности и общую стабильность. Основной вывод: банк сохраняет надежность благодаря росту капитала, но требует контроля за динамикой обязательств для предотвращения чрезмерной долговой нагрузки и поддержания оптимального баланса между собственными и заемными ресурсами.</w:t>
      </w:r>
    </w:p>
    <w:p w14:paraId="0B2102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  <w:t>Данные по анализу деловой активности и их расчеты представлены в таблице 2.5.</w:t>
      </w:r>
    </w:p>
    <w:p w14:paraId="697D8F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  <w:t xml:space="preserve">Таблица 2.5 – Анализ деловой активности 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ru-RU" w:eastAsia="ru-RU"/>
        </w:rPr>
        <w:t>АО «Альфа-Банк»</w:t>
      </w:r>
    </w:p>
    <w:tbl>
      <w:tblPr>
        <w:tblStyle w:val="1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  <w:gridCol w:w="1666"/>
        <w:gridCol w:w="1736"/>
        <w:gridCol w:w="2257"/>
        <w:gridCol w:w="1791"/>
      </w:tblGrid>
      <w:tr w14:paraId="1A090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8" w:type="dxa"/>
            <w:vAlign w:val="center"/>
          </w:tcPr>
          <w:p w14:paraId="3D1E5E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Показатели</w:t>
            </w:r>
          </w:p>
        </w:tc>
        <w:tc>
          <w:tcPr>
            <w:tcW w:w="1666" w:type="dxa"/>
            <w:vAlign w:val="center"/>
          </w:tcPr>
          <w:p w14:paraId="7CD468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2023</w:t>
            </w:r>
          </w:p>
        </w:tc>
        <w:tc>
          <w:tcPr>
            <w:tcW w:w="1736" w:type="dxa"/>
            <w:vAlign w:val="center"/>
          </w:tcPr>
          <w:p w14:paraId="14AF26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2024</w:t>
            </w:r>
          </w:p>
        </w:tc>
        <w:tc>
          <w:tcPr>
            <w:tcW w:w="2257" w:type="dxa"/>
            <w:vAlign w:val="center"/>
          </w:tcPr>
          <w:p w14:paraId="530D9F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Абсолютное отклонение (тыс. руб.)</w:t>
            </w:r>
          </w:p>
        </w:tc>
        <w:tc>
          <w:tcPr>
            <w:tcW w:w="1791" w:type="dxa"/>
            <w:vAlign w:val="center"/>
          </w:tcPr>
          <w:p w14:paraId="08E504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Темп прироста (%)</w:t>
            </w:r>
          </w:p>
        </w:tc>
      </w:tr>
      <w:tr w14:paraId="40472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8" w:type="dxa"/>
            <w:vAlign w:val="center"/>
          </w:tcPr>
          <w:p w14:paraId="57EB4F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Прибыль от продаж (тыс. руб.)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17D876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10 251</w:t>
            </w:r>
          </w:p>
        </w:tc>
        <w:tc>
          <w:tcPr>
            <w:tcW w:w="1736" w:type="dxa"/>
            <w:shd w:val="clear" w:color="auto" w:fill="auto"/>
            <w:vAlign w:val="center"/>
          </w:tcPr>
          <w:p w14:paraId="38058F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11 173</w:t>
            </w:r>
          </w:p>
        </w:tc>
        <w:tc>
          <w:tcPr>
            <w:tcW w:w="2257" w:type="dxa"/>
            <w:vAlign w:val="center"/>
          </w:tcPr>
          <w:p w14:paraId="017DB2F4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922</w:t>
            </w:r>
          </w:p>
        </w:tc>
        <w:tc>
          <w:tcPr>
            <w:tcW w:w="1791" w:type="dxa"/>
            <w:vAlign w:val="center"/>
          </w:tcPr>
          <w:p w14:paraId="47D3E8E6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8,99</w:t>
            </w:r>
          </w:p>
        </w:tc>
      </w:tr>
      <w:tr w14:paraId="6018E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8" w:type="dxa"/>
            <w:vAlign w:val="center"/>
          </w:tcPr>
          <w:p w14:paraId="3507C3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Выручка (тыс. руб.)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789541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ru-RU"/>
              </w:rPr>
              <w:t>390 974</w:t>
            </w:r>
          </w:p>
        </w:tc>
        <w:tc>
          <w:tcPr>
            <w:tcW w:w="1736" w:type="dxa"/>
            <w:shd w:val="clear" w:color="auto" w:fill="auto"/>
            <w:vAlign w:val="center"/>
          </w:tcPr>
          <w:p w14:paraId="2FA87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120" w:firstLineChars="50"/>
              <w:jc w:val="center"/>
              <w:textAlignment w:val="auto"/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ru-RU"/>
              </w:rPr>
              <w:t>508597</w:t>
            </w:r>
          </w:p>
        </w:tc>
        <w:tc>
          <w:tcPr>
            <w:tcW w:w="2257" w:type="dxa"/>
            <w:vAlign w:val="center"/>
          </w:tcPr>
          <w:p w14:paraId="3354FF30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117623</w:t>
            </w:r>
          </w:p>
        </w:tc>
        <w:tc>
          <w:tcPr>
            <w:tcW w:w="1791" w:type="dxa"/>
            <w:vAlign w:val="center"/>
          </w:tcPr>
          <w:p w14:paraId="3867F1CA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30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  <w:lang w:val="ru-RU"/>
              </w:rPr>
              <w:t>,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  <w:lang w:val="ru-RU"/>
              </w:rPr>
              <w:t>8</w:t>
            </w:r>
          </w:p>
        </w:tc>
      </w:tr>
      <w:tr w14:paraId="5FA0A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8" w:type="dxa"/>
            <w:vAlign w:val="center"/>
          </w:tcPr>
          <w:p w14:paraId="18654E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Рентабельность продукции (%)</w:t>
            </w:r>
          </w:p>
        </w:tc>
        <w:tc>
          <w:tcPr>
            <w:tcW w:w="1666" w:type="dxa"/>
            <w:vAlign w:val="center"/>
          </w:tcPr>
          <w:p w14:paraId="79F24F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22,4</w:t>
            </w:r>
          </w:p>
        </w:tc>
        <w:tc>
          <w:tcPr>
            <w:tcW w:w="1736" w:type="dxa"/>
            <w:vAlign w:val="center"/>
          </w:tcPr>
          <w:p w14:paraId="1BE73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24,1</w:t>
            </w:r>
          </w:p>
        </w:tc>
        <w:tc>
          <w:tcPr>
            <w:tcW w:w="2257" w:type="dxa"/>
            <w:vAlign w:val="center"/>
          </w:tcPr>
          <w:p w14:paraId="64288B03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1.7</w:t>
            </w:r>
          </w:p>
        </w:tc>
        <w:tc>
          <w:tcPr>
            <w:tcW w:w="1791" w:type="dxa"/>
            <w:vAlign w:val="center"/>
          </w:tcPr>
          <w:p w14:paraId="37A94CB1">
            <w:pPr>
              <w:pStyle w:val="10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7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  <w:lang w:val="ru-RU"/>
              </w:rPr>
              <w:t>,</w:t>
            </w:r>
            <w:r>
              <w:rPr>
                <w:rFonts w:hint="default" w:ascii="Times New Roman" w:hAnsi="Times New Roman" w:eastAsia="Courier New" w:cs="Times New Roman"/>
                <w:i w:val="0"/>
                <w:iCs w:val="0"/>
                <w:caps w:val="0"/>
                <w:color w:val="494949"/>
                <w:spacing w:val="0"/>
                <w:sz w:val="24"/>
                <w:szCs w:val="24"/>
              </w:rPr>
              <w:t>59</w:t>
            </w:r>
          </w:p>
        </w:tc>
      </w:tr>
    </w:tbl>
    <w:p w14:paraId="5A2711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0" w:line="360" w:lineRule="auto"/>
        <w:ind w:firstLine="709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  <w:t>Анализ показателей деловой активности АО «Альфа-Банк» за 2023–2024 годы показывает, что банк активно наращивает объёмы бизнеса, но эффективность управления прибылью требует внимания. Выручка банка значительно выросла — на 117 623 тыс. руб. (или 30,08%), достигнув в 2024 году 508 597 тыс. руб. Это говорит о том, что банк успешно привлекает новых клиентов, расширяет услуги или увеличивает обороты по существующим операциям. Однако прибыль от продаж увеличилась гораздо скромнее — всего на 922 тыс. руб. (+8,99%). Такой разрыв между ростом выручки (30%) и прибыли (9%) указывает, что расходы банка растут быстрее, чем доходы, что сдерживает финансовый результат.</w:t>
      </w:r>
    </w:p>
    <w:p w14:paraId="608687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  <w:t>При этом рентабельность продукции улучшилась — с 22,4% до 24,1% (+1,7 п.п.). Это позитивный сигнал: банк стал немного эффективнее превращать выручку в прибыль, возможно, за счёт оптимизации части затрат или пересмотра тарифов. Но важно отметить, что даже при таком улучшении, потенциал роста прибыли использован не полностью — если бы банку удалось лучше контролировать расходы, увеличение прибыли могло бы быть более значительным.</w:t>
      </w: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  <w:br w:type="textWrapping"/>
      </w: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  <w:tab/>
      </w:r>
      <w:r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  <w:t>Альфа-Банк демонстрирует хорошие темпы развития бизнеса (выручка +30%), но недостаточно эффективно управляет расходами, из-за чего прибыль растёт медленнее (+9%). Улучшение рентабельности (+1,7%) — это положительный сдвиг, но банку нужно работать над сокращением издержек, чтобы прибыль росла пропорционально выручке. Если устранить этот дисбаланс, финансовые результаты станут значительно сильнее.</w:t>
      </w:r>
    </w:p>
    <w:p w14:paraId="7BC2B2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0BA97A92">
      <w:pPr>
        <w:spacing w:line="360" w:lineRule="auto"/>
        <w:ind w:firstLine="708" w:firstLineChars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ru-RU" w:eastAsia="ru-RU"/>
        </w:rPr>
      </w:pPr>
    </w:p>
    <w:p w14:paraId="1D9B6C70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p w14:paraId="12744A18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p w14:paraId="2A9948F9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p w14:paraId="7011C6AC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p w14:paraId="361F4351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p w14:paraId="03961A20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p w14:paraId="537D1F23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p w14:paraId="34925105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p w14:paraId="548270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360" w:lineRule="auto"/>
        <w:jc w:val="center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ascii="Arial" w:hAnsi="Arial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Заключение</w:t>
      </w:r>
    </w:p>
    <w:p w14:paraId="238B5D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 xml:space="preserve">Производственная практика в АО «Альфа-Банк» позволила глубоко изучить деятельность одной из ведущих финансовых организаций России и провести комплексный анализ её экономических показателей. Банк демонстрирует устойчивое развитие, подтверждаемое значительным ростом выручки, расширением клиентской базы и укреплением позиций на рынке. </w:t>
      </w:r>
      <w:r>
        <w:rPr>
          <w:rFonts w:hint="default" w:ascii="Times New Roman" w:hAnsi="Times New Roman"/>
          <w:color w:val="000000"/>
          <w:sz w:val="28"/>
          <w:szCs w:val="28"/>
          <w:lang w:val="en-US" w:eastAsia="ru-RU"/>
        </w:rPr>
        <w:tab/>
      </w: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Финансовый анализ показал, что банк успешно наращивает доходы, но сталкивается с опережающим ростом расходов, особенно в части затрат на персонал и операционную деятельность. Это сдерживает рост прибыли и снижает рентабельность. Укрепление финансовой устойчивости за счет роста собственного капитала — важное достижение, но активное привлечение заемных средств создает риски, которые необходимо контролировать.</w:t>
      </w:r>
    </w:p>
    <w:p w14:paraId="03803D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Практика подтвердила значимость полученных в университете знаний для решения реальных профессиональных задач. Сбор, обработка и интерпретация данных финансовой отчетности банка позволили закрепить навыки экономического анализа, оценить эффективность бизнес-модели и сформулировать рекомендации по её совершенствованию. Поставленные цели и задачи практики выполнены в полном объеме.</w:t>
      </w:r>
    </w:p>
    <w:p w14:paraId="2A54DE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 w:firstLineChars="0"/>
        <w:jc w:val="both"/>
        <w:textAlignment w:val="auto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  <w:r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  <w:t>В целом, АО «Альфа-Банк» сохраняет потенциал для роста, но его реализация зависит от способности балансировать инвестиции в развитие с жестким управлением издержками. Предложенные меры помогут банку повысить рентабельность и укрепить финансовую стабильность в долгосрочной перспективе.</w:t>
      </w:r>
    </w:p>
    <w:p w14:paraId="3AEC7113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p w14:paraId="414249AF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p w14:paraId="3BADB473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p w14:paraId="18009221">
      <w:pPr>
        <w:spacing w:line="360" w:lineRule="auto"/>
        <w:ind w:firstLine="708" w:firstLineChars="0"/>
        <w:jc w:val="both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p w14:paraId="15359B56">
      <w:pPr>
        <w:spacing w:line="360" w:lineRule="auto"/>
        <w:jc w:val="both"/>
        <w:rPr>
          <w:rFonts w:hint="default" w:ascii="Times New Roman" w:hAnsi="Times New Roman"/>
          <w:color w:val="000000"/>
          <w:sz w:val="28"/>
          <w:szCs w:val="28"/>
          <w:lang w:val="ru-RU" w:eastAsia="ru-RU"/>
        </w:rPr>
      </w:pPr>
    </w:p>
    <w:sectPr>
      <w:headerReference r:id="rId5" w:type="default"/>
      <w:pgSz w:w="11906" w:h="16838"/>
      <w:pgMar w:top="1134" w:right="567" w:bottom="1134" w:left="1701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T Sans">
    <w:panose1 w:val="020B0503020203020204"/>
    <w:charset w:val="00"/>
    <w:family w:val="auto"/>
    <w:pitch w:val="default"/>
    <w:sig w:usb0="A00002EF" w:usb1="5000204B" w:usb2="00000020" w:usb3="00000000" w:csb0="2000009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2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spacing w:after="0" w:line="240" w:lineRule="auto"/>
      <w:jc w:val="right"/>
      <w:rPr>
        <w:color w:val="000000"/>
        <w:sz w:val="20"/>
      </w:rPr>
    </w:pPr>
    <w:r>
      <w:rPr>
        <w:rFonts w:ascii="Times New Roman" w:hAnsi="Times New Roman" w:eastAsia="Times New Roman" w:cs="Times New Roman"/>
        <w:color w:val="000000"/>
        <w:sz w:val="24"/>
        <w:szCs w:val="28"/>
      </w:rPr>
      <w:fldChar w:fldCharType="begin"/>
    </w:r>
    <w:r>
      <w:rPr>
        <w:rFonts w:ascii="Times New Roman" w:hAnsi="Times New Roman" w:eastAsia="Times New Roman" w:cs="Times New Roman"/>
        <w:color w:val="000000"/>
        <w:sz w:val="24"/>
        <w:szCs w:val="28"/>
      </w:rPr>
      <w:instrText xml:space="preserve">PAGE</w:instrText>
    </w:r>
    <w:r>
      <w:rPr>
        <w:rFonts w:ascii="Times New Roman" w:hAnsi="Times New Roman" w:eastAsia="Times New Roman" w:cs="Times New Roman"/>
        <w:color w:val="000000"/>
        <w:sz w:val="24"/>
        <w:szCs w:val="28"/>
      </w:rPr>
      <w:fldChar w:fldCharType="separate"/>
    </w:r>
    <w:r>
      <w:rPr>
        <w:rFonts w:ascii="Times New Roman" w:hAnsi="Times New Roman" w:eastAsia="Times New Roman" w:cs="Times New Roman"/>
        <w:color w:val="000000"/>
        <w:sz w:val="24"/>
        <w:szCs w:val="28"/>
      </w:rPr>
      <w:t>2</w:t>
    </w:r>
    <w:r>
      <w:rPr>
        <w:rFonts w:ascii="Times New Roman" w:hAnsi="Times New Roman" w:eastAsia="Times New Roman" w:cs="Times New Roman"/>
        <w:color w:val="000000"/>
        <w:sz w:val="24"/>
        <w:szCs w:val="28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34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63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49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88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77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81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84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83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87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82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10">
    <w:nsid w:val="60C65B5A"/>
    <w:multiLevelType w:val="multilevel"/>
    <w:tmpl w:val="60C65B5A"/>
    <w:lvl w:ilvl="0" w:tentative="0">
      <w:start w:val="1"/>
      <w:numFmt w:val="decimal"/>
      <w:lvlText w:val="%1"/>
      <w:lvlJc w:val="left"/>
      <w:pPr>
        <w:ind w:left="1460" w:hanging="360"/>
      </w:pPr>
      <w:rPr>
        <w:rFonts w:hint="default" w:ascii="Arial" w:hAnsi="Arial" w:cs="Arial"/>
        <w:color w:val="auto"/>
        <w:sz w:val="32"/>
        <w:szCs w:val="32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9"/>
  </w:num>
  <w:num w:numId="7">
    <w:abstractNumId w:val="7"/>
  </w:num>
  <w:num w:numId="8">
    <w:abstractNumId w:val="6"/>
  </w:num>
  <w:num w:numId="9">
    <w:abstractNumId w:val="8"/>
  </w:num>
  <w:num w:numId="10">
    <w:abstractNumId w:val="3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36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C274E"/>
    <w:rsid w:val="00050A31"/>
    <w:rsid w:val="000657E6"/>
    <w:rsid w:val="000716D2"/>
    <w:rsid w:val="00071AAB"/>
    <w:rsid w:val="00082D67"/>
    <w:rsid w:val="000A4F11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B7F6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3836"/>
    <w:rsid w:val="006649F0"/>
    <w:rsid w:val="006712FB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37A78"/>
    <w:rsid w:val="00A91424"/>
    <w:rsid w:val="00AA2C77"/>
    <w:rsid w:val="00AC3FB9"/>
    <w:rsid w:val="00AC702A"/>
    <w:rsid w:val="00AD226F"/>
    <w:rsid w:val="00B13A52"/>
    <w:rsid w:val="00B224CB"/>
    <w:rsid w:val="00B24CF4"/>
    <w:rsid w:val="00B26993"/>
    <w:rsid w:val="00B42EB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335B"/>
    <w:rsid w:val="00C776A4"/>
    <w:rsid w:val="00CA2C6C"/>
    <w:rsid w:val="00CC0600"/>
    <w:rsid w:val="00CC78AC"/>
    <w:rsid w:val="00CD5C4A"/>
    <w:rsid w:val="00CF7953"/>
    <w:rsid w:val="00D07232"/>
    <w:rsid w:val="00D10245"/>
    <w:rsid w:val="00D11E83"/>
    <w:rsid w:val="00D21BDD"/>
    <w:rsid w:val="00D37AAE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A875C13"/>
    <w:rsid w:val="29A32B94"/>
    <w:rsid w:val="2C5E53FF"/>
    <w:rsid w:val="3C4C274E"/>
    <w:rsid w:val="3D2E204C"/>
    <w:rsid w:val="4D2D179D"/>
    <w:rsid w:val="53166F3B"/>
    <w:rsid w:val="56F34ECB"/>
    <w:rsid w:val="65630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unhideWhenUsed="0" w:uiPriority="0" w:semiHidden="0" w:name="Table Colorful 3"/>
    <w:lsdException w:qFormat="1" w:unhideWhenUsed="0" w:uiPriority="0" w:semiHidden="0" w:name="Table Columns 1"/>
    <w:lsdException w:unhideWhenUsed="0" w:uiPriority="0" w:semiHidden="0" w:name="Table Columns 2"/>
    <w:lsdException w:qFormat="1" w:unhideWhenUsed="0" w:uiPriority="0" w:semiHidden="0" w:name="Table Columns 3"/>
    <w:lsdException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unhideWhenUsed="0" w:uiPriority="0" w:semiHidden="0" w:name="Table List 2"/>
    <w:lsdException w:qFormat="1" w:unhideWhenUsed="0" w:uiPriority="0" w:semiHidden="0" w:name="Table List 3"/>
    <w:lsdException w:unhideWhenUsed="0" w:uiPriority="0" w:semiHidden="0" w:name="Table List 4"/>
    <w:lsdException w:qFormat="1" w:unhideWhenUsed="0" w:uiPriority="0" w:semiHidden="0" w:name="Table List 5"/>
    <w:lsdException w:unhideWhenUsed="0" w:uiPriority="0" w:semiHidden="0" w:name="Table List 6"/>
    <w:lsdException w:qFormat="1" w:unhideWhenUsed="0" w:uiPriority="0" w:semiHidden="0" w:name="Table List 7"/>
    <w:lsdException w:unhideWhenUsed="0" w:uiPriority="0" w:semiHidden="0" w:name="Table List 8"/>
    <w:lsdException w:qFormat="1" w:unhideWhenUsed="0" w:uiPriority="0" w:semiHidden="0" w:name="Table 3D effects 1"/>
    <w:lsdException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unhideWhenUsed="0" w:uiPriority="0" w:semiHidden="0" w:name="Table Web 2"/>
    <w:lsdException w:qFormat="1"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Calibri"/>
      <w:sz w:val="22"/>
      <w:szCs w:val="22"/>
      <w:lang w:val="ru-RU" w:eastAsia="ru-RU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32"/>
      <w:sz w:val="48"/>
      <w:szCs w:val="48"/>
      <w:lang w:val="en-US" w:eastAsia="zh-CN" w:bidi="ar"/>
    </w:rPr>
  </w:style>
  <w:style w:type="paragraph" w:styleId="3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iCs/>
      <w:kern w:val="0"/>
      <w:sz w:val="36"/>
      <w:szCs w:val="36"/>
      <w:lang w:val="en-US" w:eastAsia="zh-CN" w:bidi="ar"/>
    </w:rPr>
  </w:style>
  <w:style w:type="paragraph" w:styleId="4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widowControl/>
      <w:spacing w:before="240" w:after="60"/>
      <w:jc w:val="left"/>
      <w:outlineLvl w:val="3"/>
    </w:pPr>
    <w:rPr>
      <w:b/>
      <w:bCs/>
      <w:kern w:val="0"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widowControl/>
      <w:spacing w:before="240" w:after="60"/>
      <w:jc w:val="left"/>
      <w:outlineLvl w:val="4"/>
    </w:pPr>
    <w:rPr>
      <w:b/>
      <w:bCs/>
      <w:i/>
      <w:iCs/>
      <w:kern w:val="0"/>
      <w:sz w:val="26"/>
      <w:szCs w:val="26"/>
    </w:rPr>
  </w:style>
  <w:style w:type="paragraph" w:styleId="7">
    <w:name w:val="heading 6"/>
    <w:basedOn w:val="1"/>
    <w:next w:val="1"/>
    <w:semiHidden/>
    <w:unhideWhenUsed/>
    <w:qFormat/>
    <w:uiPriority w:val="0"/>
    <w:pPr>
      <w:widowControl/>
      <w:spacing w:before="240" w:after="60"/>
      <w:outlineLvl w:val="5"/>
    </w:pPr>
    <w:rPr>
      <w:b/>
      <w:bCs/>
      <w:kern w:val="0"/>
      <w:sz w:val="22"/>
      <w:szCs w:val="22"/>
    </w:rPr>
  </w:style>
  <w:style w:type="paragraph" w:styleId="8">
    <w:name w:val="heading 7"/>
    <w:basedOn w:val="1"/>
    <w:next w:val="1"/>
    <w:semiHidden/>
    <w:unhideWhenUsed/>
    <w:qFormat/>
    <w:uiPriority w:val="0"/>
    <w:pPr>
      <w:widowControl/>
      <w:spacing w:before="240" w:after="60"/>
      <w:outlineLvl w:val="6"/>
    </w:pPr>
    <w:rPr>
      <w:kern w:val="0"/>
      <w:sz w:val="24"/>
      <w:szCs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widowControl/>
      <w:spacing w:before="240" w:after="60"/>
      <w:jc w:val="left"/>
      <w:outlineLvl w:val="7"/>
    </w:pPr>
    <w:rPr>
      <w:i/>
      <w:iCs/>
      <w:kern w:val="0"/>
      <w:sz w:val="24"/>
      <w:szCs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widowControl/>
      <w:spacing w:before="240" w:after="60"/>
      <w:jc w:val="left"/>
      <w:outlineLvl w:val="8"/>
    </w:pPr>
    <w:rPr>
      <w:rFonts w:ascii="Arial" w:hAnsi="Arial" w:cs="Arial"/>
      <w:kern w:val="0"/>
      <w:sz w:val="22"/>
      <w:szCs w:val="22"/>
    </w:rPr>
  </w:style>
  <w:style w:type="character" w:default="1" w:styleId="11">
    <w:name w:val="Default Paragraph Font"/>
    <w:semiHidden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TML Sample"/>
    <w:basedOn w:val="11"/>
    <w:qFormat/>
    <w:uiPriority w:val="0"/>
    <w:rPr>
      <w:rFonts w:ascii="Courier New" w:hAnsi="Courier New" w:cs="Courier New"/>
    </w:rPr>
  </w:style>
  <w:style w:type="character" w:styleId="14">
    <w:name w:val="FollowedHyperlink"/>
    <w:basedOn w:val="11"/>
    <w:qFormat/>
    <w:uiPriority w:val="0"/>
    <w:rPr>
      <w:color w:val="800080"/>
      <w:u w:val="single"/>
    </w:rPr>
  </w:style>
  <w:style w:type="character" w:styleId="15">
    <w:name w:val="footnote reference"/>
    <w:basedOn w:val="11"/>
    <w:qFormat/>
    <w:uiPriority w:val="0"/>
    <w:rPr>
      <w:vertAlign w:val="superscript"/>
    </w:rPr>
  </w:style>
  <w:style w:type="character" w:styleId="16">
    <w:name w:val="annotation reference"/>
    <w:basedOn w:val="11"/>
    <w:qFormat/>
    <w:uiPriority w:val="0"/>
    <w:rPr>
      <w:sz w:val="21"/>
      <w:szCs w:val="21"/>
    </w:rPr>
  </w:style>
  <w:style w:type="character" w:styleId="17">
    <w:name w:val="endnote reference"/>
    <w:basedOn w:val="11"/>
    <w:qFormat/>
    <w:uiPriority w:val="0"/>
    <w:rPr>
      <w:vertAlign w:val="superscript"/>
    </w:rPr>
  </w:style>
  <w:style w:type="character" w:styleId="18">
    <w:name w:val="HTML Acronym"/>
    <w:basedOn w:val="11"/>
    <w:qFormat/>
    <w:uiPriority w:val="0"/>
  </w:style>
  <w:style w:type="character" w:styleId="19">
    <w:name w:val="Emphasis"/>
    <w:basedOn w:val="11"/>
    <w:qFormat/>
    <w:uiPriority w:val="0"/>
    <w:rPr>
      <w:i/>
      <w:iCs/>
    </w:rPr>
  </w:style>
  <w:style w:type="character" w:styleId="20">
    <w:name w:val="Hyperlink"/>
    <w:basedOn w:val="11"/>
    <w:qFormat/>
    <w:uiPriority w:val="0"/>
    <w:rPr>
      <w:color w:val="0000FF"/>
      <w:u w:val="single"/>
    </w:rPr>
  </w:style>
  <w:style w:type="character" w:styleId="21">
    <w:name w:val="HTML Keyboard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22">
    <w:name w:val="HTML Code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23">
    <w:name w:val="page number"/>
    <w:basedOn w:val="11"/>
    <w:qFormat/>
    <w:uiPriority w:val="0"/>
  </w:style>
  <w:style w:type="character" w:styleId="24">
    <w:name w:val="line number"/>
    <w:basedOn w:val="11"/>
    <w:qFormat/>
    <w:uiPriority w:val="0"/>
  </w:style>
  <w:style w:type="character" w:styleId="25">
    <w:name w:val="HTML Definition"/>
    <w:basedOn w:val="11"/>
    <w:qFormat/>
    <w:uiPriority w:val="0"/>
    <w:rPr>
      <w:i/>
      <w:iCs/>
    </w:rPr>
  </w:style>
  <w:style w:type="character" w:styleId="26">
    <w:name w:val="HTML Variable"/>
    <w:basedOn w:val="11"/>
    <w:qFormat/>
    <w:uiPriority w:val="0"/>
    <w:rPr>
      <w:i/>
      <w:iCs/>
    </w:rPr>
  </w:style>
  <w:style w:type="character" w:styleId="27">
    <w:name w:val="HTML Typewriter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28">
    <w:name w:val="Strong"/>
    <w:basedOn w:val="11"/>
    <w:qFormat/>
    <w:uiPriority w:val="0"/>
    <w:rPr>
      <w:b/>
      <w:bCs/>
    </w:rPr>
  </w:style>
  <w:style w:type="character" w:styleId="29">
    <w:name w:val="HTML Cite"/>
    <w:basedOn w:val="11"/>
    <w:qFormat/>
    <w:uiPriority w:val="0"/>
    <w:rPr>
      <w:i/>
      <w:iCs/>
    </w:rPr>
  </w:style>
  <w:style w:type="paragraph" w:styleId="30">
    <w:name w:val="Balloon Text"/>
    <w:basedOn w:val="1"/>
    <w:uiPriority w:val="0"/>
    <w:rPr>
      <w:sz w:val="16"/>
      <w:szCs w:val="16"/>
    </w:rPr>
  </w:style>
  <w:style w:type="paragraph" w:styleId="31">
    <w:name w:val="List 5"/>
    <w:basedOn w:val="1"/>
    <w:qFormat/>
    <w:uiPriority w:val="0"/>
    <w:pPr>
      <w:ind w:left="1800" w:hanging="360"/>
    </w:pPr>
  </w:style>
  <w:style w:type="paragraph" w:styleId="32">
    <w:name w:val="List Continue"/>
    <w:basedOn w:val="1"/>
    <w:qFormat/>
    <w:uiPriority w:val="0"/>
    <w:pPr>
      <w:spacing w:after="120"/>
      <w:ind w:left="360"/>
    </w:pPr>
  </w:style>
  <w:style w:type="paragraph" w:styleId="33">
    <w:name w:val="Body Text 2"/>
    <w:basedOn w:val="1"/>
    <w:qFormat/>
    <w:uiPriority w:val="0"/>
    <w:pPr>
      <w:spacing w:after="120" w:line="480" w:lineRule="auto"/>
    </w:pPr>
  </w:style>
  <w:style w:type="paragraph" w:styleId="34">
    <w:name w:val="List Number 5"/>
    <w:basedOn w:val="1"/>
    <w:qFormat/>
    <w:uiPriority w:val="0"/>
    <w:pPr>
      <w:numPr>
        <w:ilvl w:val="0"/>
        <w:numId w:val="1"/>
      </w:numPr>
    </w:pPr>
  </w:style>
  <w:style w:type="paragraph" w:styleId="35">
    <w:name w:val="Closing"/>
    <w:basedOn w:val="1"/>
    <w:qFormat/>
    <w:uiPriority w:val="0"/>
    <w:pPr>
      <w:ind w:left="4320"/>
    </w:pPr>
  </w:style>
  <w:style w:type="paragraph" w:styleId="36">
    <w:name w:val="Normal Indent"/>
    <w:basedOn w:val="1"/>
    <w:qFormat/>
    <w:uiPriority w:val="0"/>
    <w:pPr>
      <w:ind w:left="708"/>
    </w:pPr>
  </w:style>
  <w:style w:type="paragraph" w:styleId="37">
    <w:name w:val="envelope return"/>
    <w:basedOn w:val="1"/>
    <w:qFormat/>
    <w:uiPriority w:val="0"/>
    <w:rPr>
      <w:rFonts w:ascii="Arial" w:hAnsi="Arial" w:cs="Arial"/>
      <w:sz w:val="20"/>
    </w:rPr>
  </w:style>
  <w:style w:type="paragraph" w:styleId="38">
    <w:name w:val="Plain Text"/>
    <w:basedOn w:val="1"/>
    <w:qFormat/>
    <w:uiPriority w:val="0"/>
    <w:rPr>
      <w:rFonts w:ascii="Courier New" w:hAnsi="Courier New" w:cs="Courier New"/>
      <w:sz w:val="20"/>
    </w:rPr>
  </w:style>
  <w:style w:type="paragraph" w:styleId="39">
    <w:name w:val="Body Text Indent 3"/>
    <w:basedOn w:val="1"/>
    <w:qFormat/>
    <w:uiPriority w:val="0"/>
    <w:pPr>
      <w:spacing w:after="120"/>
      <w:ind w:left="360"/>
    </w:pPr>
    <w:rPr>
      <w:sz w:val="16"/>
      <w:szCs w:val="16"/>
    </w:rPr>
  </w:style>
  <w:style w:type="paragraph" w:styleId="40">
    <w:name w:val="endnote text"/>
    <w:basedOn w:val="1"/>
    <w:uiPriority w:val="0"/>
    <w:pPr>
      <w:snapToGrid w:val="0"/>
      <w:jc w:val="left"/>
    </w:pPr>
  </w:style>
  <w:style w:type="paragraph" w:styleId="41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</w:rPr>
  </w:style>
  <w:style w:type="paragraph" w:styleId="42">
    <w:name w:val="annotation text"/>
    <w:basedOn w:val="1"/>
    <w:qFormat/>
    <w:uiPriority w:val="0"/>
    <w:pPr>
      <w:jc w:val="left"/>
    </w:pPr>
  </w:style>
  <w:style w:type="paragraph" w:styleId="43">
    <w:name w:val="index 1"/>
    <w:basedOn w:val="1"/>
    <w:next w:val="1"/>
    <w:qFormat/>
    <w:uiPriority w:val="0"/>
  </w:style>
  <w:style w:type="paragraph" w:styleId="44">
    <w:name w:val="annotation subject"/>
    <w:basedOn w:val="42"/>
    <w:next w:val="42"/>
    <w:qFormat/>
    <w:uiPriority w:val="0"/>
    <w:rPr>
      <w:b/>
      <w:bCs/>
    </w:rPr>
  </w:style>
  <w:style w:type="paragraph" w:styleId="45">
    <w:name w:val="Document Map"/>
    <w:basedOn w:val="1"/>
    <w:qFormat/>
    <w:uiPriority w:val="0"/>
    <w:pPr>
      <w:shd w:val="clear" w:color="auto" w:fill="000080"/>
    </w:pPr>
  </w:style>
  <w:style w:type="paragraph" w:styleId="46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47">
    <w:name w:val="toc 8"/>
    <w:basedOn w:val="1"/>
    <w:next w:val="1"/>
    <w:qFormat/>
    <w:uiPriority w:val="0"/>
    <w:pPr>
      <w:ind w:left="2940" w:leftChars="1400"/>
    </w:pPr>
  </w:style>
  <w:style w:type="paragraph" w:styleId="48">
    <w:name w:val="index 2"/>
    <w:basedOn w:val="1"/>
    <w:next w:val="1"/>
    <w:qFormat/>
    <w:uiPriority w:val="0"/>
    <w:pPr>
      <w:ind w:left="200" w:leftChars="200"/>
    </w:pPr>
  </w:style>
  <w:style w:type="paragraph" w:styleId="49">
    <w:name w:val="List Number 3"/>
    <w:basedOn w:val="1"/>
    <w:qFormat/>
    <w:uiPriority w:val="0"/>
    <w:pPr>
      <w:numPr>
        <w:ilvl w:val="0"/>
        <w:numId w:val="2"/>
      </w:numPr>
    </w:pPr>
  </w:style>
  <w:style w:type="paragraph" w:styleId="50">
    <w:name w:val="HTML Address"/>
    <w:basedOn w:val="1"/>
    <w:uiPriority w:val="0"/>
    <w:rPr>
      <w:i/>
      <w:iCs/>
    </w:rPr>
  </w:style>
  <w:style w:type="paragraph" w:styleId="51">
    <w:name w:val="index 7"/>
    <w:basedOn w:val="1"/>
    <w:next w:val="1"/>
    <w:uiPriority w:val="0"/>
    <w:pPr>
      <w:ind w:left="1200" w:leftChars="1200"/>
    </w:pPr>
  </w:style>
  <w:style w:type="paragraph" w:styleId="52">
    <w:name w:val="index 3"/>
    <w:basedOn w:val="1"/>
    <w:next w:val="1"/>
    <w:uiPriority w:val="0"/>
    <w:pPr>
      <w:ind w:left="400" w:leftChars="400"/>
    </w:pPr>
  </w:style>
  <w:style w:type="paragraph" w:styleId="53">
    <w:name w:val="index 5"/>
    <w:basedOn w:val="1"/>
    <w:next w:val="1"/>
    <w:qFormat/>
    <w:uiPriority w:val="0"/>
    <w:pPr>
      <w:ind w:left="800" w:leftChars="800"/>
    </w:pPr>
  </w:style>
  <w:style w:type="paragraph" w:styleId="54">
    <w:name w:val="index 4"/>
    <w:basedOn w:val="1"/>
    <w:next w:val="1"/>
    <w:qFormat/>
    <w:uiPriority w:val="0"/>
    <w:pPr>
      <w:ind w:left="600" w:leftChars="600"/>
    </w:pPr>
  </w:style>
  <w:style w:type="paragraph" w:styleId="55">
    <w:name w:val="header"/>
    <w:basedOn w:val="1"/>
    <w:qFormat/>
    <w:uiPriority w:val="0"/>
    <w:pPr>
      <w:tabs>
        <w:tab w:val="center" w:pos="4153"/>
        <w:tab w:val="right" w:pos="8306"/>
      </w:tabs>
    </w:pPr>
  </w:style>
  <w:style w:type="paragraph" w:styleId="56">
    <w:name w:val="toc 9"/>
    <w:basedOn w:val="1"/>
    <w:next w:val="1"/>
    <w:uiPriority w:val="0"/>
    <w:pPr>
      <w:ind w:left="3360" w:leftChars="1600"/>
    </w:pPr>
  </w:style>
  <w:style w:type="paragraph" w:styleId="57">
    <w:name w:val="toc 7"/>
    <w:basedOn w:val="1"/>
    <w:next w:val="1"/>
    <w:qFormat/>
    <w:uiPriority w:val="0"/>
    <w:pPr>
      <w:ind w:left="2520" w:leftChars="1200"/>
    </w:pPr>
  </w:style>
  <w:style w:type="paragraph" w:styleId="58">
    <w:name w:val="index 6"/>
    <w:basedOn w:val="1"/>
    <w:next w:val="1"/>
    <w:qFormat/>
    <w:uiPriority w:val="0"/>
    <w:pPr>
      <w:ind w:left="1000" w:leftChars="1000"/>
    </w:pPr>
  </w:style>
  <w:style w:type="paragraph" w:styleId="59">
    <w:name w:val="envelope address"/>
    <w:basedOn w:val="1"/>
    <w:uiPriority w:val="0"/>
    <w:pPr>
      <w:framePr w:w="7920" w:h="1980" w:hRule="exact" w:hSpace="180" w:wrap="around" w:vAnchor="margin" w:hAnchor="page" w:xAlign="center" w:yAlign="bottom"/>
      <w:ind w:left="2880"/>
    </w:pPr>
    <w:rPr>
      <w:rFonts w:ascii="Arial" w:hAnsi="Arial" w:cs="Arial"/>
      <w:sz w:val="24"/>
      <w:szCs w:val="24"/>
    </w:rPr>
  </w:style>
  <w:style w:type="paragraph" w:styleId="60">
    <w:name w:val="index 8"/>
    <w:basedOn w:val="1"/>
    <w:next w:val="1"/>
    <w:uiPriority w:val="0"/>
    <w:pPr>
      <w:ind w:left="1400" w:leftChars="1400"/>
    </w:pPr>
  </w:style>
  <w:style w:type="paragraph" w:styleId="61">
    <w:name w:val="Body Text"/>
    <w:basedOn w:val="1"/>
    <w:qFormat/>
    <w:uiPriority w:val="0"/>
    <w:pPr>
      <w:spacing w:after="120"/>
    </w:pPr>
  </w:style>
  <w:style w:type="paragraph" w:styleId="62">
    <w:name w:val="index 9"/>
    <w:basedOn w:val="1"/>
    <w:next w:val="1"/>
    <w:qFormat/>
    <w:uiPriority w:val="0"/>
    <w:pPr>
      <w:ind w:left="1600" w:leftChars="1600"/>
    </w:pPr>
  </w:style>
  <w:style w:type="paragraph" w:styleId="63">
    <w:name w:val="List Number 4"/>
    <w:basedOn w:val="1"/>
    <w:qFormat/>
    <w:uiPriority w:val="0"/>
    <w:pPr>
      <w:numPr>
        <w:ilvl w:val="0"/>
        <w:numId w:val="3"/>
      </w:numPr>
    </w:pPr>
  </w:style>
  <w:style w:type="paragraph" w:styleId="64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  <w:szCs w:val="24"/>
    </w:rPr>
  </w:style>
  <w:style w:type="paragraph" w:styleId="65">
    <w:name w:val="index heading"/>
    <w:basedOn w:val="1"/>
    <w:next w:val="43"/>
    <w:qFormat/>
    <w:uiPriority w:val="0"/>
    <w:rPr>
      <w:rFonts w:ascii="Arial" w:hAnsi="Arial" w:cs="Arial"/>
      <w:b/>
      <w:bCs/>
    </w:rPr>
  </w:style>
  <w:style w:type="paragraph" w:styleId="66">
    <w:name w:val="toc 1"/>
    <w:basedOn w:val="1"/>
    <w:next w:val="1"/>
    <w:qFormat/>
    <w:uiPriority w:val="0"/>
  </w:style>
  <w:style w:type="paragraph" w:styleId="67">
    <w:name w:val="table of authorities"/>
    <w:basedOn w:val="1"/>
    <w:next w:val="1"/>
    <w:qFormat/>
    <w:uiPriority w:val="0"/>
    <w:pPr>
      <w:ind w:left="420" w:leftChars="200"/>
    </w:pPr>
  </w:style>
  <w:style w:type="paragraph" w:styleId="68">
    <w:name w:val="macro"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 w:eastAsiaTheme="minorEastAsia"/>
      <w:kern w:val="2"/>
      <w:sz w:val="24"/>
      <w:szCs w:val="24"/>
      <w:lang w:val="en-US" w:eastAsia="zh-CN" w:bidi="ar-SA"/>
    </w:rPr>
  </w:style>
  <w:style w:type="paragraph" w:styleId="69">
    <w:name w:val="toc 6"/>
    <w:basedOn w:val="1"/>
    <w:next w:val="1"/>
    <w:uiPriority w:val="0"/>
    <w:pPr>
      <w:ind w:left="2100" w:leftChars="1000"/>
    </w:pPr>
  </w:style>
  <w:style w:type="paragraph" w:styleId="70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styleId="71">
    <w:name w:val="toc 3"/>
    <w:basedOn w:val="1"/>
    <w:next w:val="1"/>
    <w:qFormat/>
    <w:uiPriority w:val="0"/>
    <w:pPr>
      <w:ind w:left="840" w:leftChars="400"/>
    </w:pPr>
  </w:style>
  <w:style w:type="paragraph" w:styleId="72">
    <w:name w:val="toc 2"/>
    <w:basedOn w:val="1"/>
    <w:next w:val="1"/>
    <w:qFormat/>
    <w:uiPriority w:val="0"/>
    <w:pPr>
      <w:ind w:left="420" w:leftChars="200"/>
    </w:pPr>
  </w:style>
  <w:style w:type="paragraph" w:styleId="73">
    <w:name w:val="toc 4"/>
    <w:basedOn w:val="1"/>
    <w:next w:val="1"/>
    <w:qFormat/>
    <w:uiPriority w:val="0"/>
    <w:pPr>
      <w:ind w:left="1260" w:leftChars="600"/>
    </w:pPr>
  </w:style>
  <w:style w:type="paragraph" w:styleId="74">
    <w:name w:val="toc 5"/>
    <w:basedOn w:val="1"/>
    <w:next w:val="1"/>
    <w:qFormat/>
    <w:uiPriority w:val="0"/>
    <w:pPr>
      <w:ind w:left="1680" w:leftChars="800"/>
    </w:pPr>
  </w:style>
  <w:style w:type="paragraph" w:styleId="75">
    <w:name w:val="Note Heading"/>
    <w:basedOn w:val="1"/>
    <w:next w:val="1"/>
    <w:qFormat/>
    <w:uiPriority w:val="0"/>
  </w:style>
  <w:style w:type="paragraph" w:styleId="76">
    <w:name w:val="Date"/>
    <w:basedOn w:val="1"/>
    <w:next w:val="1"/>
    <w:uiPriority w:val="0"/>
  </w:style>
  <w:style w:type="paragraph" w:styleId="77">
    <w:name w:val="List Bullet 5"/>
    <w:basedOn w:val="1"/>
    <w:qFormat/>
    <w:uiPriority w:val="0"/>
    <w:pPr>
      <w:numPr>
        <w:ilvl w:val="0"/>
        <w:numId w:val="4"/>
      </w:numPr>
    </w:pPr>
  </w:style>
  <w:style w:type="paragraph" w:styleId="78">
    <w:name w:val="Body Text First Indent"/>
    <w:basedOn w:val="61"/>
    <w:qFormat/>
    <w:uiPriority w:val="0"/>
    <w:pPr>
      <w:ind w:firstLine="210"/>
    </w:pPr>
  </w:style>
  <w:style w:type="paragraph" w:styleId="79">
    <w:name w:val="Body Text First Indent 2"/>
    <w:basedOn w:val="80"/>
    <w:qFormat/>
    <w:uiPriority w:val="0"/>
    <w:pPr>
      <w:ind w:firstLine="210"/>
    </w:pPr>
  </w:style>
  <w:style w:type="paragraph" w:styleId="80">
    <w:name w:val="Body Text Indent"/>
    <w:basedOn w:val="1"/>
    <w:uiPriority w:val="0"/>
    <w:pPr>
      <w:spacing w:after="120"/>
      <w:ind w:left="360"/>
    </w:pPr>
  </w:style>
  <w:style w:type="paragraph" w:styleId="81">
    <w:name w:val="List Bullet 4"/>
    <w:basedOn w:val="1"/>
    <w:uiPriority w:val="0"/>
    <w:pPr>
      <w:numPr>
        <w:ilvl w:val="0"/>
        <w:numId w:val="5"/>
      </w:numPr>
    </w:pPr>
  </w:style>
  <w:style w:type="paragraph" w:styleId="82">
    <w:name w:val="List Bullet"/>
    <w:basedOn w:val="1"/>
    <w:qFormat/>
    <w:uiPriority w:val="0"/>
    <w:pPr>
      <w:numPr>
        <w:ilvl w:val="0"/>
        <w:numId w:val="6"/>
      </w:numPr>
    </w:pPr>
  </w:style>
  <w:style w:type="paragraph" w:styleId="83">
    <w:name w:val="List Bullet 2"/>
    <w:basedOn w:val="1"/>
    <w:qFormat/>
    <w:uiPriority w:val="0"/>
    <w:pPr>
      <w:numPr>
        <w:ilvl w:val="0"/>
        <w:numId w:val="7"/>
      </w:numPr>
    </w:pPr>
  </w:style>
  <w:style w:type="paragraph" w:styleId="84">
    <w:name w:val="List Bullet 3"/>
    <w:basedOn w:val="1"/>
    <w:qFormat/>
    <w:uiPriority w:val="0"/>
    <w:pPr>
      <w:numPr>
        <w:ilvl w:val="0"/>
        <w:numId w:val="8"/>
      </w:numPr>
    </w:pPr>
  </w:style>
  <w:style w:type="paragraph" w:styleId="85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86">
    <w:name w:val="footer"/>
    <w:basedOn w:val="1"/>
    <w:uiPriority w:val="0"/>
    <w:pPr>
      <w:tabs>
        <w:tab w:val="center" w:pos="4153"/>
        <w:tab w:val="right" w:pos="8306"/>
      </w:tabs>
    </w:pPr>
  </w:style>
  <w:style w:type="paragraph" w:styleId="87">
    <w:name w:val="List Number"/>
    <w:basedOn w:val="1"/>
    <w:qFormat/>
    <w:uiPriority w:val="0"/>
    <w:pPr>
      <w:numPr>
        <w:ilvl w:val="0"/>
        <w:numId w:val="9"/>
      </w:numPr>
    </w:pPr>
  </w:style>
  <w:style w:type="paragraph" w:styleId="88">
    <w:name w:val="List Number 2"/>
    <w:basedOn w:val="1"/>
    <w:uiPriority w:val="0"/>
    <w:pPr>
      <w:numPr>
        <w:ilvl w:val="0"/>
        <w:numId w:val="10"/>
      </w:numPr>
    </w:pPr>
  </w:style>
  <w:style w:type="paragraph" w:styleId="89">
    <w:name w:val="List"/>
    <w:basedOn w:val="1"/>
    <w:qFormat/>
    <w:uiPriority w:val="0"/>
    <w:pPr>
      <w:ind w:left="360" w:hanging="360"/>
    </w:pPr>
  </w:style>
  <w:style w:type="paragraph" w:styleId="90">
    <w:name w:val="Normal (Web)"/>
    <w:basedOn w:val="1"/>
    <w:qFormat/>
    <w:uiPriority w:val="0"/>
    <w:rPr>
      <w:sz w:val="24"/>
      <w:szCs w:val="24"/>
    </w:rPr>
  </w:style>
  <w:style w:type="paragraph" w:styleId="91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92">
    <w:name w:val="Body Text Indent 2"/>
    <w:basedOn w:val="1"/>
    <w:qFormat/>
    <w:uiPriority w:val="0"/>
    <w:pPr>
      <w:spacing w:after="120" w:line="480" w:lineRule="auto"/>
      <w:ind w:left="360"/>
    </w:pPr>
  </w:style>
  <w:style w:type="paragraph" w:styleId="93">
    <w:name w:val="Subtitle"/>
    <w:basedOn w:val="1"/>
    <w:qFormat/>
    <w:uiPriority w:val="0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94">
    <w:name w:val="Signature"/>
    <w:basedOn w:val="1"/>
    <w:qFormat/>
    <w:uiPriority w:val="0"/>
    <w:pPr>
      <w:ind w:left="4320"/>
    </w:pPr>
  </w:style>
  <w:style w:type="paragraph" w:styleId="95">
    <w:name w:val="Salutation"/>
    <w:basedOn w:val="1"/>
    <w:next w:val="1"/>
    <w:qFormat/>
    <w:uiPriority w:val="0"/>
  </w:style>
  <w:style w:type="paragraph" w:styleId="96">
    <w:name w:val="List Continue 2"/>
    <w:basedOn w:val="1"/>
    <w:qFormat/>
    <w:uiPriority w:val="0"/>
    <w:pPr>
      <w:spacing w:after="120"/>
      <w:ind w:left="720"/>
    </w:pPr>
  </w:style>
  <w:style w:type="paragraph" w:styleId="97">
    <w:name w:val="List Continue 3"/>
    <w:basedOn w:val="1"/>
    <w:qFormat/>
    <w:uiPriority w:val="0"/>
    <w:pPr>
      <w:spacing w:after="120"/>
      <w:ind w:left="1080"/>
    </w:pPr>
  </w:style>
  <w:style w:type="paragraph" w:styleId="98">
    <w:name w:val="List Continue 4"/>
    <w:basedOn w:val="1"/>
    <w:qFormat/>
    <w:uiPriority w:val="0"/>
    <w:pPr>
      <w:spacing w:after="120"/>
      <w:ind w:left="1440"/>
    </w:pPr>
  </w:style>
  <w:style w:type="paragraph" w:styleId="99">
    <w:name w:val="List Continue 5"/>
    <w:basedOn w:val="1"/>
    <w:uiPriority w:val="0"/>
    <w:pPr>
      <w:spacing w:after="120"/>
      <w:ind w:left="1800"/>
    </w:pPr>
  </w:style>
  <w:style w:type="paragraph" w:styleId="100">
    <w:name w:val="List 2"/>
    <w:basedOn w:val="1"/>
    <w:qFormat/>
    <w:uiPriority w:val="0"/>
    <w:pPr>
      <w:ind w:left="720" w:hanging="360"/>
    </w:pPr>
  </w:style>
  <w:style w:type="paragraph" w:styleId="101">
    <w:name w:val="List 3"/>
    <w:basedOn w:val="1"/>
    <w:uiPriority w:val="0"/>
    <w:pPr>
      <w:ind w:left="1080" w:hanging="360"/>
    </w:pPr>
  </w:style>
  <w:style w:type="paragraph" w:styleId="102">
    <w:name w:val="List 4"/>
    <w:basedOn w:val="1"/>
    <w:qFormat/>
    <w:uiPriority w:val="0"/>
    <w:pPr>
      <w:ind w:left="1440" w:hanging="360"/>
    </w:pPr>
  </w:style>
  <w:style w:type="paragraph" w:styleId="103">
    <w:name w:val="HTML Preformatted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paragraph" w:styleId="104">
    <w:name w:val="Block Text"/>
    <w:basedOn w:val="1"/>
    <w:qFormat/>
    <w:uiPriority w:val="0"/>
    <w:pPr>
      <w:spacing w:after="120"/>
      <w:ind w:left="1440" w:right="1440"/>
    </w:pPr>
  </w:style>
  <w:style w:type="paragraph" w:styleId="105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ascii="Arial" w:hAnsi="Arial" w:cs="Arial"/>
      <w:sz w:val="24"/>
      <w:szCs w:val="24"/>
    </w:rPr>
  </w:style>
  <w:style w:type="paragraph" w:styleId="106">
    <w:name w:val="E-mail Signature"/>
    <w:basedOn w:val="1"/>
    <w:qFormat/>
    <w:uiPriority w:val="0"/>
  </w:style>
  <w:style w:type="table" w:styleId="107">
    <w:name w:val="Table Colorful 2"/>
    <w:basedOn w:val="12"/>
    <w:qFormat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8">
    <w:name w:val="Table Grid 2"/>
    <w:basedOn w:val="12"/>
    <w:qFormat/>
    <w:uiPriority w:val="0"/>
    <w:pPr>
      <w:widowControl w:val="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9">
    <w:name w:val="Table Subtle 1"/>
    <w:basedOn w:val="12"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0">
    <w:name w:val="Table Theme"/>
    <w:basedOn w:val="1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11">
    <w:name w:val="Table Web 3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2">
    <w:name w:val="Table Grid 6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13">
    <w:name w:val="Table Simple 1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top w:val="nil"/>
          <w:left w:val="single" w:color="008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4">
    <w:name w:val="Table Grid 1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5">
    <w:name w:val="Table 3D effects 2"/>
    <w:basedOn w:val="12"/>
    <w:uiPriority w:val="0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808080" w:sz="6" w:space="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color="FFFFFF" w:sz="6" w:space="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6">
    <w:name w:val="Table List 5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7">
    <w:name w:val="Table Classic 4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8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19">
    <w:name w:val="Table Classic 1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6" w:space="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0">
    <w:name w:val="Table Grid 5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21">
    <w:name w:val="Table 3D effects 3"/>
    <w:basedOn w:val="12"/>
    <w:qFormat/>
    <w:uiPriority w:val="0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808080" w:sz="6" w:space="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color="FFFFFF" w:sz="6" w:space="0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2">
    <w:name w:val="Table Columns 3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3">
    <w:name w:val="Table Columns 4"/>
    <w:basedOn w:val="12"/>
    <w:uiPriority w:val="0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24">
    <w:name w:val="Table Classic 3"/>
    <w:basedOn w:val="12"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5">
    <w:name w:val="Table Professional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26">
    <w:name w:val="Table Elegant"/>
    <w:basedOn w:val="12"/>
    <w:qFormat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7">
    <w:name w:val="Table Colorful 1"/>
    <w:basedOn w:val="12"/>
    <w:qFormat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8">
    <w:name w:val="Table List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9">
    <w:name w:val="Table Web 2"/>
    <w:basedOn w:val="12"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0">
    <w:name w:val="Table List 7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top w:val="nil"/>
          <w:left w:val="single" w:color="008000" w:sz="12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131">
    <w:name w:val="Table Contemporary"/>
    <w:basedOn w:val="12"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132">
    <w:name w:val="Table List 6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</w:style>
  <w:style w:type="table" w:styleId="133">
    <w:name w:val="Table Grid 4"/>
    <w:basedOn w:val="12"/>
    <w:qFormat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4">
    <w:name w:val="Table Columns 1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top w:val="nil"/>
          <w:left w:val="double" w:color="000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5">
    <w:name w:val="Table List 8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</w:style>
  <w:style w:type="table" w:styleId="136">
    <w:name w:val="Table Grid 3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7">
    <w:name w:val="Table Subtle 2"/>
    <w:basedOn w:val="12"/>
    <w:qFormat/>
    <w:uiPriority w:val="0"/>
    <w:pPr>
      <w:widowControl w:val="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8">
    <w:name w:val="Table List 4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139">
    <w:name w:val="Table List 1"/>
    <w:basedOn w:val="12"/>
    <w:qFormat/>
    <w:uiPriority w:val="0"/>
    <w:pPr>
      <w:widowControl w:val="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0">
    <w:name w:val="Table Web 1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1">
    <w:name w:val="Table Colorful 3"/>
    <w:basedOn w:val="12"/>
    <w:uiPriority w:val="0"/>
    <w:pPr>
      <w:widowControl w:val="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nil"/>
          <w:bottom w:val="single" w:color="000000" w:sz="36" w:space="0"/>
          <w:right w:val="single" w:color="000000" w:sz="6" w:space="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42">
    <w:name w:val="Table Columns 5"/>
    <w:basedOn w:val="12"/>
    <w:qFormat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single" w:color="80808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43">
    <w:name w:val="Table Classic 2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4">
    <w:name w:val="Table Grid 7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45">
    <w:name w:val="Table 3D effects 1"/>
    <w:basedOn w:val="12"/>
    <w:qFormat/>
    <w:uiPriority w:val="0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single" w:color="80808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color="808080" w:sz="6" w:space="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single" w:color="FFFFFF" w:sz="6" w:space="0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6">
    <w:name w:val="Table Columns 2"/>
    <w:basedOn w:val="12"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7">
    <w:name w:val="Table Simple 2"/>
    <w:basedOn w:val="12"/>
    <w:qFormat/>
    <w:uiPriority w:val="0"/>
    <w:pPr>
      <w:widowControl w:val="0"/>
      <w:jc w:val="both"/>
    </w:pPr>
    <w:tblPr/>
    <w:tblStylePr w:type="firstRow">
      <w:rPr>
        <w:b/>
        <w:bCs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8">
    <w:name w:val="Table Simple 3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49">
    <w:name w:val="Table Grid 8"/>
    <w:basedOn w:val="12"/>
    <w:qFormat/>
    <w:uiPriority w:val="0"/>
    <w:pPr>
      <w:widowControl w:val="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50">
    <w:name w:val="Table List 2"/>
    <w:basedOn w:val="12"/>
    <w:uiPriority w:val="0"/>
    <w:pPr>
      <w:widowControl w:val="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151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="Calibri" w:hAnsi="Calibri" w:eastAsia="Calibri" w:cs="Times New Roman"/>
    </w:rPr>
  </w:style>
  <w:style w:type="paragraph" w:customStyle="1" w:styleId="152">
    <w:name w:val="msonormaldop"/>
    <w:qFormat/>
    <w:uiPriority w:val="0"/>
    <w:pPr>
      <w:spacing w:after="0" w:line="240" w:lineRule="auto"/>
      <w:ind w:firstLine="709"/>
      <w:jc w:val="both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table" w:customStyle="1" w:styleId="153">
    <w:name w:val="_Style 12"/>
    <w:basedOn w:val="154"/>
    <w:qFormat/>
    <w:uiPriority w:val="0"/>
    <w:tblPr>
      <w:tblCellMar>
        <w:left w:w="115" w:type="dxa"/>
        <w:right w:w="115" w:type="dxa"/>
      </w:tblCellMar>
    </w:tblPr>
  </w:style>
  <w:style w:type="table" w:customStyle="1" w:styleId="154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0</Words>
  <Characters>0</Characters>
  <Lines>0</Lines>
  <Paragraphs>0</Paragraphs>
  <TotalTime>26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2025-07-08T14:27:00Z</dcterms:created>
  <dc:creator>Алёна</dc:creator>
  <cp:lastModifiedBy>Алёна Анатольевна</cp:lastModifiedBy>
  <dcterms:modified xsi:type="dcterms:W3CDTF">2025-07-17T02:32:37Z</dcterms:modified>
  <dc:title>Мой отчёт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58D62C2725D14584A00AAE83C5F0E465_11</vt:lpwstr>
  </property>
</Properties>
</file>