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52" w:rsidRDefault="00662ADF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МИНИСТЕРСТВО НАУКИ И ВЫСШЕГО ОБРАЗОВАНИЯ        РОССИЙСКОЙ ФЕДЕРАЦИИ</w:t>
      </w:r>
    </w:p>
    <w:p w:rsidR="00E77852" w:rsidRDefault="00662ADF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:rsidR="00E77852" w:rsidRDefault="00662ADF">
      <w:pPr>
        <w:spacing w:before="120"/>
        <w:jc w:val="center"/>
        <w:rPr>
          <w:caps/>
          <w:sz w:val="28"/>
        </w:rPr>
      </w:pPr>
      <w:r>
        <w:rPr>
          <w:caps/>
          <w:sz w:val="28"/>
        </w:rPr>
        <w:t xml:space="preserve">Институт международного бизнеса, </w:t>
      </w:r>
    </w:p>
    <w:p w:rsidR="00E77852" w:rsidRDefault="00662ADF">
      <w:pPr>
        <w:jc w:val="center"/>
        <w:rPr>
          <w:caps/>
          <w:sz w:val="28"/>
        </w:rPr>
      </w:pPr>
      <w:r>
        <w:rPr>
          <w:caps/>
          <w:sz w:val="28"/>
        </w:rPr>
        <w:t>экономики и управления</w:t>
      </w:r>
    </w:p>
    <w:p w:rsidR="00E77852" w:rsidRDefault="00662ADF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:rsidR="00E77852" w:rsidRDefault="00E77852">
      <w:pPr>
        <w:rPr>
          <w:sz w:val="28"/>
        </w:rPr>
      </w:pPr>
    </w:p>
    <w:p w:rsidR="00E77852" w:rsidRDefault="00E77852">
      <w:pPr>
        <w:rPr>
          <w:sz w:val="28"/>
        </w:rPr>
      </w:pPr>
    </w:p>
    <w:p w:rsidR="00E77852" w:rsidRDefault="00E77852">
      <w:pPr>
        <w:ind w:left="6372"/>
      </w:pPr>
    </w:p>
    <w:p w:rsidR="00E77852" w:rsidRDefault="00E77852"/>
    <w:p w:rsidR="00E77852" w:rsidRDefault="00E77852">
      <w:pPr>
        <w:ind w:left="6372"/>
      </w:pPr>
    </w:p>
    <w:p w:rsidR="00E77852" w:rsidRDefault="00E77852">
      <w:pPr>
        <w:ind w:left="6372"/>
      </w:pPr>
    </w:p>
    <w:p w:rsidR="00E77852" w:rsidRDefault="00E77852">
      <w:pPr>
        <w:jc w:val="right"/>
        <w:rPr>
          <w:sz w:val="28"/>
        </w:rPr>
      </w:pPr>
    </w:p>
    <w:p w:rsidR="00E77852" w:rsidRDefault="00E77852">
      <w:pPr>
        <w:jc w:val="right"/>
        <w:rPr>
          <w:sz w:val="28"/>
        </w:rPr>
      </w:pPr>
    </w:p>
    <w:p w:rsidR="00E77852" w:rsidRDefault="00662ADF">
      <w:pPr>
        <w:pStyle w:val="1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ОТЧЕТ</w:t>
      </w:r>
    </w:p>
    <w:p w:rsidR="00E77852" w:rsidRDefault="00662ADF">
      <w:pPr>
        <w:spacing w:after="240"/>
        <w:jc w:val="center"/>
        <w:rPr>
          <w:sz w:val="44"/>
          <w:szCs w:val="44"/>
        </w:rPr>
      </w:pPr>
      <w:r>
        <w:rPr>
          <w:sz w:val="44"/>
          <w:szCs w:val="44"/>
        </w:rPr>
        <w:t>по учебной ознакомительной</w:t>
      </w:r>
      <w:r>
        <w:rPr>
          <w:color w:val="FF0000"/>
          <w:sz w:val="44"/>
          <w:szCs w:val="44"/>
        </w:rPr>
        <w:t xml:space="preserve"> </w:t>
      </w:r>
      <w:r>
        <w:rPr>
          <w:sz w:val="44"/>
          <w:szCs w:val="44"/>
        </w:rPr>
        <w:t>практике</w:t>
      </w:r>
      <w:r>
        <w:rPr>
          <w:color w:val="FF0000"/>
          <w:sz w:val="44"/>
          <w:szCs w:val="44"/>
        </w:rPr>
        <w:t xml:space="preserve"> </w:t>
      </w:r>
    </w:p>
    <w:p w:rsidR="00E77852" w:rsidRDefault="00662ADF">
      <w:pPr>
        <w:pStyle w:val="a8"/>
        <w:ind w:left="0" w:right="-72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44"/>
          <w:szCs w:val="44"/>
        </w:rPr>
        <w:t>АО «Альфа-Банк», г. Владивосток</w:t>
      </w:r>
    </w:p>
    <w:p w:rsidR="00E77852" w:rsidRDefault="00E77852">
      <w:pPr>
        <w:pStyle w:val="a8"/>
        <w:spacing w:before="240"/>
        <w:ind w:left="0" w:right="-74"/>
        <w:jc w:val="center"/>
        <w:rPr>
          <w:sz w:val="44"/>
        </w:rPr>
      </w:pPr>
    </w:p>
    <w:p w:rsidR="00E77852" w:rsidRDefault="00E77852">
      <w:pPr>
        <w:pStyle w:val="a8"/>
        <w:spacing w:before="240"/>
        <w:ind w:left="0" w:right="-74"/>
        <w:jc w:val="center"/>
        <w:rPr>
          <w:sz w:val="44"/>
        </w:rPr>
      </w:pPr>
    </w:p>
    <w:tbl>
      <w:tblPr>
        <w:tblW w:w="9758" w:type="dxa"/>
        <w:tblLayout w:type="fixed"/>
        <w:tblLook w:val="04A0" w:firstRow="1" w:lastRow="0" w:firstColumn="1" w:lastColumn="0" w:noHBand="0" w:noVBand="1"/>
      </w:tblPr>
      <w:tblGrid>
        <w:gridCol w:w="4106"/>
        <w:gridCol w:w="2402"/>
        <w:gridCol w:w="3250"/>
      </w:tblGrid>
      <w:tr w:rsidR="00E77852">
        <w:trPr>
          <w:trHeight w:val="332"/>
        </w:trPr>
        <w:tc>
          <w:tcPr>
            <w:tcW w:w="4106" w:type="dxa"/>
          </w:tcPr>
          <w:p w:rsidR="00E77852" w:rsidRDefault="00662ADF">
            <w:pPr>
              <w:pStyle w:val="a8"/>
              <w:ind w:left="0" w:right="9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402" w:type="dxa"/>
          </w:tcPr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50" w:type="dxa"/>
          </w:tcPr>
          <w:p w:rsidR="00E77852" w:rsidRDefault="00E77852">
            <w:pPr>
              <w:pStyle w:val="a8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77852">
        <w:trPr>
          <w:trHeight w:val="332"/>
        </w:trPr>
        <w:tc>
          <w:tcPr>
            <w:tcW w:w="4106" w:type="dxa"/>
          </w:tcPr>
          <w:p w:rsidR="00E77852" w:rsidRDefault="00662ADF">
            <w:pPr>
              <w:pStyle w:val="a8"/>
              <w:ind w:left="0" w:right="9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 БЭУ-24-ЦТ1</w:t>
            </w:r>
          </w:p>
        </w:tc>
        <w:tc>
          <w:tcPr>
            <w:tcW w:w="2402" w:type="dxa"/>
          </w:tcPr>
          <w:p w:rsidR="00E77852" w:rsidRDefault="00662ADF">
            <w:pPr>
              <w:pStyle w:val="a8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250" w:type="dxa"/>
          </w:tcPr>
          <w:p w:rsidR="00E77852" w:rsidRDefault="00662ADF">
            <w:pPr>
              <w:pStyle w:val="a8"/>
              <w:ind w:left="0" w:right="0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</w:t>
            </w:r>
            <w:r>
              <w:rPr>
                <w:color w:val="000000" w:themeColor="text1"/>
                <w:sz w:val="28"/>
                <w:szCs w:val="28"/>
              </w:rPr>
              <w:t>А.О. Дедяхина</w:t>
            </w:r>
          </w:p>
        </w:tc>
      </w:tr>
      <w:tr w:rsidR="00E77852">
        <w:trPr>
          <w:trHeight w:val="998"/>
        </w:trPr>
        <w:tc>
          <w:tcPr>
            <w:tcW w:w="4106" w:type="dxa"/>
          </w:tcPr>
          <w:p w:rsidR="00E77852" w:rsidRDefault="00E77852">
            <w:pPr>
              <w:pStyle w:val="a8"/>
              <w:ind w:left="0" w:right="963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9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:rsidR="00E77852" w:rsidRDefault="00662ADF">
            <w:pPr>
              <w:pStyle w:val="a8"/>
              <w:ind w:left="0" w:right="963"/>
              <w:jc w:val="left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402" w:type="dxa"/>
          </w:tcPr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250" w:type="dxa"/>
          </w:tcPr>
          <w:p w:rsidR="00E77852" w:rsidRDefault="00E77852">
            <w:pPr>
              <w:pStyle w:val="a8"/>
              <w:ind w:left="0" w:right="0"/>
              <w:rPr>
                <w:sz w:val="28"/>
                <w:szCs w:val="28"/>
              </w:rPr>
            </w:pPr>
          </w:p>
          <w:p w:rsidR="00E77852" w:rsidRDefault="00E77852">
            <w:pPr>
              <w:pStyle w:val="a8"/>
              <w:ind w:left="0" w:right="0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А.А. Вертинова</w:t>
            </w:r>
          </w:p>
        </w:tc>
      </w:tr>
      <w:tr w:rsidR="00E77852">
        <w:trPr>
          <w:trHeight w:val="1664"/>
        </w:trPr>
        <w:tc>
          <w:tcPr>
            <w:tcW w:w="4106" w:type="dxa"/>
          </w:tcPr>
          <w:p w:rsidR="00E77852" w:rsidRDefault="00E77852">
            <w:pPr>
              <w:pStyle w:val="a8"/>
              <w:ind w:left="0" w:right="34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 предприятия</w:t>
            </w:r>
          </w:p>
          <w:p w:rsidR="00E77852" w:rsidRDefault="00662ADF">
            <w:pPr>
              <w:pStyle w:val="a8"/>
              <w:ind w:left="0" w:right="34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1"/>
              </w:rPr>
              <w:t xml:space="preserve">руководитель универсального дополнительного </w:t>
            </w:r>
            <w:r>
              <w:rPr>
                <w:color w:val="000000" w:themeColor="text1"/>
                <w:sz w:val="28"/>
                <w:szCs w:val="21"/>
              </w:rPr>
              <w:br/>
              <w:t>отдела</w:t>
            </w:r>
          </w:p>
        </w:tc>
        <w:tc>
          <w:tcPr>
            <w:tcW w:w="2402" w:type="dxa"/>
          </w:tcPr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250" w:type="dxa"/>
          </w:tcPr>
          <w:p w:rsidR="00E77852" w:rsidRDefault="00E77852">
            <w:pPr>
              <w:pStyle w:val="a8"/>
              <w:ind w:left="0" w:right="963"/>
              <w:rPr>
                <w:sz w:val="28"/>
                <w:szCs w:val="28"/>
              </w:rPr>
            </w:pPr>
          </w:p>
          <w:p w:rsidR="00E77852" w:rsidRDefault="00E77852">
            <w:pPr>
              <w:pStyle w:val="a8"/>
              <w:ind w:left="0" w:right="963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9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А.С.Чиняева</w:t>
            </w:r>
          </w:p>
        </w:tc>
      </w:tr>
      <w:tr w:rsidR="00E77852">
        <w:trPr>
          <w:trHeight w:val="1331"/>
        </w:trPr>
        <w:tc>
          <w:tcPr>
            <w:tcW w:w="4106" w:type="dxa"/>
          </w:tcPr>
          <w:p w:rsidR="00E77852" w:rsidRDefault="00E77852">
            <w:pPr>
              <w:pStyle w:val="a8"/>
              <w:ind w:left="0" w:right="34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Нормоконтролер</w:t>
            </w:r>
          </w:p>
          <w:p w:rsidR="00E77852" w:rsidRDefault="00662ADF">
            <w:pPr>
              <w:pStyle w:val="a8"/>
              <w:ind w:left="0" w:right="34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канд. экон. наук, доцент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02" w:type="dxa"/>
          </w:tcPr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  <w:p w:rsidR="00E77852" w:rsidRDefault="00E77852">
            <w:pPr>
              <w:pStyle w:val="a8"/>
              <w:ind w:left="0" w:right="144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250" w:type="dxa"/>
          </w:tcPr>
          <w:p w:rsidR="00E77852" w:rsidRDefault="00E77852">
            <w:pPr>
              <w:pStyle w:val="a8"/>
              <w:ind w:left="0" w:right="963"/>
              <w:rPr>
                <w:sz w:val="28"/>
                <w:szCs w:val="28"/>
              </w:rPr>
            </w:pPr>
          </w:p>
          <w:p w:rsidR="00E77852" w:rsidRDefault="00E77852">
            <w:pPr>
              <w:pStyle w:val="a8"/>
              <w:ind w:left="0" w:right="963"/>
              <w:rPr>
                <w:sz w:val="28"/>
                <w:szCs w:val="28"/>
              </w:rPr>
            </w:pPr>
          </w:p>
          <w:p w:rsidR="00E77852" w:rsidRDefault="00662ADF">
            <w:pPr>
              <w:pStyle w:val="a8"/>
              <w:ind w:left="0" w:right="9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А.А.Вертинова</w:t>
            </w:r>
          </w:p>
        </w:tc>
      </w:tr>
    </w:tbl>
    <w:p w:rsidR="00E77852" w:rsidRDefault="00E77852">
      <w:pPr>
        <w:pStyle w:val="a8"/>
        <w:ind w:left="0" w:right="963"/>
        <w:jc w:val="center"/>
        <w:rPr>
          <w:sz w:val="20"/>
        </w:rPr>
      </w:pPr>
    </w:p>
    <w:p w:rsidR="00E77852" w:rsidRDefault="00E77852">
      <w:pPr>
        <w:pStyle w:val="a8"/>
        <w:ind w:left="0" w:right="963"/>
        <w:jc w:val="center"/>
      </w:pPr>
    </w:p>
    <w:p w:rsidR="00E77852" w:rsidRDefault="00E77852">
      <w:pPr>
        <w:pStyle w:val="a8"/>
        <w:ind w:left="0" w:right="963"/>
        <w:jc w:val="center"/>
      </w:pPr>
    </w:p>
    <w:p w:rsidR="00E77852" w:rsidRDefault="00662ADF">
      <w:pPr>
        <w:pStyle w:val="a8"/>
        <w:ind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>Владивосток 2026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38"/>
      </w:tblGrid>
      <w:tr w:rsidR="00E77852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7852" w:rsidRDefault="00662ADF">
            <w:pPr>
              <w:widowControl w:val="0"/>
              <w:spacing w:after="120"/>
              <w:ind w:left="885"/>
              <w:jc w:val="center"/>
            </w:pPr>
            <w:bookmarkStart w:id="0" w:name="_Toc223323747"/>
            <w:r>
              <w:rPr>
                <w:noProof/>
              </w:rPr>
              <w:lastRenderedPageBreak/>
              <w:drawing>
                <wp:inline distT="0" distB="0" distL="0" distR="0">
                  <wp:extent cx="923925" cy="1009650"/>
                  <wp:effectExtent l="0" t="0" r="5715" b="11430"/>
                  <wp:docPr id="1" name="Рисунок 1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77852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7852" w:rsidRDefault="00662ADF">
            <w:pPr>
              <w:widowControl w:val="0"/>
              <w:spacing w:after="240"/>
              <w:ind w:left="-108" w:right="-284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МИНОБРНАУКИ РОССИИ</w:t>
            </w:r>
          </w:p>
        </w:tc>
      </w:tr>
      <w:tr w:rsidR="00E77852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7852" w:rsidRDefault="00662ADF">
            <w:pPr>
              <w:widowControl w:val="0"/>
              <w:ind w:left="-108" w:right="27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</w:t>
            </w:r>
          </w:p>
          <w:p w:rsidR="00E77852" w:rsidRDefault="00662ADF">
            <w:pPr>
              <w:widowControl w:val="0"/>
              <w:ind w:right="-284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</w:tr>
      <w:tr w:rsidR="00E77852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7852" w:rsidRDefault="00662ADF">
            <w:pPr>
              <w:widowControl w:val="0"/>
              <w:ind w:right="-284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«ВЛАДИВОСТОКСКИЙ ГОСУДАРСТВЕННЫЙ УНИВЕРСИТЕТ»</w:t>
            </w:r>
          </w:p>
        </w:tc>
      </w:tr>
      <w:tr w:rsidR="00E77852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7852" w:rsidRDefault="00662ADF">
            <w:pPr>
              <w:widowControl w:val="0"/>
              <w:ind w:right="-284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(ФГБОУ ВО «ВВГУ»)</w:t>
            </w:r>
          </w:p>
        </w:tc>
      </w:tr>
    </w:tbl>
    <w:p w:rsidR="00E77852" w:rsidRDefault="00662ADF">
      <w:pPr>
        <w:spacing w:line="360" w:lineRule="auto"/>
        <w:jc w:val="center"/>
        <w:rPr>
          <w:b/>
          <w:bCs/>
        </w:rPr>
      </w:pPr>
      <w:r>
        <w:rPr>
          <w:b/>
          <w:bCs/>
        </w:rPr>
        <w:t>ИНСТИТУТ МЕЖДУНАРОДНОГО БИЗНЕСА, ЭКОНОМИКИ И УПРАВЛЕНИЯ</w:t>
      </w:r>
    </w:p>
    <w:p w:rsidR="00E77852" w:rsidRDefault="00662ADF">
      <w:pPr>
        <w:spacing w:line="360" w:lineRule="auto"/>
        <w:jc w:val="center"/>
        <w:rPr>
          <w:b/>
          <w:bCs/>
        </w:rPr>
      </w:pPr>
      <w:r>
        <w:rPr>
          <w:b/>
          <w:bCs/>
        </w:rPr>
        <w:t>КАФЕДРА ЭКОНОМИКИ И УПРАВЛЕНИЯ</w:t>
      </w:r>
    </w:p>
    <w:p w:rsidR="00E77852" w:rsidRDefault="00E77852">
      <w:pPr>
        <w:pStyle w:val="msonormaldop"/>
        <w:jc w:val="center"/>
        <w:rPr>
          <w:lang w:val="ru"/>
        </w:rPr>
      </w:pPr>
    </w:p>
    <w:p w:rsidR="00E77852" w:rsidRDefault="00662ADF">
      <w:pPr>
        <w:pStyle w:val="msonormaldop"/>
        <w:ind w:firstLine="0"/>
        <w:jc w:val="center"/>
        <w:rPr>
          <w:rStyle w:val="a5"/>
        </w:rPr>
      </w:pPr>
      <w:r>
        <w:rPr>
          <w:rStyle w:val="a5"/>
        </w:rPr>
        <w:t>ИНДИВИДУАЛЬНОЕ ЗАДАНИЕ</w:t>
      </w:r>
    </w:p>
    <w:p w:rsidR="00E77852" w:rsidRDefault="00662ADF">
      <w:pPr>
        <w:pStyle w:val="msonormaldop"/>
        <w:spacing w:line="360" w:lineRule="auto"/>
        <w:ind w:firstLine="0"/>
        <w:jc w:val="center"/>
      </w:pPr>
      <w:r>
        <w:t>на учебную ознакомительную практику</w:t>
      </w:r>
    </w:p>
    <w:p w:rsidR="00E77852" w:rsidRDefault="00662ADF">
      <w:pPr>
        <w:rPr>
          <w:color w:val="000000" w:themeColor="text1"/>
        </w:rPr>
      </w:pPr>
      <w:r>
        <w:rPr>
          <w:color w:val="000000" w:themeColor="text1"/>
        </w:rPr>
        <w:t>Студенту:</w:t>
      </w:r>
      <w:r>
        <w:rPr>
          <w:color w:val="FF0000"/>
        </w:rPr>
        <w:t xml:space="preserve"> </w:t>
      </w:r>
      <w:r>
        <w:rPr>
          <w:color w:val="000000" w:themeColor="text1"/>
        </w:rPr>
        <w:t>Дедяхиной Алине Олеговне</w:t>
      </w:r>
    </w:p>
    <w:p w:rsidR="00E77852" w:rsidRDefault="00662ADF">
      <w:pPr>
        <w:rPr>
          <w:color w:val="000000" w:themeColor="text1"/>
        </w:rPr>
      </w:pPr>
      <w:r>
        <w:rPr>
          <w:color w:val="000000" w:themeColor="text1"/>
        </w:rPr>
        <w:t>Группы: БЭУ-24-ЦТ1</w:t>
      </w:r>
    </w:p>
    <w:p w:rsidR="00E77852" w:rsidRDefault="00662ADF">
      <w:r>
        <w:t>Срок сдачи: 13 -17.07.2026</w:t>
      </w:r>
    </w:p>
    <w:p w:rsidR="00E77852" w:rsidRDefault="00E77852">
      <w:pPr>
        <w:pStyle w:val="msonormaldop"/>
        <w:spacing w:line="276" w:lineRule="auto"/>
        <w:ind w:left="709" w:firstLine="0"/>
      </w:pPr>
    </w:p>
    <w:p w:rsidR="00E77852" w:rsidRDefault="00662ADF">
      <w:pPr>
        <w:ind w:firstLine="709"/>
        <w:jc w:val="both"/>
        <w:rPr>
          <w:b/>
          <w:color w:val="000000"/>
        </w:rPr>
      </w:pPr>
      <w:r>
        <w:rPr>
          <w:color w:val="000000"/>
        </w:rPr>
        <w:t>Содержание отчета по учебной ознакомительной практике:</w:t>
      </w:r>
      <w:r>
        <w:rPr>
          <w:b/>
          <w:color w:val="000000"/>
        </w:rPr>
        <w:t xml:space="preserve"> </w:t>
      </w:r>
    </w:p>
    <w:p w:rsidR="00E77852" w:rsidRDefault="00662ADF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Введение</w:t>
      </w:r>
    </w:p>
    <w:p w:rsidR="00E77852" w:rsidRDefault="00662ADF">
      <w:pPr>
        <w:ind w:firstLine="709"/>
        <w:jc w:val="both"/>
      </w:pPr>
      <w:r>
        <w:rPr>
          <w:color w:val="000000"/>
        </w:rPr>
        <w:t xml:space="preserve">Определить цель и задачи практики, основные методы, необходимые для их достижения; объект и предмет </w:t>
      </w:r>
      <w:r>
        <w:t>исследования, а также его информационная база.</w:t>
      </w:r>
    </w:p>
    <w:p w:rsidR="00E77852" w:rsidRDefault="00662ADF">
      <w:pPr>
        <w:ind w:firstLine="709"/>
        <w:jc w:val="both"/>
      </w:pPr>
      <w:r>
        <w:rPr>
          <w:b/>
        </w:rPr>
        <w:t>Раздел 1 Особенности деятельности предприятия(организации), анализ его основных экономических показателей</w:t>
      </w:r>
    </w:p>
    <w:p w:rsidR="00E77852" w:rsidRDefault="00662ADF">
      <w:pPr>
        <w:ind w:firstLine="709"/>
        <w:jc w:val="both"/>
        <w:rPr>
          <w:color w:val="000000"/>
        </w:rPr>
      </w:pPr>
      <w:r>
        <w:rPr>
          <w:color w:val="000000"/>
        </w:rPr>
        <w:t>Собрать, структурировать и проанализировать информацию, раскрывающую особенности деятельности предприятия (организации):</w:t>
      </w:r>
    </w:p>
    <w:p w:rsidR="00E77852" w:rsidRDefault="00662ADF">
      <w:pPr>
        <w:ind w:firstLine="709"/>
        <w:jc w:val="both"/>
        <w:rPr>
          <w:color w:val="000000"/>
        </w:rPr>
      </w:pPr>
      <w:r>
        <w:rPr>
          <w:color w:val="000000"/>
        </w:rPr>
        <w:t>- основные реквизиты (название, форма собственности, юридический адрес, местонахождение и т.п.); основные виды деятельности в соответствии с ОКВЭД;</w:t>
      </w:r>
    </w:p>
    <w:p w:rsidR="00E77852" w:rsidRDefault="00662ADF">
      <w:pPr>
        <w:ind w:firstLine="709"/>
        <w:jc w:val="both"/>
        <w:rPr>
          <w:color w:val="000000"/>
        </w:rPr>
      </w:pPr>
      <w:r>
        <w:rPr>
          <w:color w:val="000000"/>
        </w:rPr>
        <w:t>- особенности организационно-правовой формы предприятия;</w:t>
      </w:r>
    </w:p>
    <w:p w:rsidR="00E77852" w:rsidRDefault="00662ADF">
      <w:pPr>
        <w:ind w:firstLine="709"/>
        <w:jc w:val="both"/>
        <w:rPr>
          <w:color w:val="000000"/>
        </w:rPr>
      </w:pPr>
      <w:r w:rsidRPr="00662ADF">
        <w:rPr>
          <w:color w:val="000000"/>
        </w:rPr>
        <w:t xml:space="preserve">- </w:t>
      </w:r>
      <w:r>
        <w:rPr>
          <w:color w:val="000000"/>
        </w:rPr>
        <w:t>анализ организационной структуры;</w:t>
      </w:r>
    </w:p>
    <w:p w:rsidR="00E77852" w:rsidRDefault="00662ADF">
      <w:pPr>
        <w:ind w:firstLine="709"/>
        <w:contextualSpacing/>
        <w:jc w:val="both"/>
        <w:rPr>
          <w:color w:val="000000"/>
        </w:rPr>
      </w:pPr>
      <w:r>
        <w:rPr>
          <w:color w:val="000000"/>
        </w:rPr>
        <w:t>- анализ структуры и динамики доходов (доходы комиссионные, операционные доходы, процентные доходы) и расходов (расходы комиссионные, операционные расходы и процентные расходы).</w:t>
      </w:r>
    </w:p>
    <w:p w:rsidR="00E77852" w:rsidRDefault="00662ADF">
      <w:pPr>
        <w:pStyle w:val="docdata"/>
        <w:spacing w:before="0" w:beforeAutospacing="0" w:after="0" w:afterAutospacing="0"/>
        <w:ind w:left="-108" w:firstLine="959"/>
        <w:rPr>
          <w:lang w:val="ru"/>
        </w:rPr>
      </w:pPr>
      <w:r>
        <w:rPr>
          <w:lang w:val="ru"/>
        </w:rPr>
        <w:t xml:space="preserve">Анализ финансово-хозяйственной деятельности </w:t>
      </w:r>
      <w:r>
        <w:rPr>
          <w:color w:val="000000"/>
        </w:rPr>
        <w:t>предприятия (организации)</w:t>
      </w:r>
      <w:r>
        <w:rPr>
          <w:lang w:val="ru"/>
        </w:rPr>
        <w:t xml:space="preserve"> (за 3 года):</w:t>
      </w:r>
    </w:p>
    <w:p w:rsidR="00E77852" w:rsidRDefault="00662ADF">
      <w:pPr>
        <w:pStyle w:val="a7"/>
        <w:spacing w:before="0" w:beforeAutospacing="0" w:after="0" w:afterAutospacing="0"/>
        <w:ind w:left="-108" w:firstLine="959"/>
        <w:rPr>
          <w:lang w:val="ru"/>
        </w:rPr>
      </w:pPr>
      <w:r>
        <w:rPr>
          <w:lang w:val="ru"/>
        </w:rPr>
        <w:t>- анализ активных операций;</w:t>
      </w:r>
    </w:p>
    <w:p w:rsidR="00E77852" w:rsidRDefault="00662ADF">
      <w:pPr>
        <w:pStyle w:val="a7"/>
        <w:spacing w:before="0" w:beforeAutospacing="0" w:after="0" w:afterAutospacing="0"/>
        <w:ind w:left="-108" w:firstLine="959"/>
        <w:rPr>
          <w:lang w:val="ru"/>
        </w:rPr>
      </w:pPr>
      <w:r>
        <w:rPr>
          <w:lang w:val="ru"/>
        </w:rPr>
        <w:t>- анализ пассивных операций;</w:t>
      </w:r>
    </w:p>
    <w:p w:rsidR="00E77852" w:rsidRDefault="00662ADF">
      <w:pPr>
        <w:pStyle w:val="a7"/>
        <w:spacing w:before="0" w:beforeAutospacing="0" w:after="0" w:afterAutospacing="0"/>
        <w:ind w:left="-108" w:firstLine="959"/>
        <w:jc w:val="both"/>
        <w:rPr>
          <w:lang w:val="ru"/>
        </w:rPr>
      </w:pPr>
      <w:r>
        <w:rPr>
          <w:lang w:val="ru"/>
        </w:rPr>
        <w:t>- структура и динамика источников собственных средств;</w:t>
      </w:r>
    </w:p>
    <w:p w:rsidR="00E77852" w:rsidRDefault="00662ADF">
      <w:pPr>
        <w:pStyle w:val="a7"/>
        <w:spacing w:before="0" w:beforeAutospacing="0" w:after="0" w:afterAutospacing="0"/>
        <w:ind w:left="-108" w:firstLine="959"/>
        <w:jc w:val="both"/>
        <w:rPr>
          <w:lang w:val="ru"/>
        </w:rPr>
      </w:pPr>
      <w:r>
        <w:rPr>
          <w:lang w:val="ru"/>
        </w:rPr>
        <w:t>- анализ динамики показателей прибыли;</w:t>
      </w:r>
    </w:p>
    <w:p w:rsidR="00E77852" w:rsidRDefault="00662ADF">
      <w:pPr>
        <w:pStyle w:val="a7"/>
        <w:spacing w:before="0" w:beforeAutospacing="0" w:after="0" w:afterAutospacing="0"/>
        <w:ind w:left="-108" w:firstLine="959"/>
        <w:jc w:val="both"/>
        <w:rPr>
          <w:lang w:val="ru"/>
        </w:rPr>
      </w:pPr>
      <w:r>
        <w:rPr>
          <w:lang w:val="ru"/>
        </w:rPr>
        <w:t>- анализ основных источников;</w:t>
      </w:r>
    </w:p>
    <w:p w:rsidR="00E77852" w:rsidRDefault="00662ADF">
      <w:pPr>
        <w:pStyle w:val="a7"/>
        <w:spacing w:before="0" w:beforeAutospacing="0" w:after="0" w:afterAutospacing="0"/>
        <w:ind w:left="-108" w:firstLine="959"/>
        <w:jc w:val="both"/>
        <w:rPr>
          <w:lang w:val="ru"/>
        </w:rPr>
      </w:pPr>
      <w:r>
        <w:rPr>
          <w:lang w:val="ru"/>
        </w:rPr>
        <w:t>- коэффициенты, характеризующие финансовое положение (коэффициент достаточности собственных средств, коэффициент роста нетто-активов, коэффициент достаточности капитала, коэффициент качества кредитного портфеля);</w:t>
      </w:r>
    </w:p>
    <w:p w:rsidR="00E77852" w:rsidRDefault="00662ADF">
      <w:pPr>
        <w:pStyle w:val="a7"/>
        <w:spacing w:before="0" w:beforeAutospacing="0" w:after="0" w:afterAutospacing="0"/>
        <w:ind w:left="-108" w:firstLine="959"/>
      </w:pPr>
      <w:r>
        <w:rPr>
          <w:lang w:val="ru"/>
        </w:rPr>
        <w:t>- анализ выполнения нормативов (Н1 - ...)</w:t>
      </w:r>
      <w:r>
        <w:rPr>
          <w:color w:val="000000"/>
        </w:rPr>
        <w:t xml:space="preserve"> (ОПК-2).</w:t>
      </w:r>
    </w:p>
    <w:p w:rsidR="00E77852" w:rsidRDefault="00662ADF">
      <w:pPr>
        <w:pStyle w:val="msonormaldop"/>
        <w:spacing w:line="276" w:lineRule="auto"/>
        <w:rPr>
          <w:lang w:val="ru"/>
        </w:rPr>
      </w:pPr>
      <w:r>
        <w:rPr>
          <w:b/>
          <w:lang w:val="ru"/>
        </w:rPr>
        <w:t>Раздел 2 Социально-экономический анализ отрасли (вида экономической деятельности) предприятия (организации)</w:t>
      </w:r>
    </w:p>
    <w:p w:rsidR="00E77852" w:rsidRDefault="00662ADF">
      <w:pPr>
        <w:ind w:firstLine="851"/>
        <w:jc w:val="both"/>
      </w:pPr>
      <w:r>
        <w:lastRenderedPageBreak/>
        <w:t>Провести социально-экономический анализ отрасли (вида деятельности), к которой относится исследуемое предприятие (организация). (ОПК-2).</w:t>
      </w:r>
    </w:p>
    <w:p w:rsidR="00E77852" w:rsidRDefault="00662ADF">
      <w:pPr>
        <w:ind w:firstLine="851"/>
        <w:jc w:val="both"/>
        <w:rPr>
          <w:b/>
        </w:rPr>
      </w:pPr>
      <w:r>
        <w:rPr>
          <w:b/>
        </w:rPr>
        <w:t>Заключение</w:t>
      </w:r>
    </w:p>
    <w:p w:rsidR="00E77852" w:rsidRDefault="00662ADF">
      <w:pPr>
        <w:ind w:firstLine="851"/>
        <w:jc w:val="both"/>
      </w:pPr>
      <w:r>
        <w:t>Привести основные результаты прохождения практики и выводы из каждого параграфа работы. Возможно написание заключения с точки зрения выполненных задач практики.</w:t>
      </w:r>
    </w:p>
    <w:p w:rsidR="00E77852" w:rsidRDefault="00E77852">
      <w:pPr>
        <w:ind w:firstLine="851"/>
        <w:jc w:val="both"/>
        <w:rPr>
          <w:b/>
        </w:rPr>
      </w:pPr>
    </w:p>
    <w:p w:rsidR="00E77852" w:rsidRDefault="00662ADF">
      <w:pPr>
        <w:ind w:firstLine="851"/>
        <w:jc w:val="both"/>
        <w:rPr>
          <w:b/>
        </w:rPr>
      </w:pPr>
      <w:r>
        <w:rPr>
          <w:b/>
        </w:rPr>
        <w:t>Список использованных источников</w:t>
      </w:r>
    </w:p>
    <w:p w:rsidR="00E77852" w:rsidRDefault="00662ADF">
      <w:pPr>
        <w:ind w:firstLine="851"/>
        <w:jc w:val="both"/>
      </w:pPr>
      <w:r>
        <w:t>Привести список использованных в процессе написания отчета по практике источников (не менее 20 источников не старше 5 лет).</w:t>
      </w:r>
    </w:p>
    <w:p w:rsidR="00E77852" w:rsidRDefault="00E77852">
      <w:pPr>
        <w:ind w:firstLine="851"/>
        <w:jc w:val="both"/>
        <w:rPr>
          <w:b/>
        </w:rPr>
      </w:pPr>
    </w:p>
    <w:p w:rsidR="00E77852" w:rsidRDefault="00662ADF">
      <w:pPr>
        <w:ind w:firstLine="851"/>
        <w:jc w:val="both"/>
        <w:rPr>
          <w:b/>
        </w:rPr>
      </w:pPr>
      <w:r>
        <w:rPr>
          <w:b/>
        </w:rPr>
        <w:t>Приложения</w:t>
      </w:r>
    </w:p>
    <w:p w:rsidR="00E77852" w:rsidRDefault="00662ADF">
      <w:pPr>
        <w:ind w:firstLine="851"/>
        <w:jc w:val="both"/>
      </w:pPr>
      <w:r>
        <w:t>К отчету в обязательном порядке прикладывается бухгалтерская отчетность предприятия (бухгалтерский баланс и отчет о финансовых результатах).</w:t>
      </w:r>
    </w:p>
    <w:p w:rsidR="00E77852" w:rsidRDefault="00662ADF">
      <w:pPr>
        <w:ind w:firstLine="720"/>
        <w:jc w:val="both"/>
      </w:pPr>
      <w:r>
        <w:t>Оформить текст отчета необходимо в соответствии с требованиями университета (СК-СТО-2014).</w:t>
      </w:r>
    </w:p>
    <w:p w:rsidR="00E77852" w:rsidRDefault="00E77852">
      <w:pPr>
        <w:jc w:val="both"/>
      </w:pPr>
    </w:p>
    <w:p w:rsidR="00E77852" w:rsidRDefault="00662ADF">
      <w:pPr>
        <w:jc w:val="both"/>
      </w:pPr>
      <w:r>
        <w:t>Руководитель практики</w:t>
      </w:r>
    </w:p>
    <w:p w:rsidR="00E77852" w:rsidRDefault="00662ADF">
      <w:pPr>
        <w:jc w:val="both"/>
      </w:pPr>
      <w:r>
        <w:t xml:space="preserve">канд. экон. наук, доцент </w:t>
      </w:r>
    </w:p>
    <w:p w:rsidR="00E77852" w:rsidRDefault="00662ADF">
      <w:pPr>
        <w:jc w:val="both"/>
      </w:pPr>
      <w:r>
        <w:t>кафедры экономики и управления</w:t>
      </w:r>
    </w:p>
    <w:p w:rsidR="00E77852" w:rsidRDefault="00662ADF">
      <w:pPr>
        <w:jc w:val="both"/>
      </w:pPr>
      <w:r>
        <w:t>+79147247698</w:t>
      </w:r>
    </w:p>
    <w:p w:rsidR="00E77852" w:rsidRDefault="00662ADF">
      <w:pPr>
        <w:jc w:val="both"/>
      </w:pPr>
      <w:r>
        <w:rPr>
          <w:lang w:val="en-US"/>
        </w:rPr>
        <w:t>anna</w:t>
      </w:r>
      <w:r>
        <w:t>.</w:t>
      </w:r>
      <w:r>
        <w:rPr>
          <w:lang w:val="en-US"/>
        </w:rPr>
        <w:t>shingareva</w:t>
      </w:r>
      <w:r>
        <w:t>@</w:t>
      </w:r>
      <w:r>
        <w:rPr>
          <w:lang w:val="en-US"/>
        </w:rPr>
        <w:t>vvsu</w:t>
      </w:r>
      <w:r>
        <w:t>.</w:t>
      </w:r>
      <w:r>
        <w:rPr>
          <w:lang w:val="en-US"/>
        </w:rPr>
        <w:t>ru</w:t>
      </w:r>
      <w:r>
        <w:tab/>
      </w:r>
      <w:r>
        <w:tab/>
      </w:r>
      <w:r>
        <w:tab/>
        <w:t xml:space="preserve">        </w:t>
      </w:r>
      <w:r>
        <w:tab/>
        <w:t xml:space="preserve"> ____________         А.А. Вертинова</w:t>
      </w:r>
    </w:p>
    <w:p w:rsidR="00E77852" w:rsidRDefault="00662ADF">
      <w:r>
        <w:tab/>
      </w:r>
    </w:p>
    <w:p w:rsidR="00E77852" w:rsidRDefault="00662ADF">
      <w:r>
        <w:t xml:space="preserve">Задание получил:                                      </w:t>
      </w:r>
      <w:r>
        <w:tab/>
      </w:r>
      <w:r>
        <w:tab/>
        <w:t>____________          А.О. Дедяхина</w:t>
      </w:r>
    </w:p>
    <w:p w:rsidR="00E77852" w:rsidRDefault="00E77852"/>
    <w:p w:rsidR="00E77852" w:rsidRDefault="00662ADF">
      <w:r>
        <w:t>Задание согласовано:</w:t>
      </w:r>
    </w:p>
    <w:p w:rsidR="00E77852" w:rsidRDefault="00662ADF">
      <w:r>
        <w:t>Руководитель практики от профильной организации</w:t>
      </w:r>
    </w:p>
    <w:p w:rsidR="00E77852" w:rsidRDefault="00662ADF">
      <w:pPr>
        <w:rPr>
          <w:color w:val="000000" w:themeColor="text1"/>
        </w:rPr>
      </w:pPr>
      <w:r>
        <w:rPr>
          <w:color w:val="000000" w:themeColor="text1"/>
        </w:rPr>
        <w:t xml:space="preserve">Руководитель универсального дополнительного </w:t>
      </w:r>
      <w:r>
        <w:rPr>
          <w:color w:val="000000" w:themeColor="text1"/>
        </w:rPr>
        <w:br/>
        <w:t>отдела АО "Альфа-Банк", г. Владивосток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000000" w:themeColor="text1"/>
        </w:rPr>
        <w:t>____________</w:t>
      </w:r>
      <w:r>
        <w:rPr>
          <w:color w:val="FF0000"/>
        </w:rPr>
        <w:tab/>
      </w:r>
      <w:r>
        <w:rPr>
          <w:color w:val="000000" w:themeColor="text1"/>
        </w:rPr>
        <w:t>А.С. Чиняева</w:t>
      </w:r>
    </w:p>
    <w:p w:rsidR="00E77852" w:rsidRDefault="00662A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МП</w:t>
      </w:r>
      <w:bookmarkStart w:id="1" w:name="_a5p4vwq06cmi" w:colFirst="0" w:colLast="0"/>
      <w:bookmarkEnd w:id="1"/>
    </w:p>
    <w:p w:rsidR="00E77852" w:rsidRDefault="00E77852">
      <w:pPr>
        <w:tabs>
          <w:tab w:val="left" w:pos="1440"/>
        </w:tabs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8E5622" w:rsidRDefault="008E562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jc w:val="center"/>
        <w:rPr>
          <w:b/>
        </w:rPr>
      </w:pPr>
      <w:bookmarkStart w:id="2" w:name="_heading=h.gjdgxs" w:colFirst="0" w:colLast="0"/>
      <w:bookmarkEnd w:id="2"/>
      <w:r>
        <w:rPr>
          <w:b/>
        </w:rPr>
        <w:lastRenderedPageBreak/>
        <w:t xml:space="preserve">РАБОЧИЙ ГРАФИК (ПЛАН) </w:t>
      </w:r>
    </w:p>
    <w:p w:rsidR="00E77852" w:rsidRDefault="00662ADF">
      <w:pPr>
        <w:jc w:val="center"/>
        <w:rPr>
          <w:b/>
        </w:rPr>
      </w:pPr>
      <w:r>
        <w:rPr>
          <w:b/>
        </w:rPr>
        <w:t>ПРОВЕДЕНИЯ УЧЕБНОЙ ОЗНАКОМИТЕЛЬНОЙ ПРАКТИКИ</w:t>
      </w:r>
    </w:p>
    <w:p w:rsidR="00E77852" w:rsidRDefault="00E77852">
      <w:pPr>
        <w:shd w:val="clear" w:color="auto" w:fill="FFFFFF"/>
        <w:tabs>
          <w:tab w:val="left" w:pos="6237"/>
        </w:tabs>
        <w:ind w:left="780"/>
        <w:rPr>
          <w:b/>
        </w:rPr>
      </w:pPr>
    </w:p>
    <w:p w:rsidR="00E77852" w:rsidRDefault="00662ADF">
      <w:pPr>
        <w:shd w:val="clear" w:color="auto" w:fill="FFFFFF"/>
        <w:tabs>
          <w:tab w:val="left" w:pos="6237"/>
        </w:tabs>
        <w:rPr>
          <w:i/>
          <w:u w:val="single"/>
        </w:rPr>
      </w:pPr>
      <w:r>
        <w:rPr>
          <w:color w:val="000000" w:themeColor="text1"/>
        </w:rPr>
        <w:t xml:space="preserve">Студент </w:t>
      </w:r>
      <w:r>
        <w:rPr>
          <w:u w:val="single"/>
        </w:rPr>
        <w:t>________________________Дедяхина Алина Олеговна_________________ ____ ___</w:t>
      </w:r>
    </w:p>
    <w:p w:rsidR="00E77852" w:rsidRDefault="00662ADF">
      <w:pPr>
        <w:shd w:val="clear" w:color="auto" w:fill="FFFFFF"/>
        <w:jc w:val="center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:rsidR="00E77852" w:rsidRDefault="00662ADF">
      <w:pPr>
        <w:shd w:val="clear" w:color="auto" w:fill="FFFFFF"/>
        <w:tabs>
          <w:tab w:val="left" w:pos="3060"/>
          <w:tab w:val="left" w:pos="6237"/>
        </w:tabs>
      </w:pPr>
      <w:r>
        <w:t xml:space="preserve">Кафедра </w:t>
      </w:r>
      <w:r>
        <w:rPr>
          <w:u w:val="single"/>
        </w:rPr>
        <w:t xml:space="preserve">экономики и управления </w:t>
      </w:r>
      <w:r>
        <w:t>гр. _БЭУ-24-ЦТ1___________</w:t>
      </w:r>
      <w:r>
        <w:rPr>
          <w:u w:val="single"/>
        </w:rPr>
        <w:t xml:space="preserve"> </w:t>
      </w:r>
      <w:r>
        <w:rPr>
          <w:color w:val="000000"/>
          <w:u w:val="single"/>
        </w:rPr>
        <w:t>______________</w:t>
      </w:r>
      <w:r>
        <w:rPr>
          <w:u w:val="single"/>
        </w:rPr>
        <w:t>__________</w:t>
      </w:r>
    </w:p>
    <w:p w:rsidR="00E77852" w:rsidRDefault="00E77852">
      <w:pPr>
        <w:rPr>
          <w:b/>
        </w:rPr>
      </w:pPr>
    </w:p>
    <w:p w:rsidR="00E77852" w:rsidRDefault="00662ADF">
      <w:pPr>
        <w:shd w:val="clear" w:color="auto" w:fill="FFFFFF"/>
        <w:tabs>
          <w:tab w:val="left" w:pos="6237"/>
        </w:tabs>
        <w:rPr>
          <w:u w:val="single"/>
        </w:rPr>
      </w:pPr>
      <w:bookmarkStart w:id="3" w:name="_heading=h.30j0zll" w:colFirst="0" w:colLast="0"/>
      <w:bookmarkEnd w:id="3"/>
      <w:r>
        <w:t>Руководители практики</w:t>
      </w:r>
      <w:r>
        <w:rPr>
          <w:u w:val="single"/>
        </w:rPr>
        <w:t xml:space="preserve"> ____________ Вертинова Анна Александровна__________________</w:t>
      </w:r>
    </w:p>
    <w:p w:rsidR="00E77852" w:rsidRDefault="00662ADF">
      <w:pPr>
        <w:shd w:val="clear" w:color="auto" w:fill="FFFFFF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:rsidR="00E77852" w:rsidRDefault="00662ADF">
      <w:pPr>
        <w:rPr>
          <w:color w:val="000000"/>
        </w:rPr>
      </w:pPr>
      <w:r>
        <w:rPr>
          <w:color w:val="000000"/>
        </w:rPr>
        <w:t>Инструктаж по ознакомлению с требованиями охраны труда, техники безопасности, пожарной безопасности прошел</w:t>
      </w:r>
    </w:p>
    <w:p w:rsidR="00E77852" w:rsidRDefault="00662ADF">
      <w:pPr>
        <w:jc w:val="center"/>
        <w:rPr>
          <w:color w:val="000000"/>
        </w:rPr>
      </w:pPr>
      <w:r>
        <w:t xml:space="preserve">                                                </w:t>
      </w:r>
      <w:r>
        <w:rPr>
          <w:color w:val="000000"/>
        </w:rPr>
        <w:t>__________________________</w:t>
      </w:r>
    </w:p>
    <w:p w:rsidR="00E77852" w:rsidRDefault="00662ADF">
      <w:pPr>
        <w:jc w:val="center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>
        <w:rPr>
          <w:color w:val="000000"/>
          <w:sz w:val="18"/>
          <w:szCs w:val="18"/>
        </w:rPr>
        <w:t>(подпись уполномоченного лица, МП)</w:t>
      </w:r>
    </w:p>
    <w:p w:rsidR="00E77852" w:rsidRDefault="00E77852">
      <w:pPr>
        <w:jc w:val="both"/>
        <w:rPr>
          <w:color w:val="000000"/>
        </w:rPr>
      </w:pPr>
    </w:p>
    <w:p w:rsidR="00E77852" w:rsidRDefault="00662ADF">
      <w:pPr>
        <w:jc w:val="both"/>
        <w:rPr>
          <w:color w:val="000000"/>
        </w:rPr>
      </w:pPr>
      <w:r>
        <w:rPr>
          <w:color w:val="000000"/>
        </w:rPr>
        <w:t xml:space="preserve">С правилами трудового распорядка ознакомлен__________________ А.О. Дедяхина </w:t>
      </w:r>
    </w:p>
    <w:p w:rsidR="00E77852" w:rsidRDefault="00662ADF">
      <w:pPr>
        <w:jc w:val="center"/>
      </w:pPr>
      <w:r>
        <w:rPr>
          <w:color w:val="000000"/>
          <w:sz w:val="18"/>
          <w:szCs w:val="18"/>
        </w:rPr>
        <w:t xml:space="preserve">                                                            (подпись обучающегося)</w:t>
      </w:r>
    </w:p>
    <w:tbl>
      <w:tblPr>
        <w:tblStyle w:val="Style1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53"/>
        <w:gridCol w:w="1417"/>
        <w:gridCol w:w="1695"/>
      </w:tblGrid>
      <w:tr w:rsidR="00E77852">
        <w:trPr>
          <w:trHeight w:val="53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7852" w:rsidRDefault="00662A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7852" w:rsidRDefault="00662A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7852" w:rsidRDefault="00662A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7852" w:rsidRDefault="00662A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E77852">
        <w:trPr>
          <w:trHeight w:val="393"/>
        </w:trPr>
        <w:tc>
          <w:tcPr>
            <w:tcW w:w="2263" w:type="dxa"/>
            <w:vMerge w:val="restart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Подготовительный</w:t>
            </w:r>
          </w:p>
        </w:tc>
        <w:tc>
          <w:tcPr>
            <w:tcW w:w="4253" w:type="dxa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Организационное собрание, консультирование преподавателя по вопросам прохождения практики</w:t>
            </w:r>
          </w:p>
        </w:tc>
        <w:tc>
          <w:tcPr>
            <w:tcW w:w="1417" w:type="dxa"/>
            <w:vAlign w:val="center"/>
          </w:tcPr>
          <w:p w:rsidR="00E77852" w:rsidRDefault="0066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08.06.2026</w:t>
            </w:r>
          </w:p>
        </w:tc>
        <w:tc>
          <w:tcPr>
            <w:tcW w:w="1695" w:type="dxa"/>
            <w:vAlign w:val="center"/>
          </w:tcPr>
          <w:p w:rsidR="00E77852" w:rsidRDefault="00E77852">
            <w:pPr>
              <w:jc w:val="center"/>
              <w:rPr>
                <w:sz w:val="20"/>
                <w:szCs w:val="20"/>
              </w:rPr>
            </w:pPr>
          </w:p>
        </w:tc>
      </w:tr>
      <w:tr w:rsidR="00E77852">
        <w:trPr>
          <w:trHeight w:val="281"/>
        </w:trPr>
        <w:tc>
          <w:tcPr>
            <w:tcW w:w="2263" w:type="dxa"/>
            <w:vMerge/>
            <w:vAlign w:val="center"/>
          </w:tcPr>
          <w:p w:rsidR="00E77852" w:rsidRDefault="00E77852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технике безопасности</w:t>
            </w:r>
          </w:p>
        </w:tc>
        <w:tc>
          <w:tcPr>
            <w:tcW w:w="1417" w:type="dxa"/>
            <w:vAlign w:val="center"/>
          </w:tcPr>
          <w:p w:rsidR="00E77852" w:rsidRDefault="0066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15.06.2026</w:t>
            </w:r>
          </w:p>
        </w:tc>
        <w:tc>
          <w:tcPr>
            <w:tcW w:w="1695" w:type="dxa"/>
            <w:vAlign w:val="center"/>
          </w:tcPr>
          <w:p w:rsidR="00E77852" w:rsidRDefault="00E77852">
            <w:pPr>
              <w:jc w:val="center"/>
              <w:rPr>
                <w:sz w:val="20"/>
                <w:szCs w:val="20"/>
              </w:rPr>
            </w:pPr>
          </w:p>
        </w:tc>
      </w:tr>
      <w:tr w:rsidR="00E77852">
        <w:trPr>
          <w:trHeight w:val="540"/>
        </w:trPr>
        <w:tc>
          <w:tcPr>
            <w:tcW w:w="2263" w:type="dxa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Практический</w:t>
            </w:r>
          </w:p>
        </w:tc>
        <w:tc>
          <w:tcPr>
            <w:tcW w:w="4253" w:type="dxa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1. Особенности деятельности предприятия(организации), анализ его основных экономических показателей</w:t>
            </w:r>
          </w:p>
          <w:p w:rsidR="00E77852" w:rsidRDefault="00662ADF">
            <w:pPr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</w:rPr>
              <w:t>Раздел 2. Социально-экономический анализ отрасли (вида экономической деятельности) предприятия (организации)</w:t>
            </w:r>
          </w:p>
        </w:tc>
        <w:tc>
          <w:tcPr>
            <w:tcW w:w="1417" w:type="dxa"/>
            <w:vAlign w:val="center"/>
          </w:tcPr>
          <w:p w:rsidR="00E77852" w:rsidRDefault="0066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15.06.2026-10.07.2026</w:t>
            </w:r>
          </w:p>
        </w:tc>
        <w:tc>
          <w:tcPr>
            <w:tcW w:w="1695" w:type="dxa"/>
            <w:vAlign w:val="center"/>
          </w:tcPr>
          <w:p w:rsidR="00E77852" w:rsidRDefault="00E77852">
            <w:pPr>
              <w:jc w:val="center"/>
              <w:rPr>
                <w:sz w:val="20"/>
                <w:szCs w:val="20"/>
              </w:rPr>
            </w:pPr>
          </w:p>
        </w:tc>
      </w:tr>
      <w:tr w:rsidR="00E77852">
        <w:trPr>
          <w:trHeight w:val="354"/>
        </w:trPr>
        <w:tc>
          <w:tcPr>
            <w:tcW w:w="2263" w:type="dxa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Заключительный</w:t>
            </w:r>
          </w:p>
        </w:tc>
        <w:tc>
          <w:tcPr>
            <w:tcW w:w="4253" w:type="dxa"/>
            <w:vAlign w:val="center"/>
          </w:tcPr>
          <w:p w:rsidR="00E77852" w:rsidRDefault="0066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защита отчета</w:t>
            </w:r>
          </w:p>
        </w:tc>
        <w:tc>
          <w:tcPr>
            <w:tcW w:w="1417" w:type="dxa"/>
            <w:vAlign w:val="center"/>
          </w:tcPr>
          <w:p w:rsidR="00E77852" w:rsidRDefault="0066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13-17.07.2026</w:t>
            </w:r>
          </w:p>
        </w:tc>
        <w:tc>
          <w:tcPr>
            <w:tcW w:w="1695" w:type="dxa"/>
            <w:vAlign w:val="center"/>
          </w:tcPr>
          <w:p w:rsidR="00E77852" w:rsidRDefault="00E778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E77852" w:rsidRDefault="00E77852">
      <w:pPr>
        <w:jc w:val="both"/>
      </w:pPr>
    </w:p>
    <w:p w:rsidR="00E77852" w:rsidRDefault="00662ADF">
      <w:pPr>
        <w:jc w:val="both"/>
      </w:pPr>
      <w:r>
        <w:t>Руководитель практики</w:t>
      </w:r>
    </w:p>
    <w:p w:rsidR="00E77852" w:rsidRDefault="00662ADF">
      <w:r>
        <w:t xml:space="preserve">канд. экон. наук, </w:t>
      </w:r>
    </w:p>
    <w:p w:rsidR="00E77852" w:rsidRDefault="00662ADF">
      <w:r>
        <w:t>доцент кафедры ЭУ</w:t>
      </w:r>
      <w:r>
        <w:tab/>
      </w:r>
      <w:r>
        <w:tab/>
      </w:r>
      <w:r>
        <w:tab/>
      </w:r>
      <w:r>
        <w:tab/>
      </w:r>
      <w:r>
        <w:tab/>
        <w:t xml:space="preserve">    _______________</w:t>
      </w:r>
      <w:r>
        <w:tab/>
        <w:t xml:space="preserve">   </w:t>
      </w:r>
      <w:r>
        <w:tab/>
        <w:t>А.А. Вертинова</w:t>
      </w:r>
    </w:p>
    <w:p w:rsidR="00E77852" w:rsidRDefault="00662ADF">
      <w:r>
        <w:t>Руководитель практики от организации</w:t>
      </w:r>
    </w:p>
    <w:p w:rsidR="00E77852" w:rsidRDefault="00662ADF">
      <w:r>
        <w:rPr>
          <w:color w:val="000000" w:themeColor="text1"/>
        </w:rPr>
        <w:t xml:space="preserve">Руководитель универсального дополнительного </w:t>
      </w:r>
      <w:r>
        <w:rPr>
          <w:color w:val="000000" w:themeColor="text1"/>
        </w:rPr>
        <w:br/>
        <w:t>отдела АО "Альфа-Банк", г. Владивосток</w:t>
      </w:r>
      <w:r>
        <w:rPr>
          <w:color w:val="000000" w:themeColor="text1"/>
        </w:rPr>
        <w:tab/>
      </w:r>
      <w:r>
        <w:rPr>
          <w:color w:val="FF0000"/>
        </w:rPr>
        <w:tab/>
      </w:r>
      <w:r>
        <w:t xml:space="preserve">   ________________</w:t>
      </w:r>
      <w:r>
        <w:tab/>
      </w:r>
      <w:r>
        <w:tab/>
        <w:t>А.С. Чиняева</w:t>
      </w:r>
    </w:p>
    <w:p w:rsidR="00E77852" w:rsidRDefault="00E77852">
      <w:pPr>
        <w:spacing w:after="120"/>
        <w:jc w:val="both"/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>Отзыв-характеристика</w:t>
      </w:r>
    </w:p>
    <w:p w:rsidR="00E77852" w:rsidRDefault="00E77852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студентку 2 курса группы БЭУ-24-ЦТ1 направления «Цифровые технологии в экономике» кафедры экономики и управления ФГБОУ ВО «ВВГУ» 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Дедяхина Алина Олеговна с 15 июня 2026 года по 18 июля 2026 года прошла учебную ознакомительную практику в отделении АО «Альфа-Банк», ул. Острякова 5Г, г. Владивосток. 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период практики были изучены тонкости работы организации, проанализированы основные экономические показатели, а также произведен анализ цифровых направлений развития организации. 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 время прохождения практики Дедяхина Алина Олеговна ответственно отнеслась к выполняемой работе. Всю указанную работу, которую ей поручали, выполняла с интересом. Все задания по практике были выполнены в полном объёме. 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целом работа Дедяхиной Алины Олеговны заслуживает оценки «_________».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Руководитель практики от предприятия,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color w:val="000000" w:themeColor="text1"/>
          <w:sz w:val="28"/>
          <w:szCs w:val="21"/>
        </w:rPr>
        <w:t xml:space="preserve">Руководитель универсального дополнительного </w:t>
      </w:r>
      <w:r>
        <w:rPr>
          <w:color w:val="000000" w:themeColor="text1"/>
          <w:sz w:val="28"/>
          <w:szCs w:val="21"/>
        </w:rPr>
        <w:br/>
        <w:t>отдела АО "Альфа-Банк", г. Владивосток</w:t>
      </w:r>
      <w:r>
        <w:rPr>
          <w:color w:val="000000" w:themeColor="text1"/>
          <w:sz w:val="24"/>
        </w:rPr>
        <w:tab/>
        <w:t xml:space="preserve">                </w:t>
      </w:r>
      <w:r>
        <w:rPr>
          <w:sz w:val="28"/>
          <w:szCs w:val="28"/>
          <w:lang w:eastAsia="ar-SA"/>
        </w:rPr>
        <w:t xml:space="preserve">____________     А.С. Чиняева                                                                                     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Дата 17.07.2026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601D69" w:rsidRDefault="00601D69">
      <w:pPr>
        <w:pStyle w:val="a8"/>
        <w:ind w:left="0" w:right="0"/>
        <w:rPr>
          <w:sz w:val="28"/>
          <w:szCs w:val="28"/>
          <w:lang w:eastAsia="ar-SA"/>
        </w:rPr>
        <w:sectPr w:rsidR="00601D69" w:rsidSect="00934410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Pr="0019501A" w:rsidRDefault="00662ADF" w:rsidP="00972B58">
      <w:pPr>
        <w:spacing w:after="240"/>
        <w:jc w:val="center"/>
        <w:rPr>
          <w:rFonts w:ascii="Arial CYR" w:hAnsi="Arial CYR" w:cs="Arial"/>
        </w:rPr>
      </w:pPr>
      <w:r w:rsidRPr="0019501A">
        <w:rPr>
          <w:rFonts w:ascii="Arial CYR" w:eastAsia="SimSun" w:hAnsi="Arial CYR" w:cs="Arial"/>
          <w:color w:val="000000"/>
          <w:sz w:val="30"/>
          <w:szCs w:val="30"/>
          <w:lang w:eastAsia="zh-CN" w:bidi="ar"/>
        </w:rPr>
        <w:t>Содержание</w:t>
      </w:r>
    </w:p>
    <w:p w:rsidR="00E77852" w:rsidRDefault="00923D3B" w:rsidP="00923D3B">
      <w:pPr>
        <w:pStyle w:val="a8"/>
        <w:spacing w:line="360" w:lineRule="auto"/>
        <w:ind w:left="0" w:right="0"/>
        <w:rPr>
          <w:sz w:val="28"/>
          <w:szCs w:val="28"/>
          <w:lang w:eastAsia="ar-SA"/>
        </w:rPr>
      </w:pPr>
      <w:r w:rsidRPr="00807A22">
        <w:rPr>
          <w:sz w:val="28"/>
          <w:szCs w:val="28"/>
        </w:rPr>
        <w:t xml:space="preserve">   </w:t>
      </w:r>
      <w:r w:rsidR="00564372" w:rsidRPr="005B3232">
        <w:rPr>
          <w:sz w:val="28"/>
          <w:szCs w:val="28"/>
        </w:rPr>
        <w:t>Введение</w:t>
      </w:r>
    </w:p>
    <w:p w:rsidR="00564372" w:rsidRPr="001F2A4B" w:rsidRDefault="00564372" w:rsidP="00564372">
      <w:pPr>
        <w:suppressAutoHyphens/>
        <w:spacing w:line="360" w:lineRule="auto"/>
        <w:jc w:val="center"/>
        <w:rPr>
          <w:sz w:val="28"/>
          <w:szCs w:val="28"/>
        </w:rPr>
      </w:pPr>
      <w:r w:rsidRPr="005B323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740A3">
        <w:rPr>
          <w:sz w:val="28"/>
          <w:szCs w:val="28"/>
        </w:rPr>
        <w:t>Характеристика организации</w:t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  <w:t xml:space="preserve">   </w:t>
      </w:r>
      <w:r w:rsidR="00685437">
        <w:rPr>
          <w:sz w:val="28"/>
          <w:szCs w:val="28"/>
        </w:rPr>
        <w:t>4</w:t>
      </w:r>
    </w:p>
    <w:p w:rsidR="00736121" w:rsidRDefault="00564372" w:rsidP="00736121">
      <w:pPr>
        <w:pStyle w:val="aa"/>
        <w:tabs>
          <w:tab w:val="left" w:pos="0"/>
        </w:tabs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40A3" w:rsidRPr="00F740A3">
        <w:t xml:space="preserve"> </w:t>
      </w:r>
      <w:r w:rsidR="00F740A3" w:rsidRPr="00F740A3">
        <w:rPr>
          <w:rFonts w:ascii="Times New Roman" w:hAnsi="Times New Roman" w:cs="Times New Roman"/>
          <w:sz w:val="28"/>
          <w:szCs w:val="28"/>
        </w:rPr>
        <w:t>Анализ социально-экономических аспектов</w:t>
      </w:r>
    </w:p>
    <w:p w:rsidR="00564372" w:rsidRPr="00F65DA3" w:rsidRDefault="00F740A3" w:rsidP="00736121">
      <w:pPr>
        <w:pStyle w:val="aa"/>
        <w:tabs>
          <w:tab w:val="left" w:pos="0"/>
        </w:tabs>
        <w:suppressAutoHyphens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40A3">
        <w:rPr>
          <w:rFonts w:ascii="Times New Roman" w:hAnsi="Times New Roman" w:cs="Times New Roman"/>
          <w:sz w:val="28"/>
          <w:szCs w:val="28"/>
        </w:rPr>
        <w:t xml:space="preserve"> </w:t>
      </w:r>
      <w:r w:rsidR="00736121">
        <w:rPr>
          <w:rFonts w:ascii="Times New Roman" w:hAnsi="Times New Roman" w:cs="Times New Roman"/>
          <w:sz w:val="28"/>
          <w:szCs w:val="28"/>
        </w:rPr>
        <w:t xml:space="preserve">   </w:t>
      </w:r>
      <w:r w:rsidRPr="00F740A3">
        <w:rPr>
          <w:rFonts w:ascii="Times New Roman" w:hAnsi="Times New Roman" w:cs="Times New Roman"/>
          <w:sz w:val="28"/>
          <w:szCs w:val="28"/>
        </w:rPr>
        <w:t>банковской системы в России</w:t>
      </w:r>
      <w:r>
        <w:rPr>
          <w:rFonts w:ascii="Times New Roman" w:hAnsi="Times New Roman" w:cs="Times New Roman"/>
          <w:sz w:val="28"/>
          <w:szCs w:val="28"/>
        </w:rPr>
        <w:tab/>
      </w:r>
      <w:r w:rsidR="007361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564372">
        <w:rPr>
          <w:rFonts w:ascii="Times New Roman" w:hAnsi="Times New Roman" w:cs="Times New Roman"/>
          <w:sz w:val="28"/>
          <w:szCs w:val="28"/>
        </w:rPr>
        <w:t xml:space="preserve">  </w:t>
      </w:r>
      <w:r w:rsidR="00685437">
        <w:rPr>
          <w:rFonts w:ascii="Times New Roman" w:hAnsi="Times New Roman" w:cs="Times New Roman"/>
          <w:sz w:val="28"/>
          <w:szCs w:val="28"/>
        </w:rPr>
        <w:t>15</w:t>
      </w:r>
    </w:p>
    <w:p w:rsidR="00564372" w:rsidRPr="008676EC" w:rsidRDefault="00564372" w:rsidP="00564372">
      <w:p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676EC">
        <w:rPr>
          <w:sz w:val="28"/>
          <w:szCs w:val="28"/>
        </w:rPr>
        <w:t>Заключение</w:t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="00736121">
        <w:rPr>
          <w:sz w:val="28"/>
          <w:szCs w:val="28"/>
        </w:rPr>
        <w:t xml:space="preserve">                       </w:t>
      </w:r>
      <w:r w:rsidRPr="008676EC">
        <w:rPr>
          <w:sz w:val="28"/>
          <w:szCs w:val="28"/>
        </w:rPr>
        <w:t xml:space="preserve">  </w:t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</w:r>
      <w:r w:rsidRPr="008676EC">
        <w:rPr>
          <w:sz w:val="28"/>
          <w:szCs w:val="28"/>
        </w:rPr>
        <w:tab/>
        <w:t xml:space="preserve">  </w:t>
      </w:r>
      <w:r w:rsidR="00E3355F">
        <w:rPr>
          <w:sz w:val="28"/>
          <w:szCs w:val="28"/>
        </w:rPr>
        <w:t>19</w:t>
      </w:r>
      <w:r w:rsidRPr="008676EC">
        <w:rPr>
          <w:sz w:val="28"/>
          <w:szCs w:val="28"/>
        </w:rPr>
        <w:t xml:space="preserve"> </w:t>
      </w:r>
    </w:p>
    <w:p w:rsidR="00564372" w:rsidRPr="005B3232" w:rsidRDefault="00564372" w:rsidP="00564372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B3232">
        <w:rPr>
          <w:sz w:val="28"/>
          <w:szCs w:val="28"/>
        </w:rPr>
        <w:t>С</w:t>
      </w:r>
      <w:r>
        <w:rPr>
          <w:sz w:val="28"/>
          <w:szCs w:val="28"/>
        </w:rPr>
        <w:t>писок использованных источников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</w:t>
      </w:r>
      <w:r w:rsidR="00E3355F">
        <w:rPr>
          <w:sz w:val="28"/>
          <w:szCs w:val="28"/>
        </w:rPr>
        <w:t>20</w:t>
      </w:r>
    </w:p>
    <w:p w:rsidR="00B53C39" w:rsidRDefault="00564372" w:rsidP="00B53C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1854">
        <w:rPr>
          <w:sz w:val="28"/>
          <w:szCs w:val="28"/>
        </w:rPr>
        <w:t>Приложение А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53C39" w:rsidRPr="00B53C39">
        <w:rPr>
          <w:sz w:val="28"/>
          <w:szCs w:val="28"/>
        </w:rPr>
        <w:t>Бухгалтерская отчетно</w:t>
      </w:r>
      <w:r w:rsidR="00B53C39">
        <w:rPr>
          <w:sz w:val="28"/>
          <w:szCs w:val="28"/>
        </w:rPr>
        <w:t>сть</w:t>
      </w:r>
    </w:p>
    <w:p w:rsidR="00564372" w:rsidRPr="005B3232" w:rsidRDefault="00B53C39" w:rsidP="00B53C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53C39">
        <w:rPr>
          <w:sz w:val="28"/>
          <w:szCs w:val="28"/>
        </w:rPr>
        <w:t>АО «Альфа-Банк» за 2023-2025 гг.</w:t>
      </w:r>
      <w:r w:rsidR="00564372">
        <w:rPr>
          <w:sz w:val="28"/>
          <w:szCs w:val="28"/>
        </w:rPr>
        <w:tab/>
      </w:r>
      <w:r w:rsidR="00564372">
        <w:rPr>
          <w:sz w:val="28"/>
          <w:szCs w:val="28"/>
        </w:rPr>
        <w:tab/>
      </w:r>
      <w:r w:rsidR="0056437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564372">
        <w:rPr>
          <w:sz w:val="28"/>
          <w:szCs w:val="28"/>
        </w:rPr>
        <w:tab/>
        <w:t xml:space="preserve">  </w:t>
      </w:r>
      <w:r w:rsidR="00564372">
        <w:rPr>
          <w:sz w:val="28"/>
          <w:szCs w:val="28"/>
        </w:rPr>
        <w:tab/>
        <w:t xml:space="preserve">  </w:t>
      </w:r>
      <w:r w:rsidR="00E3355F">
        <w:rPr>
          <w:sz w:val="28"/>
          <w:szCs w:val="28"/>
        </w:rPr>
        <w:t>23</w:t>
      </w:r>
      <w:bookmarkStart w:id="4" w:name="_GoBack"/>
      <w:bookmarkEnd w:id="4"/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984776" w:rsidRDefault="00984776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Pr="00752EE7" w:rsidRDefault="00662ADF" w:rsidP="00752EE7">
      <w:pPr>
        <w:pStyle w:val="a8"/>
        <w:spacing w:after="240"/>
        <w:ind w:left="0" w:right="0"/>
        <w:jc w:val="center"/>
        <w:rPr>
          <w:rFonts w:ascii="Arial" w:hAnsi="Arial" w:cs="Arial"/>
          <w:sz w:val="30"/>
          <w:szCs w:val="30"/>
          <w:lang w:eastAsia="ar-SA"/>
        </w:rPr>
      </w:pPr>
      <w:r w:rsidRPr="002613E0">
        <w:rPr>
          <w:rFonts w:ascii="Arial" w:hAnsi="Arial" w:cs="Arial"/>
          <w:sz w:val="30"/>
          <w:szCs w:val="30"/>
          <w:lang w:eastAsia="ar-SA"/>
        </w:rPr>
        <w:lastRenderedPageBreak/>
        <w:t>Введение</w:t>
      </w:r>
    </w:p>
    <w:p w:rsidR="00E77852" w:rsidRDefault="00662ADF" w:rsidP="00752EE7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Учебная ознакомительная практика длится с 15 июня 2026 по 18 июля 2026. Местом для прохождения учебной ознакомительной практики является отделение АО «Альфа-Банк», г. Владивосток. </w:t>
      </w:r>
    </w:p>
    <w:p w:rsidR="00E77852" w:rsidRDefault="00662ADF" w:rsidP="00752EE7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Целью учебной ознакомительной практики является получение студентами первичных профессиональных умений и навыков по сбору, анализу и обработке данных, необходимых для решения профессиональных задач на основе типовых методик и действующей нормативно-правовой базы.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Задачами учебной ознакомительной являются: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получение практических навыков поиска информации о деятельности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организации;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ознакомление с различными аспектами деятельности предприятия (организации) базы практики: направлениями и видами хозяйственной деятельности, организационной структурой, системой налогообложения, основными показателями хозяйственной деятельности, и др.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развитие навыков сбора данных для проведения расчетов экономических показателей деятельности предприятий (организаций);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развитие навыков расчета и анализа современной системы показателей,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характеризующих деятельность хозяйствующего субъекта;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развитие умений интерпретировать основные экономические показатели на микро- и макроуровне.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Методы достижения поставленных целей и задач: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изучение нормативно-правовой базы и внутренней документации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предприятия;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наблюдение, сбор и обработка данных;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применение аналитических и статистических методов исследования; </w:t>
      </w:r>
    </w:p>
    <w:p w:rsidR="00E77852" w:rsidRDefault="00662ADF" w:rsidP="00AB0006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Объектом исследования в рамках прохождения практики выступает </w:t>
      </w:r>
    </w:p>
    <w:p w:rsidR="00807A22" w:rsidRDefault="00662ADF" w:rsidP="00E5017A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АО «Альфа-Банк», а предметом – процессы организации и управления экономической и хозяйственной деятельностью организации.</w:t>
      </w:r>
    </w:p>
    <w:p w:rsidR="00E77852" w:rsidRPr="00662ADF" w:rsidRDefault="00662ADF" w:rsidP="00E5017A">
      <w:pPr>
        <w:spacing w:after="240"/>
        <w:ind w:firstLine="709"/>
        <w:rPr>
          <w:rFonts w:ascii="Arial" w:eastAsia="SimSun" w:hAnsi="Arial" w:cs="Arial"/>
          <w:color w:val="000000"/>
          <w:sz w:val="30"/>
          <w:szCs w:val="30"/>
          <w:lang w:eastAsia="zh-CN" w:bidi="ar"/>
        </w:rPr>
      </w:pPr>
      <w:r w:rsidRPr="00662ADF"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lastRenderedPageBreak/>
        <w:t>1 Характеристика организации</w:t>
      </w:r>
    </w:p>
    <w:p w:rsidR="00E77852" w:rsidRPr="00662ADF" w:rsidRDefault="00662ADF" w:rsidP="00F95B8C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«Альфа-Банк» был создан в декабре 1990 года, а уже в следующем году получил лицензию Центрального банка РФ на осуществление банковских операций и обслужил</w:t>
      </w:r>
      <w:r w:rsidR="0084533B">
        <w:rPr>
          <w:sz w:val="28"/>
          <w:szCs w:val="28"/>
          <w:lang w:eastAsia="ar-SA"/>
        </w:rPr>
        <w:t xml:space="preserve"> первого корпоративного клиента </w:t>
      </w:r>
      <w:r>
        <w:rPr>
          <w:sz w:val="28"/>
          <w:szCs w:val="28"/>
          <w:lang w:eastAsia="ar-SA"/>
        </w:rPr>
        <w:t>[1]</w:t>
      </w:r>
      <w:r w:rsidR="0084533B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В 1992 году открылось первое отделение в Москве, а также были получены валютные лицензии, что позволило банку выйти на международный уровень через открытие корреспондентских счетов в иностранных банках.</w:t>
      </w:r>
    </w:p>
    <w:p w:rsidR="00E77852" w:rsidRDefault="00662ADF" w:rsidP="00F95B8C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протяжении 1990-х годов банк активно наращивал масштаб деятельности: получил генеральную банковскую лицензию, вступил в Московскую межбанковскую валютную биржу, присоединился к системам SWIFT и MasterCard/Europay, открыл зарубежные подразделения в Казахстане и Германии. В 1997 году Альфа-Банк стал первым частным российским банком, разместившим еврооблигации, а в 1998 году сменил организационно-правовую форму на открытое акционерное общество и объединился с группой компаний «Альфа-Капитал».</w:t>
      </w:r>
      <w:r w:rsidRPr="00662ADF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Несмотря на финансовый кризис 1998 года, банк продолжал исполнять обязательства перед держателями облигаций, что укрепило его репутацию на рынке [2].</w:t>
      </w:r>
    </w:p>
    <w:p w:rsidR="00E77852" w:rsidRDefault="00662ADF" w:rsidP="00F95B8C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2000-е годы Альфа-Банк продолжил укреплять позиции: выпустил собственные евробонды, первым в стране внедрил виртуальные карты для интернет-расчётов, открыл колл-центр и дочернюю структуру в США для обслуживания иностранных инвесторов. В 2005 году был утверждён новый фирменный стиль банка — красный логотип с буквой «А», разработанный Студией Артемия Лебедева.</w:t>
      </w:r>
    </w:p>
    <w:p w:rsidR="00E77852" w:rsidRDefault="00662ADF" w:rsidP="00F95B8C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2010-х годов деятельность банка сместилась в сторону цифровизации и технологического развития. Было выпущено мобильное приложение для смартфонов, создана «Альфа-Лаборатория» для разработки финансовых цифровых продуктов, а в 2014 году банк принял на санацию Балтийский банк. К 2015 году сеть отделений и клиентская база банка значительно выросли, а в 2018 году Альфа-Банк получил статус официального банка чемпионата мира по футболу </w:t>
      </w:r>
      <w:r>
        <w:rPr>
          <w:sz w:val="28"/>
          <w:szCs w:val="28"/>
          <w:lang w:eastAsia="ar-SA"/>
        </w:rPr>
        <w:lastRenderedPageBreak/>
        <w:t>FIFA. В 2019 году банк одним из первых в России запустил модель банкинга как услуги (BaaS).</w:t>
      </w:r>
    </w:p>
    <w:p w:rsidR="00E77852" w:rsidRDefault="00662ADF" w:rsidP="00747532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последние годы Альфа-Банк продолжает внедрять инновационные сервисы: искусственный интеллект в кредитном скоринге, участие в пилотировании цифрового рубля, выпуск платёжных стикеров и цифровых финансовых активов, а также развитие phygital-офисов и партнёрских программ. Банк активно расширяет международное сотрудничество, включая расчёты в национальных валютах с рядом стран, и продолжает развивать розничные и корпоративные продукты, включая собственные сервисы для онлайн-покупок и защиты сделок с недвижимостью</w:t>
      </w:r>
      <w:r w:rsidR="0084533B">
        <w:rPr>
          <w:sz w:val="28"/>
          <w:szCs w:val="28"/>
          <w:lang w:eastAsia="ar-SA"/>
        </w:rPr>
        <w:t xml:space="preserve"> [3]</w:t>
      </w:r>
      <w:r>
        <w:rPr>
          <w:sz w:val="28"/>
          <w:szCs w:val="28"/>
          <w:lang w:eastAsia="ar-SA"/>
        </w:rPr>
        <w:t>. Бизнес «Альфа-Банка» постоянно развивается.</w:t>
      </w:r>
    </w:p>
    <w:p w:rsidR="00E77852" w:rsidRDefault="00662ADF" w:rsidP="0074007B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Паспорт организации АО «Альфа-Банк»</w:t>
      </w:r>
      <w:r w:rsidR="007D1CF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представлен в таблице 1.1</w:t>
      </w:r>
      <w:r w:rsidR="0074007B">
        <w:rPr>
          <w:sz w:val="28"/>
          <w:szCs w:val="28"/>
          <w:lang w:eastAsia="ar-SA"/>
        </w:rPr>
        <w:t xml:space="preserve"> </w:t>
      </w:r>
      <w:r w:rsidR="0084533B">
        <w:rPr>
          <w:sz w:val="28"/>
          <w:szCs w:val="28"/>
          <w:lang w:eastAsia="ar-SA"/>
        </w:rPr>
        <w:t>[4]</w:t>
      </w:r>
    </w:p>
    <w:p w:rsidR="00E77852" w:rsidRDefault="00D07EC2" w:rsidP="0074007B">
      <w:pPr>
        <w:spacing w:after="120" w:line="360" w:lineRule="auto"/>
        <w:ind w:left="1701" w:hanging="1701"/>
        <w:rPr>
          <w:sz w:val="28"/>
        </w:rPr>
      </w:pPr>
      <w:r>
        <w:rPr>
          <w:sz w:val="28"/>
        </w:rPr>
        <w:t xml:space="preserve"> Таблица 1.1 </w:t>
      </w:r>
      <w:r w:rsidRPr="00CF41FD">
        <w:rPr>
          <w:sz w:val="28"/>
          <w:szCs w:val="28"/>
        </w:rPr>
        <w:t>–</w:t>
      </w:r>
      <w:r w:rsidR="00662ADF">
        <w:rPr>
          <w:sz w:val="28"/>
        </w:rPr>
        <w:t xml:space="preserve"> Паспорт организации АО «Альфа-Банк»</w:t>
      </w:r>
    </w:p>
    <w:tbl>
      <w:tblPr>
        <w:tblStyle w:val="a9"/>
        <w:tblW w:w="9871" w:type="dxa"/>
        <w:tblLook w:val="04A0" w:firstRow="1" w:lastRow="0" w:firstColumn="1" w:lastColumn="0" w:noHBand="0" w:noVBand="1"/>
      </w:tblPr>
      <w:tblGrid>
        <w:gridCol w:w="5535"/>
        <w:gridCol w:w="4336"/>
      </w:tblGrid>
      <w:tr w:rsidR="00E77852" w:rsidTr="00D07EC2">
        <w:trPr>
          <w:trHeight w:val="454"/>
        </w:trPr>
        <w:tc>
          <w:tcPr>
            <w:tcW w:w="5535" w:type="dxa"/>
          </w:tcPr>
          <w:p w:rsidR="00E77852" w:rsidRPr="002A0637" w:rsidRDefault="00662ADF">
            <w:pPr>
              <w:jc w:val="center"/>
            </w:pPr>
            <w:r w:rsidRPr="002A0637">
              <w:t>Показатель</w:t>
            </w:r>
          </w:p>
        </w:tc>
        <w:tc>
          <w:tcPr>
            <w:tcW w:w="4336" w:type="dxa"/>
          </w:tcPr>
          <w:p w:rsidR="00E77852" w:rsidRPr="002A0637" w:rsidRDefault="00662ADF">
            <w:pPr>
              <w:jc w:val="center"/>
            </w:pPr>
            <w:r w:rsidRPr="002A0637">
              <w:t>Содержание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Полное наименование</w:t>
            </w:r>
          </w:p>
        </w:tc>
        <w:tc>
          <w:tcPr>
            <w:tcW w:w="4336" w:type="dxa"/>
          </w:tcPr>
          <w:p w:rsidR="00E77852" w:rsidRDefault="00662ADF">
            <w:r>
              <w:rPr>
                <w:rFonts w:eastAsia="Segoe UI"/>
                <w:shd w:val="clear" w:color="auto" w:fill="FFFFFF"/>
              </w:rPr>
              <w:t>АКЦИОНЕРНОЕ ОБЩЕСТВО «АЛЬФА-БАНК»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Юридический адрес</w:t>
            </w:r>
          </w:p>
        </w:tc>
        <w:tc>
          <w:tcPr>
            <w:tcW w:w="4336" w:type="dxa"/>
          </w:tcPr>
          <w:p w:rsidR="00E77852" w:rsidRDefault="00662ADF">
            <w:r>
              <w:rPr>
                <w:rFonts w:eastAsia="Arial"/>
                <w:color w:val="0F1A24"/>
                <w:shd w:val="clear" w:color="auto" w:fill="FFFFFF"/>
              </w:rPr>
              <w:t>107078, г Москва, Красносельский р-н, ул Каланчевская, д 27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ИНН/КПП</w:t>
            </w:r>
          </w:p>
        </w:tc>
        <w:tc>
          <w:tcPr>
            <w:tcW w:w="4336" w:type="dxa"/>
          </w:tcPr>
          <w:p w:rsidR="00E77852" w:rsidRDefault="00662ADF">
            <w:r>
              <w:rPr>
                <w:rFonts w:eastAsia="Arial"/>
                <w:color w:val="0F1A24"/>
                <w:shd w:val="clear" w:color="auto" w:fill="FFFFFF"/>
              </w:rPr>
              <w:t>7728168971/770801001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ОГРН</w:t>
            </w:r>
          </w:p>
        </w:tc>
        <w:tc>
          <w:tcPr>
            <w:tcW w:w="4336" w:type="dxa"/>
          </w:tcPr>
          <w:p w:rsidR="00E77852" w:rsidRDefault="00662ADF">
            <w:r>
              <w:rPr>
                <w:rFonts w:eastAsia="Arial"/>
                <w:color w:val="0F1A24"/>
                <w:shd w:val="clear" w:color="auto" w:fill="FFFFFF"/>
              </w:rPr>
              <w:t>1027700067328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Дата регистрации юридического лица, номер</w:t>
            </w:r>
          </w:p>
        </w:tc>
        <w:tc>
          <w:tcPr>
            <w:tcW w:w="4336" w:type="dxa"/>
          </w:tcPr>
          <w:p w:rsidR="00E77852" w:rsidRDefault="00662ADF">
            <w:r>
              <w:rPr>
                <w:rFonts w:eastAsia="Arial"/>
                <w:color w:val="0F1A24"/>
                <w:shd w:val="clear" w:color="auto" w:fill="FFFFFF"/>
              </w:rPr>
              <w:t> 24.02.1998, 1326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Регистрирующий орган</w:t>
            </w:r>
          </w:p>
        </w:tc>
        <w:tc>
          <w:tcPr>
            <w:tcW w:w="4336" w:type="dxa"/>
          </w:tcPr>
          <w:p w:rsidR="00E77852" w:rsidRDefault="00662ADF">
            <w:r>
              <w:rPr>
                <w:rFonts w:eastAsia="Arial"/>
                <w:color w:val="0F1A24"/>
                <w:shd w:val="clear" w:color="auto" w:fill="FFFFFF"/>
              </w:rPr>
              <w:t xml:space="preserve"> Управление Федеральной налоговой службы по </w:t>
            </w:r>
            <w:r w:rsidR="007F4687">
              <w:rPr>
                <w:rFonts w:eastAsia="Arial"/>
                <w:color w:val="0F1A24"/>
                <w:shd w:val="clear" w:color="auto" w:fill="FFFFFF"/>
              </w:rPr>
              <w:t>г. Москве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Система налогообложения</w:t>
            </w:r>
          </w:p>
        </w:tc>
        <w:tc>
          <w:tcPr>
            <w:tcW w:w="4336" w:type="dxa"/>
          </w:tcPr>
          <w:p w:rsidR="00E77852" w:rsidRDefault="00662ADF">
            <w:r>
              <w:t>ОСНО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ОКВЭД</w:t>
            </w:r>
          </w:p>
        </w:tc>
        <w:tc>
          <w:tcPr>
            <w:tcW w:w="4336" w:type="dxa"/>
          </w:tcPr>
          <w:p w:rsidR="00E77852" w:rsidRDefault="00662ADF">
            <w:r>
              <w:t xml:space="preserve">Денежное посредничество прочее (64.19) 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ОКПО</w:t>
            </w:r>
          </w:p>
        </w:tc>
        <w:tc>
          <w:tcPr>
            <w:tcW w:w="4336" w:type="dxa"/>
          </w:tcPr>
          <w:p w:rsidR="00E77852" w:rsidRDefault="00662ADF">
            <w:r>
              <w:t>09610444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>
            <w:r>
              <w:t>Руководитель</w:t>
            </w:r>
          </w:p>
        </w:tc>
        <w:tc>
          <w:tcPr>
            <w:tcW w:w="4336" w:type="dxa"/>
          </w:tcPr>
          <w:p w:rsidR="00E77852" w:rsidRDefault="00662ADF">
            <w:r>
              <w:t>Соколов Андрей Борисович (Председатель Правления)</w:t>
            </w:r>
          </w:p>
        </w:tc>
      </w:tr>
      <w:tr w:rsidR="00E77852" w:rsidTr="00D07EC2">
        <w:trPr>
          <w:trHeight w:val="454"/>
        </w:trPr>
        <w:tc>
          <w:tcPr>
            <w:tcW w:w="5535" w:type="dxa"/>
          </w:tcPr>
          <w:p w:rsidR="00E77852" w:rsidRDefault="00662ADF" w:rsidP="00D07EC2">
            <w:pPr>
              <w:spacing w:after="120"/>
            </w:pPr>
            <w:r>
              <w:t>Уставный капитал (в рублях)</w:t>
            </w:r>
          </w:p>
        </w:tc>
        <w:tc>
          <w:tcPr>
            <w:tcW w:w="4336" w:type="dxa"/>
          </w:tcPr>
          <w:p w:rsidR="00E77852" w:rsidRDefault="00662ADF" w:rsidP="00D07EC2">
            <w:pPr>
              <w:spacing w:after="120"/>
            </w:pPr>
            <w:r>
              <w:t>59587623000</w:t>
            </w:r>
          </w:p>
        </w:tc>
      </w:tr>
    </w:tbl>
    <w:p w:rsidR="00E77852" w:rsidRDefault="00E77852" w:rsidP="00D07EC2">
      <w:pPr>
        <w:pStyle w:val="a8"/>
        <w:spacing w:after="120"/>
        <w:ind w:left="0" w:right="0"/>
        <w:rPr>
          <w:sz w:val="28"/>
          <w:szCs w:val="28"/>
          <w:lang w:eastAsia="ar-SA"/>
        </w:rPr>
      </w:pP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Данный паспорт организации содержит основные сведения, необходимые для анализа деятельности Альфа-Ба</w:t>
      </w:r>
      <w:r w:rsidR="00A173BF">
        <w:rPr>
          <w:sz w:val="28"/>
          <w:szCs w:val="28"/>
          <w:lang w:eastAsia="ar-SA"/>
        </w:rPr>
        <w:t>нка как хозяйствующего субъекта</w:t>
      </w:r>
      <w:r w:rsidR="0084533B" w:rsidRPr="0084533B">
        <w:rPr>
          <w:sz w:val="28"/>
          <w:szCs w:val="28"/>
          <w:lang w:eastAsia="ar-SA"/>
        </w:rPr>
        <w:t xml:space="preserve"> </w:t>
      </w:r>
      <w:r w:rsidR="0084533B">
        <w:rPr>
          <w:sz w:val="28"/>
          <w:szCs w:val="28"/>
          <w:lang w:eastAsia="ar-SA"/>
        </w:rPr>
        <w:t>[5]</w:t>
      </w:r>
      <w:r w:rsidR="00A173BF">
        <w:rPr>
          <w:sz w:val="28"/>
          <w:szCs w:val="28"/>
          <w:lang w:eastAsia="ar-SA"/>
        </w:rPr>
        <w:t>.</w:t>
      </w:r>
    </w:p>
    <w:p w:rsidR="00E77852" w:rsidRPr="00662ADF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Альфа-Банк осуществляет свою деятельность в соответствии с кодом ОКВЭД 64.19 «Денежное посредничество прочее»</w:t>
      </w:r>
      <w:r w:rsidR="00A173BF" w:rsidRPr="00A173BF">
        <w:rPr>
          <w:sz w:val="28"/>
          <w:szCs w:val="28"/>
          <w:lang w:eastAsia="ar-SA"/>
        </w:rPr>
        <w:t xml:space="preserve"> </w:t>
      </w:r>
      <w:r w:rsidR="00A173BF">
        <w:rPr>
          <w:sz w:val="28"/>
          <w:szCs w:val="28"/>
          <w:lang w:eastAsia="ar-SA"/>
        </w:rPr>
        <w:t>[6]</w:t>
      </w:r>
      <w:r>
        <w:rPr>
          <w:sz w:val="28"/>
          <w:szCs w:val="28"/>
          <w:lang w:eastAsia="ar-SA"/>
        </w:rPr>
        <w:t xml:space="preserve">. 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В рамках указанной группировки банк осуществляет следующие операции: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привлечение денежных средств физических и юридических лиц во вклады;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размещение привлечённых средств от своего имени и за свой счёт;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открытие и ведение банковских счетов физических и юридических лиц;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осуществление расчётов по поручению физических и юридических лиц, в том числе банков-корреспондентов, по их банковским счетам;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инкассацию денежных средств, векселей, платёжных и расчётных документов, а также кассовое обслуживание физических и юридических лиц;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привлечение во вклады и размещение драгоценных металлов;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выдачу банковских гарантий;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• осуществление переводов денежных средств по поручению физических лиц без открытия банковских счетов, за исключением почтовых переводов.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Деятельность АО «Альфа-Банк» соответствует классической модели универсального коммерческого банка, осуществляющего полный комплекс операций по привлечению и размещению денежных средств на основании банковской лицензии. </w:t>
      </w:r>
    </w:p>
    <w:p w:rsidR="00E77852" w:rsidRDefault="00662ADF" w:rsidP="0036371D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Организационно-правовая форма АО «Альфа-Банк» - Непубличные акционерные общества (код по классификатору 12267)</w:t>
      </w:r>
      <w:r w:rsidR="00A173BF" w:rsidRPr="00A173BF">
        <w:rPr>
          <w:sz w:val="28"/>
          <w:szCs w:val="28"/>
          <w:lang w:eastAsia="ar-SA"/>
        </w:rPr>
        <w:t xml:space="preserve"> </w:t>
      </w:r>
      <w:r w:rsidR="00A173BF">
        <w:rPr>
          <w:sz w:val="28"/>
          <w:szCs w:val="28"/>
          <w:lang w:eastAsia="ar-SA"/>
        </w:rPr>
        <w:t>[7].</w:t>
      </w:r>
    </w:p>
    <w:p w:rsidR="00B97B5B" w:rsidRDefault="00B97B5B" w:rsidP="00B97B5B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АО «Альфа-Банк» применяет общую систему налогообложения (ОСНО). Данный режим является для банков обязательным: специальные налоговые режимы, такие как упрощённая система налогообложения (УСН) или автоматизированная упрощённая система налогообложения (АУСН), законодательно запрещены для применения финансовыми организациями, несмотря на то, что сам Альфа-Банк активно предоставляет своим клиентам из сектора малого бизнеса услуги и сервисы, связанные с сопровождением на этих режимах.</w:t>
      </w:r>
    </w:p>
    <w:p w:rsidR="00E77852" w:rsidRDefault="00662ADF" w:rsidP="000219FF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Управление АО «Альфа-Банк» построено по линейно-функциональному принципу, что обеспечивает чёткое распределение полномочий между органами </w:t>
      </w:r>
      <w:r>
        <w:rPr>
          <w:sz w:val="28"/>
          <w:szCs w:val="28"/>
          <w:lang w:eastAsia="ar-SA"/>
        </w:rPr>
        <w:lastRenderedPageBreak/>
        <w:t>управления и одновременно позволяет учитывать специфику отдельных направлений деятельности банка</w:t>
      </w:r>
      <w:r w:rsidR="000219FF">
        <w:rPr>
          <w:sz w:val="28"/>
          <w:szCs w:val="28"/>
          <w:lang w:eastAsia="ar-SA"/>
        </w:rPr>
        <w:t xml:space="preserve"> [8]</w:t>
      </w:r>
      <w:r>
        <w:rPr>
          <w:sz w:val="28"/>
          <w:szCs w:val="28"/>
          <w:lang w:eastAsia="ar-SA"/>
        </w:rPr>
        <w:t>. Организационная структура АО «Альфа-Банк» представлена на рисунке 1.1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6030131" cy="3985260"/>
            <wp:effectExtent l="0" t="0" r="8890" b="0"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4293" cy="400122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830C55">
      <w:pPr>
        <w:spacing w:before="120" w:after="240" w:line="360" w:lineRule="auto"/>
        <w:jc w:val="center"/>
        <w:rPr>
          <w:sz w:val="28"/>
          <w:szCs w:val="28"/>
          <w:lang w:eastAsia="ar-SA"/>
        </w:rPr>
      </w:pPr>
      <w:r w:rsidRPr="00662ADF">
        <w:rPr>
          <w:rFonts w:eastAsia="SimSun"/>
          <w:color w:val="000000"/>
          <w:sz w:val="28"/>
          <w:szCs w:val="28"/>
          <w:lang w:eastAsia="zh-CN" w:bidi="ar"/>
        </w:rPr>
        <w:t xml:space="preserve">Рисунок 1.1 – Организационная структура </w:t>
      </w:r>
      <w:r>
        <w:rPr>
          <w:sz w:val="28"/>
          <w:szCs w:val="28"/>
          <w:lang w:eastAsia="ar-SA"/>
        </w:rPr>
        <w:t>АО «Альфа-Банк»</w:t>
      </w:r>
    </w:p>
    <w:p w:rsidR="00E77852" w:rsidRDefault="00662ADF" w:rsidP="00D91837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рамках ОСНО банк уплачивает налог на прибыль организаций по стан</w:t>
      </w:r>
      <w:r w:rsidR="009F23D2">
        <w:rPr>
          <w:sz w:val="28"/>
          <w:szCs w:val="28"/>
          <w:lang w:eastAsia="ar-SA"/>
        </w:rPr>
        <w:t>дартной ставке 20 процентов</w:t>
      </w:r>
      <w:r>
        <w:rPr>
          <w:sz w:val="28"/>
          <w:szCs w:val="28"/>
          <w:lang w:eastAsia="ar-SA"/>
        </w:rPr>
        <w:t>. Кроме того, банк является плательщиком налога на добавленную стоимость (НДС) по операциям, подлежащи</w:t>
      </w:r>
      <w:r w:rsidR="009F23D2">
        <w:rPr>
          <w:sz w:val="28"/>
          <w:szCs w:val="28"/>
          <w:lang w:eastAsia="ar-SA"/>
        </w:rPr>
        <w:t xml:space="preserve">м налогообложению, по ставке 20 процентов </w:t>
      </w:r>
      <w:r w:rsidR="008D049E" w:rsidRPr="00CF41FD">
        <w:rPr>
          <w:sz w:val="28"/>
          <w:szCs w:val="28"/>
        </w:rPr>
        <w:t>–</w:t>
      </w:r>
      <w:r>
        <w:rPr>
          <w:sz w:val="28"/>
          <w:szCs w:val="28"/>
          <w:lang w:eastAsia="ar-SA"/>
        </w:rPr>
        <w:t xml:space="preserve"> при этом основная часть банковских операций (кредитование, расчётно-кассовое обслуживание, операции с ценными бумагами) освобождена от НДС в соответствии с Налоговым кодексом РФ.</w:t>
      </w:r>
    </w:p>
    <w:p w:rsidR="00E77852" w:rsidRDefault="00662ADF" w:rsidP="00D91837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Помимо уплаты собственных налогов, Альфа-Банк выполняет функции налогового агента: удерживает и перечисляет в бюджет налог на доходы физических лиц (НДФЛ) с доходов своих сотрудников, а также с отдельных видов доходов клиентов.</w:t>
      </w:r>
    </w:p>
    <w:p w:rsidR="00E77852" w:rsidRDefault="00662ADF" w:rsidP="00D91837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Далее в разделе проведён анализ финансово-хозяйственной деятельности АО «Альфа-Банк» за 2023–2025 гг.: рассмотрены структура и динамика доходов </w:t>
      </w:r>
      <w:r>
        <w:rPr>
          <w:sz w:val="28"/>
          <w:szCs w:val="28"/>
          <w:lang w:eastAsia="ar-SA"/>
        </w:rPr>
        <w:lastRenderedPageBreak/>
        <w:t>и расходов, показатели прибыли и рентабельности, активные и пассивные операции, источники собственных средств, а также ключевые финансовые коэффициенты и обязательные нормативы Банка России.</w:t>
      </w:r>
    </w:p>
    <w:p w:rsidR="008D049E" w:rsidRDefault="00662ADF" w:rsidP="00D91837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Доходы банка формируются за счёт процентных доходов от кредитования и операций с ценными бумагами, комиссионных доходов от расчётно-кассового и иного обслуживания клиентов, а также прочих операционных доходов; расходная часть включает процентные расходы по привлечённым средствам, комиссионные и операционные (административно-хозяйственные) расходы. </w:t>
      </w:r>
    </w:p>
    <w:p w:rsidR="008D049E" w:rsidRDefault="00662ADF" w:rsidP="008D049E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Структура и динамика доходов и расходов АО «Альфа-Б</w:t>
      </w:r>
      <w:r w:rsidR="008D049E">
        <w:rPr>
          <w:sz w:val="28"/>
          <w:szCs w:val="28"/>
          <w:lang w:eastAsia="ar-SA"/>
        </w:rPr>
        <w:t>анк» представлена в таблице 1.2</w:t>
      </w:r>
    </w:p>
    <w:p w:rsidR="008D049E" w:rsidRPr="008D049E" w:rsidRDefault="00530180" w:rsidP="008D049E">
      <w:pPr>
        <w:pStyle w:val="a8"/>
        <w:spacing w:after="120"/>
        <w:ind w:left="0" w:right="0"/>
        <w:jc w:val="left"/>
        <w:rPr>
          <w:sz w:val="28"/>
          <w:szCs w:val="28"/>
          <w:lang w:eastAsia="ar-SA"/>
        </w:rPr>
      </w:pPr>
      <w:r>
        <w:rPr>
          <w:sz w:val="28"/>
        </w:rPr>
        <w:t xml:space="preserve">Таблица 1.2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="008D049E">
        <w:rPr>
          <w:sz w:val="28"/>
        </w:rPr>
        <w:t xml:space="preserve"> Структура и динамика доходов и расходов АО «Альфа-Банк», 2023–2025 гг., млрд руб.</w:t>
      </w:r>
    </w:p>
    <w:tbl>
      <w:tblPr>
        <w:tblStyle w:val="a9"/>
        <w:tblW w:w="9742" w:type="dxa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321"/>
        <w:gridCol w:w="1013"/>
        <w:gridCol w:w="1013"/>
        <w:gridCol w:w="1013"/>
        <w:gridCol w:w="992"/>
      </w:tblGrid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Pr="00D92961" w:rsidRDefault="00662ADF" w:rsidP="00B52F67">
            <w:pPr>
              <w:jc w:val="center"/>
            </w:pPr>
            <w:r w:rsidRPr="00D92961">
              <w:t>Показатель</w:t>
            </w:r>
          </w:p>
        </w:tc>
        <w:tc>
          <w:tcPr>
            <w:tcW w:w="1134" w:type="dxa"/>
            <w:vAlign w:val="center"/>
          </w:tcPr>
          <w:p w:rsidR="00E77852" w:rsidRPr="00D92961" w:rsidRDefault="00662ADF" w:rsidP="00B52F67">
            <w:pPr>
              <w:jc w:val="center"/>
            </w:pPr>
            <w:r w:rsidRPr="00D92961">
              <w:t>2023</w:t>
            </w:r>
          </w:p>
        </w:tc>
        <w:tc>
          <w:tcPr>
            <w:tcW w:w="1134" w:type="dxa"/>
            <w:vAlign w:val="center"/>
          </w:tcPr>
          <w:p w:rsidR="00E77852" w:rsidRPr="00D92961" w:rsidRDefault="00662ADF" w:rsidP="00B52F67">
            <w:pPr>
              <w:jc w:val="center"/>
            </w:pPr>
            <w:r w:rsidRPr="00D92961">
              <w:t>2024</w:t>
            </w:r>
          </w:p>
        </w:tc>
        <w:tc>
          <w:tcPr>
            <w:tcW w:w="1321" w:type="dxa"/>
            <w:vAlign w:val="center"/>
          </w:tcPr>
          <w:p w:rsidR="00E77852" w:rsidRPr="00D92961" w:rsidRDefault="00662ADF" w:rsidP="00B52F67">
            <w:pPr>
              <w:jc w:val="center"/>
            </w:pPr>
            <w:r w:rsidRPr="00D92961">
              <w:t>2025</w:t>
            </w:r>
          </w:p>
        </w:tc>
        <w:tc>
          <w:tcPr>
            <w:tcW w:w="1013" w:type="dxa"/>
            <w:vAlign w:val="center"/>
          </w:tcPr>
          <w:p w:rsidR="00E77852" w:rsidRPr="00D92961" w:rsidRDefault="00E414B9" w:rsidP="00B52F67">
            <w:pPr>
              <w:jc w:val="center"/>
            </w:pPr>
            <w:r w:rsidRPr="00D92961">
              <w:t>Изм.</w:t>
            </w:r>
            <w:r w:rsidR="00662ADF" w:rsidRPr="00D92961">
              <w:t xml:space="preserve"> 24/23</w:t>
            </w:r>
          </w:p>
        </w:tc>
        <w:tc>
          <w:tcPr>
            <w:tcW w:w="1013" w:type="dxa"/>
            <w:vAlign w:val="center"/>
          </w:tcPr>
          <w:p w:rsidR="00E77852" w:rsidRPr="00D92961" w:rsidRDefault="00662ADF" w:rsidP="00B52F67">
            <w:pPr>
              <w:jc w:val="center"/>
            </w:pPr>
            <w:r w:rsidRPr="00D92961">
              <w:t>Темп</w:t>
            </w:r>
            <w:r w:rsidR="00E414B9" w:rsidRPr="00D92961">
              <w:t xml:space="preserve"> роста</w:t>
            </w:r>
            <w:r w:rsidRPr="00D92961">
              <w:t xml:space="preserve"> 24/23, %</w:t>
            </w:r>
          </w:p>
        </w:tc>
        <w:tc>
          <w:tcPr>
            <w:tcW w:w="1013" w:type="dxa"/>
            <w:vAlign w:val="center"/>
          </w:tcPr>
          <w:p w:rsidR="00E77852" w:rsidRPr="00D92961" w:rsidRDefault="00E414B9" w:rsidP="00B52F67">
            <w:pPr>
              <w:jc w:val="center"/>
            </w:pPr>
            <w:r w:rsidRPr="00D92961">
              <w:t>Изм.</w:t>
            </w:r>
            <w:r w:rsidR="00662ADF" w:rsidRPr="00D92961">
              <w:t xml:space="preserve"> 25/24</w:t>
            </w:r>
          </w:p>
        </w:tc>
        <w:tc>
          <w:tcPr>
            <w:tcW w:w="992" w:type="dxa"/>
            <w:vAlign w:val="center"/>
          </w:tcPr>
          <w:p w:rsidR="00E77852" w:rsidRPr="00D92961" w:rsidRDefault="00662ADF" w:rsidP="00B52F67">
            <w:pPr>
              <w:jc w:val="center"/>
            </w:pPr>
            <w:r w:rsidRPr="00D92961">
              <w:t xml:space="preserve">Темп </w:t>
            </w:r>
            <w:r w:rsidR="00E414B9" w:rsidRPr="00D92961">
              <w:t xml:space="preserve">роста </w:t>
            </w:r>
            <w:r w:rsidRPr="00D92961">
              <w:t>25/24, %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Default="00662ADF" w:rsidP="00B52F67">
            <w:r>
              <w:t>Процентные доходы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725,83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1 491,27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2 085,87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765,44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105,46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594,60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39,87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Default="00662ADF" w:rsidP="00B52F67">
            <w:r>
              <w:t>Комиссионные доходы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226,54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300,11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310,69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73,57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32,47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10,58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3,53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Default="00662ADF" w:rsidP="00B52F67">
            <w:r>
              <w:t>Прочие операционные доходы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36,57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76,34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80,52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39,77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108,75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4,18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5,48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Pr="008E5622" w:rsidRDefault="00662ADF" w:rsidP="00B52F67">
            <w:r w:rsidRPr="008E5622">
              <w:t>Чистые доходы (расходы), всего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396,72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636,99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775,25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240,28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60,57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138,25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Pr="008E5622" w:rsidRDefault="00662ADF" w:rsidP="00B52F67">
            <w:pPr>
              <w:jc w:val="center"/>
            </w:pPr>
            <w:r w:rsidRPr="008E5622">
              <w:t>21,70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Default="00662ADF" w:rsidP="00B52F67">
            <w:r>
              <w:t>Процентные расходы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365,91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994,29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1 409,81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628,38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171,73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415,52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41,79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Default="00662ADF" w:rsidP="00B52F67">
            <w:r>
              <w:t>Комиссионные расходы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50,37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86,55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111,21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36,18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71,82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24,67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28,50</w:t>
            </w:r>
          </w:p>
        </w:tc>
      </w:tr>
      <w:tr w:rsidR="00695EF7" w:rsidTr="008E5622">
        <w:trPr>
          <w:trHeight w:val="631"/>
        </w:trPr>
        <w:tc>
          <w:tcPr>
            <w:tcW w:w="2122" w:type="dxa"/>
            <w:vAlign w:val="center"/>
          </w:tcPr>
          <w:p w:rsidR="00E77852" w:rsidRDefault="00662ADF" w:rsidP="00B52F67">
            <w:r>
              <w:t>Операционные расходы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247,63</w:t>
            </w:r>
          </w:p>
        </w:tc>
        <w:tc>
          <w:tcPr>
            <w:tcW w:w="1134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404,11</w:t>
            </w:r>
          </w:p>
        </w:tc>
        <w:tc>
          <w:tcPr>
            <w:tcW w:w="1321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446,25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156,48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63,19</w:t>
            </w:r>
          </w:p>
        </w:tc>
        <w:tc>
          <w:tcPr>
            <w:tcW w:w="1013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42,15</w:t>
            </w:r>
          </w:p>
        </w:tc>
        <w:tc>
          <w:tcPr>
            <w:tcW w:w="992" w:type="dxa"/>
            <w:vAlign w:val="center"/>
          </w:tcPr>
          <w:p w:rsidR="009F1D62" w:rsidRDefault="009F1D62" w:rsidP="00B52F67">
            <w:pPr>
              <w:jc w:val="center"/>
            </w:pPr>
          </w:p>
          <w:p w:rsidR="00E77852" w:rsidRDefault="00662ADF" w:rsidP="00B52F67">
            <w:pPr>
              <w:jc w:val="center"/>
            </w:pPr>
            <w:r>
              <w:t>10,43</w:t>
            </w:r>
          </w:p>
        </w:tc>
      </w:tr>
    </w:tbl>
    <w:p w:rsidR="00E77852" w:rsidRDefault="00662ADF" w:rsidP="00B52F67">
      <w:pPr>
        <w:pStyle w:val="a8"/>
        <w:spacing w:before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Наибольшую долю в доходах банка стабильно занимают процентные доходы, которые за рассматриваемый период выросли более чем в 2,8 раза — с 725,83 млрд руб. в 2023 году до 2 085,87 млрд руб. в 2025 году, что связано с ростом кредитного портфеля и повышением процентных ставок. Комиссионные доходы демонстрируют более умеренную динамику: темп их прироста в 2025 году существенно замедлился. Наиболее динамично росли процентные расходы </w:t>
      </w:r>
      <w:r>
        <w:rPr>
          <w:sz w:val="28"/>
          <w:szCs w:val="28"/>
          <w:lang w:eastAsia="ar-SA"/>
        </w:rPr>
        <w:lastRenderedPageBreak/>
        <w:t>(в 3,9 раза за три года) вследствие увеличения объёма привлечённых депозитов и удорожания стоимости фондирования; опережающий рост процентных расходов над процентными доходами в 2024 году свидетельствует о временном сужении процентной маржи, однако в 2025 году ситуация выровнялась.</w:t>
      </w:r>
    </w:p>
    <w:p w:rsidR="00E77852" w:rsidRDefault="00662ADF" w:rsidP="00530180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Динамика показателей прибыли и рентабельности АО «Альфа-Банк» представлена в таблице 1.3.</w:t>
      </w:r>
    </w:p>
    <w:p w:rsidR="00530180" w:rsidRDefault="00530180" w:rsidP="00530180">
      <w:pPr>
        <w:pStyle w:val="a8"/>
        <w:spacing w:after="120"/>
        <w:ind w:left="0" w:right="0"/>
        <w:jc w:val="lef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Таблица 1.3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Pr="00530180">
        <w:rPr>
          <w:sz w:val="28"/>
          <w:szCs w:val="28"/>
          <w:lang w:eastAsia="ar-SA"/>
        </w:rPr>
        <w:t xml:space="preserve"> Динамика показателей прибыли и рентабельности АО «Альфа-Банк», 2023–2025 гг.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09"/>
        <w:gridCol w:w="1006"/>
        <w:gridCol w:w="1006"/>
        <w:gridCol w:w="1006"/>
        <w:gridCol w:w="1006"/>
        <w:gridCol w:w="983"/>
        <w:gridCol w:w="1006"/>
        <w:gridCol w:w="1006"/>
      </w:tblGrid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Показатель</w:t>
            </w:r>
          </w:p>
        </w:tc>
        <w:tc>
          <w:tcPr>
            <w:tcW w:w="1010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2023</w:t>
            </w:r>
          </w:p>
        </w:tc>
        <w:tc>
          <w:tcPr>
            <w:tcW w:w="1010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2024</w:t>
            </w:r>
          </w:p>
        </w:tc>
        <w:tc>
          <w:tcPr>
            <w:tcW w:w="1010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2025</w:t>
            </w:r>
          </w:p>
        </w:tc>
        <w:tc>
          <w:tcPr>
            <w:tcW w:w="1010" w:type="dxa"/>
            <w:vAlign w:val="center"/>
          </w:tcPr>
          <w:p w:rsidR="00E77852" w:rsidRPr="00D92961" w:rsidRDefault="00E414B9">
            <w:pPr>
              <w:jc w:val="center"/>
            </w:pPr>
            <w:r w:rsidRPr="00D92961">
              <w:t>Изм.</w:t>
            </w:r>
            <w:r w:rsidR="00662ADF" w:rsidRPr="00D92961">
              <w:t xml:space="preserve"> 24/23</w:t>
            </w:r>
          </w:p>
        </w:tc>
        <w:tc>
          <w:tcPr>
            <w:tcW w:w="988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Темп</w:t>
            </w:r>
            <w:r w:rsidR="00E414B9" w:rsidRPr="00D92961">
              <w:t xml:space="preserve"> роста</w:t>
            </w:r>
            <w:r w:rsidRPr="00D92961">
              <w:t xml:space="preserve"> 24/23, %</w:t>
            </w:r>
          </w:p>
        </w:tc>
        <w:tc>
          <w:tcPr>
            <w:tcW w:w="1010" w:type="dxa"/>
            <w:vAlign w:val="center"/>
          </w:tcPr>
          <w:p w:rsidR="00E77852" w:rsidRPr="00D92961" w:rsidRDefault="00E414B9">
            <w:pPr>
              <w:jc w:val="center"/>
            </w:pPr>
            <w:r w:rsidRPr="00D92961">
              <w:t>Изм.</w:t>
            </w:r>
            <w:r w:rsidR="00662ADF" w:rsidRPr="00D92961">
              <w:t xml:space="preserve"> 25/24</w:t>
            </w:r>
          </w:p>
        </w:tc>
        <w:tc>
          <w:tcPr>
            <w:tcW w:w="1010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Темп</w:t>
            </w:r>
            <w:r w:rsidR="00E414B9" w:rsidRPr="00D92961">
              <w:t xml:space="preserve"> роста</w:t>
            </w:r>
            <w:r w:rsidRPr="00D92961">
              <w:t xml:space="preserve"> 25/24, %</w:t>
            </w:r>
          </w:p>
        </w:tc>
      </w:tr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Default="00662ADF">
            <w:r>
              <w:t>Чистые процентные доходы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359,92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496,98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676,06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137,06</w:t>
            </w:r>
          </w:p>
        </w:tc>
        <w:tc>
          <w:tcPr>
            <w:tcW w:w="988" w:type="dxa"/>
            <w:vAlign w:val="center"/>
          </w:tcPr>
          <w:p w:rsidR="00E77852" w:rsidRDefault="00662ADF">
            <w:pPr>
              <w:jc w:val="center"/>
            </w:pPr>
            <w:r>
              <w:t xml:space="preserve">38,08 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179,08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 xml:space="preserve">36,03 </w:t>
            </w:r>
          </w:p>
        </w:tc>
      </w:tr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Default="00662ADF">
            <w:r>
              <w:t>Прибыль до налогообложения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149,09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232,89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328,99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83,80</w:t>
            </w:r>
          </w:p>
        </w:tc>
        <w:tc>
          <w:tcPr>
            <w:tcW w:w="988" w:type="dxa"/>
            <w:vAlign w:val="center"/>
          </w:tcPr>
          <w:p w:rsidR="00E77852" w:rsidRDefault="00662ADF">
            <w:pPr>
              <w:jc w:val="center"/>
            </w:pPr>
            <w:r>
              <w:t xml:space="preserve">56,21 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96,10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 xml:space="preserve">41,27 </w:t>
            </w:r>
          </w:p>
        </w:tc>
      </w:tr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Default="00662ADF">
            <w:r>
              <w:t>Налог на прибыль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28,22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27,54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69,20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-0,68</w:t>
            </w:r>
          </w:p>
        </w:tc>
        <w:tc>
          <w:tcPr>
            <w:tcW w:w="988" w:type="dxa"/>
            <w:vAlign w:val="center"/>
          </w:tcPr>
          <w:p w:rsidR="00E77852" w:rsidRDefault="00662ADF">
            <w:pPr>
              <w:jc w:val="center"/>
            </w:pPr>
            <w:r>
              <w:t xml:space="preserve">-2,40 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41,65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 xml:space="preserve">151,22 </w:t>
            </w:r>
          </w:p>
        </w:tc>
      </w:tr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Pr="001502B4" w:rsidRDefault="00662ADF">
            <w:r w:rsidRPr="001502B4">
              <w:t>Прибыль за период</w:t>
            </w:r>
          </w:p>
        </w:tc>
        <w:tc>
          <w:tcPr>
            <w:tcW w:w="1010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>120,87</w:t>
            </w:r>
          </w:p>
        </w:tc>
        <w:tc>
          <w:tcPr>
            <w:tcW w:w="1010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>205,34</w:t>
            </w:r>
          </w:p>
        </w:tc>
        <w:tc>
          <w:tcPr>
            <w:tcW w:w="1010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>259,80</w:t>
            </w:r>
          </w:p>
        </w:tc>
        <w:tc>
          <w:tcPr>
            <w:tcW w:w="1010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>84,48</w:t>
            </w:r>
          </w:p>
        </w:tc>
        <w:tc>
          <w:tcPr>
            <w:tcW w:w="988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 xml:space="preserve">69,89 </w:t>
            </w:r>
          </w:p>
        </w:tc>
        <w:tc>
          <w:tcPr>
            <w:tcW w:w="1010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>54,45</w:t>
            </w:r>
          </w:p>
        </w:tc>
        <w:tc>
          <w:tcPr>
            <w:tcW w:w="1010" w:type="dxa"/>
            <w:vAlign w:val="center"/>
          </w:tcPr>
          <w:p w:rsidR="00E77852" w:rsidRPr="001502B4" w:rsidRDefault="00662ADF">
            <w:pPr>
              <w:jc w:val="center"/>
            </w:pPr>
            <w:r w:rsidRPr="001502B4">
              <w:t xml:space="preserve">26,52 </w:t>
            </w:r>
          </w:p>
        </w:tc>
      </w:tr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Default="00662ADF">
            <w:r>
              <w:t>Рентабельность активов (ROA), %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1,43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1,81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1,99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0,38</w:t>
            </w:r>
          </w:p>
        </w:tc>
        <w:tc>
          <w:tcPr>
            <w:tcW w:w="988" w:type="dxa"/>
            <w:vAlign w:val="center"/>
          </w:tcPr>
          <w:p w:rsidR="00E77852" w:rsidRDefault="00662ADF">
            <w:pPr>
              <w:jc w:val="center"/>
            </w:pPr>
            <w:r>
              <w:t xml:space="preserve">26,57 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0,18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 xml:space="preserve">9,94 </w:t>
            </w:r>
          </w:p>
        </w:tc>
      </w:tr>
      <w:tr w:rsidR="00E77852" w:rsidTr="00CC6F99">
        <w:trPr>
          <w:trHeight w:val="657"/>
        </w:trPr>
        <w:tc>
          <w:tcPr>
            <w:tcW w:w="2660" w:type="dxa"/>
            <w:vAlign w:val="center"/>
          </w:tcPr>
          <w:p w:rsidR="00E77852" w:rsidRDefault="00662ADF">
            <w:r>
              <w:t>Рентабельность капитала (ROE), %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14,11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21,13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23,10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7,02</w:t>
            </w:r>
          </w:p>
        </w:tc>
        <w:tc>
          <w:tcPr>
            <w:tcW w:w="988" w:type="dxa"/>
            <w:vAlign w:val="center"/>
          </w:tcPr>
          <w:p w:rsidR="00E77852" w:rsidRDefault="00662ADF">
            <w:pPr>
              <w:jc w:val="center"/>
            </w:pPr>
            <w:r>
              <w:t xml:space="preserve">49,75 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>1,97</w:t>
            </w:r>
          </w:p>
        </w:tc>
        <w:tc>
          <w:tcPr>
            <w:tcW w:w="1010" w:type="dxa"/>
            <w:vAlign w:val="center"/>
          </w:tcPr>
          <w:p w:rsidR="00E77852" w:rsidRDefault="00662ADF">
            <w:pPr>
              <w:jc w:val="center"/>
            </w:pPr>
            <w:r>
              <w:t xml:space="preserve">9,32 </w:t>
            </w:r>
          </w:p>
        </w:tc>
      </w:tr>
    </w:tbl>
    <w:p w:rsidR="00E77852" w:rsidRDefault="00E77852" w:rsidP="006353CF">
      <w:pPr>
        <w:spacing w:after="120"/>
        <w:rPr>
          <w:sz w:val="28"/>
        </w:rPr>
      </w:pPr>
    </w:p>
    <w:p w:rsidR="00E77852" w:rsidRDefault="00662ADF" w:rsidP="00DF7E52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Чистая прибыль банка выросла со 120,87 млрд руб. в 2023 году до 259,80 млрд руб. в 2025 году, то есть более чем в 2,1 раза, при этом темп прироста прибыли н</w:t>
      </w:r>
      <w:r w:rsidR="009F23D2">
        <w:rPr>
          <w:sz w:val="28"/>
          <w:szCs w:val="28"/>
          <w:lang w:eastAsia="ar-SA"/>
        </w:rPr>
        <w:t>есколько замедлился в 2025 году</w:t>
      </w:r>
      <w:r>
        <w:rPr>
          <w:sz w:val="28"/>
          <w:szCs w:val="28"/>
          <w:lang w:eastAsia="ar-SA"/>
        </w:rPr>
        <w:t xml:space="preserve"> на фоне опережающего роста налоговых отчислений. Показатели рентабельности активов (ROA) и капитала (ROE) стабильно росли на пр</w:t>
      </w:r>
      <w:r w:rsidR="00411637">
        <w:rPr>
          <w:sz w:val="28"/>
          <w:szCs w:val="28"/>
          <w:lang w:eastAsia="ar-SA"/>
        </w:rPr>
        <w:t>отяжении всего периода — с 1,43 процентов</w:t>
      </w:r>
      <w:r>
        <w:rPr>
          <w:sz w:val="28"/>
          <w:szCs w:val="28"/>
          <w:lang w:eastAsia="ar-SA"/>
        </w:rPr>
        <w:t xml:space="preserve"> до 1,99</w:t>
      </w:r>
      <w:r w:rsidR="00411637">
        <w:rPr>
          <w:sz w:val="28"/>
          <w:szCs w:val="28"/>
          <w:lang w:eastAsia="ar-SA"/>
        </w:rPr>
        <w:t xml:space="preserve"> процентов и с 14,11 процентов до 23,10 процентов</w:t>
      </w:r>
      <w:r>
        <w:rPr>
          <w:sz w:val="28"/>
          <w:szCs w:val="28"/>
          <w:lang w:eastAsia="ar-SA"/>
        </w:rPr>
        <w:t xml:space="preserve"> соответственно, что подтверждает повышение эффективности использования активов и капитала банка.</w:t>
      </w:r>
    </w:p>
    <w:p w:rsidR="00E77852" w:rsidRDefault="00662ADF" w:rsidP="006353CF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Структура и динамика активов банка, отражающая результаты активных опера</w:t>
      </w:r>
      <w:r w:rsidR="00132463">
        <w:rPr>
          <w:sz w:val="28"/>
          <w:szCs w:val="28"/>
          <w:lang w:eastAsia="ar-SA"/>
        </w:rPr>
        <w:t>ций, представлена в таблице 1.4</w:t>
      </w:r>
      <w:r>
        <w:rPr>
          <w:sz w:val="28"/>
          <w:szCs w:val="28"/>
          <w:lang w:eastAsia="ar-SA"/>
        </w:rPr>
        <w:t xml:space="preserve"> </w:t>
      </w:r>
    </w:p>
    <w:p w:rsidR="006353CF" w:rsidRPr="006353CF" w:rsidRDefault="00132463" w:rsidP="006353CF">
      <w:pPr>
        <w:spacing w:after="120"/>
        <w:rPr>
          <w:sz w:val="28"/>
        </w:rPr>
      </w:pPr>
      <w:r>
        <w:rPr>
          <w:sz w:val="28"/>
        </w:rPr>
        <w:lastRenderedPageBreak/>
        <w:t xml:space="preserve">Таблица 1.4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="006353CF">
        <w:rPr>
          <w:sz w:val="28"/>
        </w:rPr>
        <w:t xml:space="preserve"> Структура и динамика активов АО «Альфа-Банк», 2023–2025 гг., млрд руб.</w:t>
      </w:r>
    </w:p>
    <w:tbl>
      <w:tblPr>
        <w:tblStyle w:val="a9"/>
        <w:tblW w:w="9607" w:type="dxa"/>
        <w:tblLook w:val="04A0" w:firstRow="1" w:lastRow="0" w:firstColumn="1" w:lastColumn="0" w:noHBand="0" w:noVBand="1"/>
      </w:tblPr>
      <w:tblGrid>
        <w:gridCol w:w="1756"/>
        <w:gridCol w:w="1083"/>
        <w:gridCol w:w="1219"/>
        <w:gridCol w:w="1354"/>
        <w:gridCol w:w="1083"/>
        <w:gridCol w:w="949"/>
        <w:gridCol w:w="1184"/>
        <w:gridCol w:w="979"/>
      </w:tblGrid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Показатель</w:t>
            </w:r>
          </w:p>
        </w:tc>
        <w:tc>
          <w:tcPr>
            <w:tcW w:w="1083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2023</w:t>
            </w:r>
          </w:p>
        </w:tc>
        <w:tc>
          <w:tcPr>
            <w:tcW w:w="1219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2024</w:t>
            </w:r>
          </w:p>
        </w:tc>
        <w:tc>
          <w:tcPr>
            <w:tcW w:w="1354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2025</w:t>
            </w:r>
          </w:p>
        </w:tc>
        <w:tc>
          <w:tcPr>
            <w:tcW w:w="1083" w:type="dxa"/>
            <w:vAlign w:val="center"/>
          </w:tcPr>
          <w:p w:rsidR="00E77852" w:rsidRPr="00D92961" w:rsidRDefault="00E414B9">
            <w:pPr>
              <w:jc w:val="center"/>
            </w:pPr>
            <w:r w:rsidRPr="00D92961">
              <w:t>Изм.</w:t>
            </w:r>
            <w:r w:rsidR="00662ADF" w:rsidRPr="00D92961">
              <w:t xml:space="preserve"> 24/23</w:t>
            </w:r>
          </w:p>
        </w:tc>
        <w:tc>
          <w:tcPr>
            <w:tcW w:w="949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Темп</w:t>
            </w:r>
            <w:r w:rsidR="00E414B9" w:rsidRPr="00D92961">
              <w:t xml:space="preserve"> роста</w:t>
            </w:r>
            <w:r w:rsidRPr="00D92961">
              <w:t xml:space="preserve"> 24/23, %</w:t>
            </w:r>
          </w:p>
        </w:tc>
        <w:tc>
          <w:tcPr>
            <w:tcW w:w="1184" w:type="dxa"/>
            <w:vAlign w:val="center"/>
          </w:tcPr>
          <w:p w:rsidR="00E77852" w:rsidRPr="00D92961" w:rsidRDefault="00D92961">
            <w:pPr>
              <w:jc w:val="center"/>
            </w:pPr>
            <w:r>
              <w:t>Изм.</w:t>
            </w:r>
            <w:r w:rsidR="00662ADF" w:rsidRPr="00D92961">
              <w:t xml:space="preserve"> 25/24</w:t>
            </w:r>
          </w:p>
        </w:tc>
        <w:tc>
          <w:tcPr>
            <w:tcW w:w="979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 xml:space="preserve">Темп </w:t>
            </w:r>
            <w:r w:rsidR="00E414B9" w:rsidRPr="00D92961">
              <w:t xml:space="preserve">роста </w:t>
            </w:r>
            <w:r w:rsidRPr="00D92961">
              <w:t>25/24, %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Денежные средства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139,81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159,28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183,29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19,47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13,93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24,01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15,07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Средства в ЦБ РФ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451,76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207,46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405,82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-244,30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-54,08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198,35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95,61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Средства в кредитных организациях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78,69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110,03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52,28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31,34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39,82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-57,75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-52,48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Финансовые активы по справедливой стоимости через прибыль/убыток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190,46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232,12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275,76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41,66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21,87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43,64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18,80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Чистая ссудная задолженность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6 204,16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8 550,63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9 256,31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2 346,47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37,82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705,68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8,25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 xml:space="preserve">Чистые вложения в </w:t>
            </w:r>
            <w:r w:rsidR="001523FE">
              <w:t>фин. активы</w:t>
            </w:r>
            <w:r>
              <w:t xml:space="preserve"> через прочий совокупный доход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547,97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1 149,76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1 391,96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601,79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109,82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242,20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21,07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Чистые вложения в ценные бумаги (амортизированная стоимость)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389,44</w:t>
            </w:r>
          </w:p>
        </w:tc>
        <w:tc>
          <w:tcPr>
            <w:tcW w:w="121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467,25</w:t>
            </w:r>
          </w:p>
        </w:tc>
        <w:tc>
          <w:tcPr>
            <w:tcW w:w="135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930,61</w:t>
            </w:r>
          </w:p>
        </w:tc>
        <w:tc>
          <w:tcPr>
            <w:tcW w:w="1083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77,81</w:t>
            </w:r>
          </w:p>
        </w:tc>
        <w:tc>
          <w:tcPr>
            <w:tcW w:w="94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19,98 </w:t>
            </w:r>
          </w:p>
        </w:tc>
        <w:tc>
          <w:tcPr>
            <w:tcW w:w="1184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>463,36</w:t>
            </w:r>
          </w:p>
        </w:tc>
        <w:tc>
          <w:tcPr>
            <w:tcW w:w="979" w:type="dxa"/>
            <w:vAlign w:val="center"/>
          </w:tcPr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9E3952" w:rsidRDefault="009E3952">
            <w:pPr>
              <w:jc w:val="center"/>
            </w:pPr>
          </w:p>
          <w:p w:rsidR="00E77852" w:rsidRDefault="00662ADF">
            <w:pPr>
              <w:jc w:val="center"/>
            </w:pPr>
            <w:r>
              <w:t xml:space="preserve">99,17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Default="00662ADF">
            <w:r>
              <w:t>Прочее</w:t>
            </w:r>
          </w:p>
        </w:tc>
        <w:tc>
          <w:tcPr>
            <w:tcW w:w="1083" w:type="dxa"/>
            <w:vAlign w:val="center"/>
          </w:tcPr>
          <w:p w:rsidR="00E77852" w:rsidRDefault="00662ADF">
            <w:pPr>
              <w:jc w:val="center"/>
            </w:pPr>
            <w:r>
              <w:t>470,96</w:t>
            </w:r>
          </w:p>
        </w:tc>
        <w:tc>
          <w:tcPr>
            <w:tcW w:w="1219" w:type="dxa"/>
            <w:vAlign w:val="center"/>
          </w:tcPr>
          <w:p w:rsidR="00E77852" w:rsidRDefault="00662ADF">
            <w:pPr>
              <w:jc w:val="center"/>
            </w:pPr>
            <w:r>
              <w:t>465,54</w:t>
            </w:r>
          </w:p>
        </w:tc>
        <w:tc>
          <w:tcPr>
            <w:tcW w:w="1354" w:type="dxa"/>
            <w:vAlign w:val="center"/>
          </w:tcPr>
          <w:p w:rsidR="00E77852" w:rsidRDefault="00662ADF">
            <w:pPr>
              <w:jc w:val="center"/>
            </w:pPr>
            <w:r>
              <w:t>549,25</w:t>
            </w:r>
          </w:p>
        </w:tc>
        <w:tc>
          <w:tcPr>
            <w:tcW w:w="1083" w:type="dxa"/>
            <w:vAlign w:val="center"/>
          </w:tcPr>
          <w:p w:rsidR="00E77852" w:rsidRDefault="00662ADF">
            <w:pPr>
              <w:jc w:val="center"/>
            </w:pPr>
            <w:r>
              <w:t>-5,42</w:t>
            </w:r>
          </w:p>
        </w:tc>
        <w:tc>
          <w:tcPr>
            <w:tcW w:w="949" w:type="dxa"/>
            <w:vAlign w:val="center"/>
          </w:tcPr>
          <w:p w:rsidR="00E77852" w:rsidRDefault="00662ADF">
            <w:pPr>
              <w:jc w:val="center"/>
            </w:pPr>
            <w:r>
              <w:t xml:space="preserve">-1,15 </w:t>
            </w:r>
          </w:p>
        </w:tc>
        <w:tc>
          <w:tcPr>
            <w:tcW w:w="1184" w:type="dxa"/>
            <w:vAlign w:val="center"/>
          </w:tcPr>
          <w:p w:rsidR="00E77852" w:rsidRDefault="00662ADF">
            <w:pPr>
              <w:jc w:val="center"/>
            </w:pPr>
            <w:r>
              <w:t>83,72</w:t>
            </w:r>
          </w:p>
        </w:tc>
        <w:tc>
          <w:tcPr>
            <w:tcW w:w="979" w:type="dxa"/>
            <w:vAlign w:val="center"/>
          </w:tcPr>
          <w:p w:rsidR="00E77852" w:rsidRDefault="00662ADF">
            <w:pPr>
              <w:jc w:val="center"/>
            </w:pPr>
            <w:r>
              <w:t xml:space="preserve">17,98 </w:t>
            </w:r>
          </w:p>
        </w:tc>
      </w:tr>
      <w:tr w:rsidR="001502B4" w:rsidTr="006353CF">
        <w:trPr>
          <w:trHeight w:val="454"/>
        </w:trPr>
        <w:tc>
          <w:tcPr>
            <w:tcW w:w="1756" w:type="dxa"/>
            <w:vAlign w:val="center"/>
          </w:tcPr>
          <w:p w:rsidR="00E77852" w:rsidRPr="00D92961" w:rsidRDefault="00662ADF">
            <w:r w:rsidRPr="00D92961">
              <w:t>Всего активов</w:t>
            </w:r>
          </w:p>
        </w:tc>
        <w:tc>
          <w:tcPr>
            <w:tcW w:w="1083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8 473,26</w:t>
            </w:r>
          </w:p>
        </w:tc>
        <w:tc>
          <w:tcPr>
            <w:tcW w:w="1219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11 342,07</w:t>
            </w:r>
          </w:p>
        </w:tc>
        <w:tc>
          <w:tcPr>
            <w:tcW w:w="1354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13 045,29</w:t>
            </w:r>
          </w:p>
        </w:tc>
        <w:tc>
          <w:tcPr>
            <w:tcW w:w="1083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2 868,82</w:t>
            </w:r>
          </w:p>
        </w:tc>
        <w:tc>
          <w:tcPr>
            <w:tcW w:w="949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 xml:space="preserve">33,86 </w:t>
            </w:r>
          </w:p>
        </w:tc>
        <w:tc>
          <w:tcPr>
            <w:tcW w:w="1184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1 703,21</w:t>
            </w:r>
          </w:p>
        </w:tc>
        <w:tc>
          <w:tcPr>
            <w:tcW w:w="979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 xml:space="preserve">15,02 </w:t>
            </w:r>
          </w:p>
        </w:tc>
      </w:tr>
    </w:tbl>
    <w:p w:rsidR="00E77852" w:rsidRDefault="00662ADF" w:rsidP="00132463">
      <w:pPr>
        <w:pStyle w:val="a8"/>
        <w:spacing w:before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Совокупные активы банка выросли с 8 473,26 млрд руб. в 2023 году до 13 045,29 мл</w:t>
      </w:r>
      <w:r w:rsidR="00411637">
        <w:rPr>
          <w:sz w:val="28"/>
          <w:szCs w:val="28"/>
          <w:lang w:eastAsia="ar-SA"/>
        </w:rPr>
        <w:t>рд руб. в 2025 году (прирост 54 процента</w:t>
      </w:r>
      <w:r>
        <w:rPr>
          <w:sz w:val="28"/>
          <w:szCs w:val="28"/>
          <w:lang w:eastAsia="ar-SA"/>
        </w:rPr>
        <w:t xml:space="preserve">). Основным </w:t>
      </w:r>
      <w:r w:rsidR="00411637">
        <w:rPr>
          <w:sz w:val="28"/>
          <w:szCs w:val="28"/>
          <w:lang w:eastAsia="ar-SA"/>
        </w:rPr>
        <w:t xml:space="preserve">фактором </w:t>
      </w:r>
      <w:r>
        <w:rPr>
          <w:sz w:val="28"/>
          <w:szCs w:val="28"/>
          <w:lang w:eastAsia="ar-SA"/>
        </w:rPr>
        <w:t>роста выступает чистая ссудная задолженность, доля</w:t>
      </w:r>
      <w:r w:rsidR="00411637">
        <w:rPr>
          <w:sz w:val="28"/>
          <w:szCs w:val="28"/>
          <w:lang w:eastAsia="ar-SA"/>
        </w:rPr>
        <w:t xml:space="preserve"> которой в активах превышает 70 процентов</w:t>
      </w:r>
      <w:r>
        <w:rPr>
          <w:sz w:val="28"/>
          <w:szCs w:val="28"/>
          <w:lang w:eastAsia="ar-SA"/>
        </w:rPr>
        <w:t>. Заметный рост в 2025 году также показали вложения в ценные бумаги, оцениваемые по амо</w:t>
      </w:r>
      <w:r w:rsidR="00411637">
        <w:rPr>
          <w:sz w:val="28"/>
          <w:szCs w:val="28"/>
          <w:lang w:eastAsia="ar-SA"/>
        </w:rPr>
        <w:t>ртизированной стоимости (плюс 99,17 процентов</w:t>
      </w:r>
      <w:r>
        <w:rPr>
          <w:sz w:val="28"/>
          <w:szCs w:val="28"/>
          <w:lang w:eastAsia="ar-SA"/>
        </w:rPr>
        <w:t>), что говорит о диверсификации портфеля банка в пользу более консервативных инструментов.</w:t>
      </w:r>
    </w:p>
    <w:p w:rsidR="00E77852" w:rsidRDefault="00662ADF" w:rsidP="00132463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Структура и динамика обязательств банка, отражающая результаты пассивных операций, представлена в</w:t>
      </w:r>
      <w:r w:rsidR="00132463">
        <w:rPr>
          <w:sz w:val="28"/>
          <w:szCs w:val="28"/>
          <w:lang w:eastAsia="ar-SA"/>
        </w:rPr>
        <w:t xml:space="preserve"> таблице 1.5</w:t>
      </w:r>
    </w:p>
    <w:p w:rsidR="00B072A7" w:rsidRPr="00B072A7" w:rsidRDefault="00B072A7" w:rsidP="00B072A7">
      <w:pPr>
        <w:spacing w:after="120"/>
        <w:rPr>
          <w:sz w:val="28"/>
        </w:rPr>
      </w:pPr>
      <w:r>
        <w:rPr>
          <w:sz w:val="28"/>
        </w:rPr>
        <w:t xml:space="preserve">Таблица 1.5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>
        <w:rPr>
          <w:sz w:val="28"/>
        </w:rPr>
        <w:t xml:space="preserve"> Структура и динамика обязательств АО «Альфа-Банк», 2023–2025 гг., млрд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275"/>
        <w:gridCol w:w="1134"/>
        <w:gridCol w:w="1152"/>
        <w:gridCol w:w="1242"/>
        <w:gridCol w:w="1002"/>
      </w:tblGrid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Показатель</w:t>
            </w:r>
          </w:p>
        </w:tc>
        <w:tc>
          <w:tcPr>
            <w:tcW w:w="1134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2023</w:t>
            </w:r>
          </w:p>
        </w:tc>
        <w:tc>
          <w:tcPr>
            <w:tcW w:w="1276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2024</w:t>
            </w:r>
          </w:p>
        </w:tc>
        <w:tc>
          <w:tcPr>
            <w:tcW w:w="1275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2025</w:t>
            </w:r>
          </w:p>
        </w:tc>
        <w:tc>
          <w:tcPr>
            <w:tcW w:w="1134" w:type="dxa"/>
            <w:vAlign w:val="center"/>
          </w:tcPr>
          <w:p w:rsidR="00E77852" w:rsidRPr="00D92961" w:rsidRDefault="00E414B9">
            <w:pPr>
              <w:jc w:val="center"/>
            </w:pPr>
            <w:r w:rsidRPr="00D92961">
              <w:t>Изм.</w:t>
            </w:r>
            <w:r w:rsidR="00662ADF" w:rsidRPr="00D92961">
              <w:t xml:space="preserve"> 24/23</w:t>
            </w:r>
          </w:p>
        </w:tc>
        <w:tc>
          <w:tcPr>
            <w:tcW w:w="1152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Темп</w:t>
            </w:r>
            <w:r w:rsidR="00E414B9" w:rsidRPr="00D92961">
              <w:t xml:space="preserve"> роста</w:t>
            </w:r>
            <w:r w:rsidRPr="00D92961">
              <w:t xml:space="preserve"> 24/23, %</w:t>
            </w:r>
          </w:p>
        </w:tc>
        <w:tc>
          <w:tcPr>
            <w:tcW w:w="1242" w:type="dxa"/>
            <w:vAlign w:val="center"/>
          </w:tcPr>
          <w:p w:rsidR="00E77852" w:rsidRPr="00D92961" w:rsidRDefault="00E414B9">
            <w:pPr>
              <w:jc w:val="center"/>
            </w:pPr>
            <w:r w:rsidRPr="00D92961">
              <w:t>Изм.</w:t>
            </w:r>
            <w:r w:rsidR="00662ADF" w:rsidRPr="00D92961">
              <w:t xml:space="preserve"> 25/24</w:t>
            </w:r>
          </w:p>
        </w:tc>
        <w:tc>
          <w:tcPr>
            <w:tcW w:w="1002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Темп</w:t>
            </w:r>
            <w:r w:rsidR="00E414B9" w:rsidRPr="00D92961">
              <w:t xml:space="preserve"> роста</w:t>
            </w:r>
            <w:r w:rsidRPr="00D92961">
              <w:t xml:space="preserve"> 25/24, %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Средства ЦБ РФ (кредиты, депозиты)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6,55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233,29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710,63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226,73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3 459,69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477,34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204,61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Средства клиентов (амортизированная стоимость)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7 123,59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9 518,12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10 665,93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2 394,53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33,61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1 147,81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12,06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Финансовые обязательства по справедливой стоимости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9,82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9,44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11,78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-0,38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-3,85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2,34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>24,74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Выпущенные долговые ценные бумаги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250,55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249,80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148,57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-0,75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-0,30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-101,23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-40,52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Субординированные кредиты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113,91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120,09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120,93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6,18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5,43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0,83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0,69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Обязательства по налогу на прибыль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2,04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4,91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9,37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2,87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140,88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4,47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91,04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Отложенные налоговые обязательства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3,34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3,80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2,53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0,45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13,54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-1,27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-33,44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Default="00662ADF">
            <w:r>
              <w:t>Прочее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205,93</w:t>
            </w:r>
          </w:p>
        </w:tc>
        <w:tc>
          <w:tcPr>
            <w:tcW w:w="1276" w:type="dxa"/>
            <w:vAlign w:val="center"/>
          </w:tcPr>
          <w:p w:rsidR="00E77852" w:rsidRDefault="00662ADF">
            <w:pPr>
              <w:jc w:val="center"/>
            </w:pPr>
            <w:r>
              <w:t>270,51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224,54</w:t>
            </w:r>
          </w:p>
        </w:tc>
        <w:tc>
          <w:tcPr>
            <w:tcW w:w="1134" w:type="dxa"/>
            <w:vAlign w:val="center"/>
          </w:tcPr>
          <w:p w:rsidR="00E77852" w:rsidRDefault="00662ADF">
            <w:pPr>
              <w:jc w:val="center"/>
            </w:pPr>
            <w:r>
              <w:t>64,58</w:t>
            </w:r>
          </w:p>
        </w:tc>
        <w:tc>
          <w:tcPr>
            <w:tcW w:w="1152" w:type="dxa"/>
            <w:vAlign w:val="center"/>
          </w:tcPr>
          <w:p w:rsidR="00E77852" w:rsidRDefault="00662ADF">
            <w:pPr>
              <w:jc w:val="center"/>
            </w:pPr>
            <w:r>
              <w:t xml:space="preserve">31,36 </w:t>
            </w:r>
          </w:p>
        </w:tc>
        <w:tc>
          <w:tcPr>
            <w:tcW w:w="1242" w:type="dxa"/>
            <w:vAlign w:val="center"/>
          </w:tcPr>
          <w:p w:rsidR="00E77852" w:rsidRDefault="00662ADF">
            <w:pPr>
              <w:jc w:val="center"/>
            </w:pPr>
            <w:r>
              <w:t>-45,97</w:t>
            </w:r>
          </w:p>
        </w:tc>
        <w:tc>
          <w:tcPr>
            <w:tcW w:w="1002" w:type="dxa"/>
            <w:vAlign w:val="center"/>
          </w:tcPr>
          <w:p w:rsidR="00E77852" w:rsidRDefault="00662ADF">
            <w:pPr>
              <w:jc w:val="center"/>
            </w:pPr>
            <w:r>
              <w:t xml:space="preserve">-17,00 </w:t>
            </w:r>
          </w:p>
        </w:tc>
      </w:tr>
      <w:tr w:rsidR="00477980" w:rsidTr="00477980">
        <w:trPr>
          <w:trHeight w:val="448"/>
        </w:trPr>
        <w:tc>
          <w:tcPr>
            <w:tcW w:w="1413" w:type="dxa"/>
            <w:vAlign w:val="center"/>
          </w:tcPr>
          <w:p w:rsidR="00E77852" w:rsidRPr="00D92961" w:rsidRDefault="00662ADF">
            <w:r w:rsidRPr="00D92961">
              <w:t>Всего обязательств</w:t>
            </w:r>
          </w:p>
        </w:tc>
        <w:tc>
          <w:tcPr>
            <w:tcW w:w="1134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7 715,74</w:t>
            </w:r>
          </w:p>
        </w:tc>
        <w:tc>
          <w:tcPr>
            <w:tcW w:w="1276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10 409,96</w:t>
            </w:r>
          </w:p>
        </w:tc>
        <w:tc>
          <w:tcPr>
            <w:tcW w:w="1275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11 894,28</w:t>
            </w:r>
          </w:p>
        </w:tc>
        <w:tc>
          <w:tcPr>
            <w:tcW w:w="1134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2 694,22</w:t>
            </w:r>
          </w:p>
        </w:tc>
        <w:tc>
          <w:tcPr>
            <w:tcW w:w="1152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 xml:space="preserve">34,92 </w:t>
            </w:r>
          </w:p>
        </w:tc>
        <w:tc>
          <w:tcPr>
            <w:tcW w:w="1242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>1 484,31</w:t>
            </w:r>
          </w:p>
        </w:tc>
        <w:tc>
          <w:tcPr>
            <w:tcW w:w="1002" w:type="dxa"/>
            <w:vAlign w:val="center"/>
          </w:tcPr>
          <w:p w:rsidR="00E77852" w:rsidRPr="00D92961" w:rsidRDefault="00662ADF">
            <w:pPr>
              <w:jc w:val="center"/>
            </w:pPr>
            <w:r w:rsidRPr="00D92961">
              <w:t xml:space="preserve">14,26 </w:t>
            </w:r>
          </w:p>
        </w:tc>
      </w:tr>
    </w:tbl>
    <w:p w:rsidR="00E77852" w:rsidRDefault="00662ADF" w:rsidP="00B072A7">
      <w:pPr>
        <w:pStyle w:val="a8"/>
        <w:spacing w:before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Основным источником фондирования банка остаются средства клиентов, доля которых в обязательствах </w:t>
      </w:r>
      <w:r w:rsidR="003E2978">
        <w:rPr>
          <w:sz w:val="28"/>
          <w:szCs w:val="28"/>
          <w:lang w:eastAsia="ar-SA"/>
        </w:rPr>
        <w:t>превышает 89 процентов</w:t>
      </w:r>
      <w:r>
        <w:rPr>
          <w:sz w:val="28"/>
          <w:szCs w:val="28"/>
          <w:lang w:eastAsia="ar-SA"/>
        </w:rPr>
        <w:t>. Обращает на себя внимание резкий рост объёма средств Центрального</w:t>
      </w:r>
      <w:r w:rsidR="00E21B77">
        <w:rPr>
          <w:sz w:val="28"/>
          <w:szCs w:val="28"/>
          <w:lang w:eastAsia="ar-SA"/>
        </w:rPr>
        <w:t xml:space="preserve"> банка РФ (кредиты и депозиты) </w:t>
      </w:r>
      <w:r w:rsidR="00E21B77" w:rsidRPr="00662ADF">
        <w:rPr>
          <w:rFonts w:eastAsia="SimSun"/>
          <w:color w:val="000000"/>
          <w:sz w:val="28"/>
          <w:szCs w:val="28"/>
          <w:lang w:eastAsia="zh-CN" w:bidi="ar"/>
        </w:rPr>
        <w:lastRenderedPageBreak/>
        <w:t>–</w:t>
      </w:r>
      <w:r>
        <w:rPr>
          <w:sz w:val="28"/>
          <w:szCs w:val="28"/>
          <w:lang w:eastAsia="ar-SA"/>
        </w:rPr>
        <w:t xml:space="preserve"> в 2024 году в 35 раз, а в 2025 году ещё в 3 раза, что может свидетельствовать об усилении роли рефинансирования Банка России в фондировании банка.</w:t>
      </w:r>
    </w:p>
    <w:p w:rsidR="00A14AB0" w:rsidRDefault="00662ADF" w:rsidP="00E21B77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Структура и динамика источников собственных средств ба</w:t>
      </w:r>
      <w:r w:rsidR="00B072A7">
        <w:rPr>
          <w:sz w:val="28"/>
          <w:szCs w:val="28"/>
          <w:lang w:eastAsia="ar-SA"/>
        </w:rPr>
        <w:t>нка представлена в таблице 1.6</w:t>
      </w:r>
    </w:p>
    <w:p w:rsidR="00E21B77" w:rsidRPr="00E21B77" w:rsidRDefault="00E21B77" w:rsidP="00E21B77">
      <w:pPr>
        <w:spacing w:after="120"/>
        <w:rPr>
          <w:sz w:val="28"/>
        </w:rPr>
      </w:pPr>
      <w:r>
        <w:rPr>
          <w:sz w:val="28"/>
        </w:rPr>
        <w:t xml:space="preserve">Таблица 1.6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>
        <w:rPr>
          <w:sz w:val="28"/>
        </w:rPr>
        <w:t xml:space="preserve"> Структура и динамика источников собственных средств АО «Альфа-Банк» с проверкой балансового равенства, 2023–2025 гг., млрд руб.</w:t>
      </w:r>
    </w:p>
    <w:tbl>
      <w:tblPr>
        <w:tblStyle w:val="a9"/>
        <w:tblW w:w="9720" w:type="dxa"/>
        <w:tblLook w:val="04A0" w:firstRow="1" w:lastRow="0" w:firstColumn="1" w:lastColumn="0" w:noHBand="0" w:noVBand="1"/>
      </w:tblPr>
      <w:tblGrid>
        <w:gridCol w:w="1554"/>
        <w:gridCol w:w="1133"/>
        <w:gridCol w:w="1274"/>
        <w:gridCol w:w="1275"/>
        <w:gridCol w:w="1133"/>
        <w:gridCol w:w="1133"/>
        <w:gridCol w:w="1282"/>
        <w:gridCol w:w="936"/>
      </w:tblGrid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Pr="00477980" w:rsidRDefault="00662ADF">
            <w:pPr>
              <w:jc w:val="center"/>
            </w:pPr>
            <w:r w:rsidRPr="00477980">
              <w:t>Показатель</w:t>
            </w:r>
          </w:p>
        </w:tc>
        <w:tc>
          <w:tcPr>
            <w:tcW w:w="1133" w:type="dxa"/>
            <w:vAlign w:val="center"/>
          </w:tcPr>
          <w:p w:rsidR="00E77852" w:rsidRPr="00477980" w:rsidRDefault="00662ADF">
            <w:pPr>
              <w:jc w:val="center"/>
            </w:pPr>
            <w:r w:rsidRPr="00477980">
              <w:t>2023</w:t>
            </w:r>
          </w:p>
        </w:tc>
        <w:tc>
          <w:tcPr>
            <w:tcW w:w="1274" w:type="dxa"/>
            <w:vAlign w:val="center"/>
          </w:tcPr>
          <w:p w:rsidR="00E77852" w:rsidRPr="00477980" w:rsidRDefault="00662ADF">
            <w:pPr>
              <w:jc w:val="center"/>
            </w:pPr>
            <w:r w:rsidRPr="00477980">
              <w:t>2024</w:t>
            </w:r>
          </w:p>
        </w:tc>
        <w:tc>
          <w:tcPr>
            <w:tcW w:w="1275" w:type="dxa"/>
            <w:vAlign w:val="center"/>
          </w:tcPr>
          <w:p w:rsidR="00E77852" w:rsidRPr="00477980" w:rsidRDefault="00662ADF">
            <w:pPr>
              <w:jc w:val="center"/>
            </w:pPr>
            <w:r w:rsidRPr="00477980">
              <w:t>2025</w:t>
            </w:r>
          </w:p>
        </w:tc>
        <w:tc>
          <w:tcPr>
            <w:tcW w:w="1133" w:type="dxa"/>
            <w:vAlign w:val="center"/>
          </w:tcPr>
          <w:p w:rsidR="00E77852" w:rsidRPr="00477980" w:rsidRDefault="00E414B9">
            <w:pPr>
              <w:jc w:val="center"/>
            </w:pPr>
            <w:r w:rsidRPr="00477980">
              <w:t>Изм.</w:t>
            </w:r>
            <w:r w:rsidR="00662ADF" w:rsidRPr="00477980">
              <w:t xml:space="preserve"> 24/23</w:t>
            </w:r>
          </w:p>
        </w:tc>
        <w:tc>
          <w:tcPr>
            <w:tcW w:w="1133" w:type="dxa"/>
            <w:vAlign w:val="center"/>
          </w:tcPr>
          <w:p w:rsidR="00E77852" w:rsidRPr="00477980" w:rsidRDefault="00662ADF">
            <w:pPr>
              <w:jc w:val="center"/>
            </w:pPr>
            <w:r w:rsidRPr="00477980">
              <w:t>Темп</w:t>
            </w:r>
            <w:r w:rsidR="00E414B9" w:rsidRPr="00477980">
              <w:t xml:space="preserve"> роста</w:t>
            </w:r>
            <w:r w:rsidRPr="00477980">
              <w:t xml:space="preserve"> 24/23, %</w:t>
            </w:r>
          </w:p>
        </w:tc>
        <w:tc>
          <w:tcPr>
            <w:tcW w:w="1282" w:type="dxa"/>
            <w:vAlign w:val="center"/>
          </w:tcPr>
          <w:p w:rsidR="00E77852" w:rsidRPr="00477980" w:rsidRDefault="00E414B9">
            <w:pPr>
              <w:jc w:val="center"/>
            </w:pPr>
            <w:r w:rsidRPr="00477980">
              <w:t>Изм.</w:t>
            </w:r>
            <w:r w:rsidR="00662ADF" w:rsidRPr="00477980">
              <w:t xml:space="preserve"> 25/24</w:t>
            </w:r>
          </w:p>
        </w:tc>
        <w:tc>
          <w:tcPr>
            <w:tcW w:w="936" w:type="dxa"/>
            <w:vAlign w:val="center"/>
          </w:tcPr>
          <w:p w:rsidR="00E77852" w:rsidRPr="00477980" w:rsidRDefault="00662ADF">
            <w:pPr>
              <w:jc w:val="center"/>
            </w:pPr>
            <w:r w:rsidRPr="00477980">
              <w:t xml:space="preserve">Темп </w:t>
            </w:r>
            <w:r w:rsidR="00E414B9" w:rsidRPr="00477980">
              <w:t xml:space="preserve">роста </w:t>
            </w:r>
            <w:r w:rsidRPr="00477980">
              <w:t>25/24, %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Default="00662ADF">
            <w:r>
              <w:t>Средства акционеров (уставный капитал)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59,59</w:t>
            </w:r>
          </w:p>
        </w:tc>
        <w:tc>
          <w:tcPr>
            <w:tcW w:w="1274" w:type="dxa"/>
            <w:vAlign w:val="center"/>
          </w:tcPr>
          <w:p w:rsidR="00E77852" w:rsidRDefault="00662ADF">
            <w:pPr>
              <w:jc w:val="center"/>
            </w:pPr>
            <w:r>
              <w:t>59,59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59,59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 xml:space="preserve">0,00 </w:t>
            </w:r>
          </w:p>
        </w:tc>
        <w:tc>
          <w:tcPr>
            <w:tcW w:w="1282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  <w:tc>
          <w:tcPr>
            <w:tcW w:w="936" w:type="dxa"/>
            <w:vAlign w:val="center"/>
          </w:tcPr>
          <w:p w:rsidR="00E77852" w:rsidRDefault="00662ADF">
            <w:pPr>
              <w:jc w:val="center"/>
            </w:pPr>
            <w:r>
              <w:t xml:space="preserve">0,00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Default="00662ADF">
            <w:r>
              <w:t>Эмиссионный доход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1,81</w:t>
            </w:r>
          </w:p>
        </w:tc>
        <w:tc>
          <w:tcPr>
            <w:tcW w:w="1274" w:type="dxa"/>
            <w:vAlign w:val="center"/>
          </w:tcPr>
          <w:p w:rsidR="00E77852" w:rsidRDefault="00662ADF">
            <w:pPr>
              <w:jc w:val="center"/>
            </w:pPr>
            <w:r>
              <w:t>1,81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1,81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 xml:space="preserve">0,00 </w:t>
            </w:r>
          </w:p>
        </w:tc>
        <w:tc>
          <w:tcPr>
            <w:tcW w:w="1282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  <w:tc>
          <w:tcPr>
            <w:tcW w:w="936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Default="00662ADF">
            <w:r>
              <w:t>Резервный фонд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2,98</w:t>
            </w:r>
          </w:p>
        </w:tc>
        <w:tc>
          <w:tcPr>
            <w:tcW w:w="1274" w:type="dxa"/>
            <w:vAlign w:val="center"/>
          </w:tcPr>
          <w:p w:rsidR="00E77852" w:rsidRDefault="00662ADF">
            <w:pPr>
              <w:jc w:val="center"/>
            </w:pPr>
            <w:r>
              <w:t>2,98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2,98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 xml:space="preserve">0,00 </w:t>
            </w:r>
          </w:p>
        </w:tc>
        <w:tc>
          <w:tcPr>
            <w:tcW w:w="1282" w:type="dxa"/>
            <w:vAlign w:val="center"/>
          </w:tcPr>
          <w:p w:rsidR="00E77852" w:rsidRDefault="00662ADF">
            <w:pPr>
              <w:jc w:val="center"/>
            </w:pPr>
            <w:r>
              <w:t>0,00</w:t>
            </w:r>
          </w:p>
        </w:tc>
        <w:tc>
          <w:tcPr>
            <w:tcW w:w="936" w:type="dxa"/>
            <w:vAlign w:val="center"/>
          </w:tcPr>
          <w:p w:rsidR="00E77852" w:rsidRDefault="00662ADF">
            <w:pPr>
              <w:jc w:val="center"/>
            </w:pPr>
            <w:r>
              <w:t xml:space="preserve">0,00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Default="00662ADF">
            <w:r>
              <w:t>Неиспользованная прибыль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594,32</w:t>
            </w:r>
          </w:p>
        </w:tc>
        <w:tc>
          <w:tcPr>
            <w:tcW w:w="1274" w:type="dxa"/>
            <w:vAlign w:val="center"/>
          </w:tcPr>
          <w:p w:rsidR="00E77852" w:rsidRDefault="00662ADF">
            <w:pPr>
              <w:jc w:val="center"/>
            </w:pPr>
            <w:r>
              <w:t>785,17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1 029,96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190,85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 xml:space="preserve">32,11 </w:t>
            </w:r>
          </w:p>
        </w:tc>
        <w:tc>
          <w:tcPr>
            <w:tcW w:w="1282" w:type="dxa"/>
            <w:vAlign w:val="center"/>
          </w:tcPr>
          <w:p w:rsidR="00E77852" w:rsidRDefault="00662ADF">
            <w:pPr>
              <w:jc w:val="center"/>
            </w:pPr>
            <w:r>
              <w:t>244,79</w:t>
            </w:r>
          </w:p>
        </w:tc>
        <w:tc>
          <w:tcPr>
            <w:tcW w:w="936" w:type="dxa"/>
            <w:vAlign w:val="center"/>
          </w:tcPr>
          <w:p w:rsidR="00E77852" w:rsidRDefault="00662ADF">
            <w:pPr>
              <w:jc w:val="center"/>
            </w:pPr>
            <w:r>
              <w:t xml:space="preserve">31,18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Default="00662ADF">
            <w:r>
              <w:t>Прочее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98,82</w:t>
            </w:r>
          </w:p>
        </w:tc>
        <w:tc>
          <w:tcPr>
            <w:tcW w:w="1274" w:type="dxa"/>
            <w:vAlign w:val="center"/>
          </w:tcPr>
          <w:p w:rsidR="00E77852" w:rsidRDefault="00662ADF">
            <w:pPr>
              <w:jc w:val="center"/>
            </w:pPr>
            <w:r>
              <w:t>82,57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56,67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-16,25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 xml:space="preserve">-16,45 </w:t>
            </w:r>
          </w:p>
        </w:tc>
        <w:tc>
          <w:tcPr>
            <w:tcW w:w="1282" w:type="dxa"/>
            <w:vAlign w:val="center"/>
          </w:tcPr>
          <w:p w:rsidR="00E77852" w:rsidRDefault="00662ADF">
            <w:pPr>
              <w:jc w:val="center"/>
            </w:pPr>
            <w:r>
              <w:t>-25,89</w:t>
            </w:r>
          </w:p>
        </w:tc>
        <w:tc>
          <w:tcPr>
            <w:tcW w:w="936" w:type="dxa"/>
            <w:vAlign w:val="center"/>
          </w:tcPr>
          <w:p w:rsidR="00E77852" w:rsidRDefault="00662ADF">
            <w:pPr>
              <w:jc w:val="center"/>
            </w:pPr>
            <w:r>
              <w:t xml:space="preserve">-31,36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Pr="00A14AB0" w:rsidRDefault="00662ADF">
            <w:r w:rsidRPr="00A14AB0">
              <w:t>Всего источников собственных средств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757,52</w:t>
            </w:r>
          </w:p>
        </w:tc>
        <w:tc>
          <w:tcPr>
            <w:tcW w:w="1274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932,11</w:t>
            </w:r>
          </w:p>
        </w:tc>
        <w:tc>
          <w:tcPr>
            <w:tcW w:w="1275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1 151,01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174,59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 xml:space="preserve">23,05 </w:t>
            </w:r>
          </w:p>
        </w:tc>
        <w:tc>
          <w:tcPr>
            <w:tcW w:w="1282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218,90</w:t>
            </w:r>
          </w:p>
        </w:tc>
        <w:tc>
          <w:tcPr>
            <w:tcW w:w="936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 xml:space="preserve">23,48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Default="00662ADF" w:rsidP="00A14AB0">
            <w:r>
              <w:t xml:space="preserve">Всего обязательств 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7 715,74</w:t>
            </w:r>
          </w:p>
        </w:tc>
        <w:tc>
          <w:tcPr>
            <w:tcW w:w="1274" w:type="dxa"/>
            <w:vAlign w:val="center"/>
          </w:tcPr>
          <w:p w:rsidR="00E77852" w:rsidRDefault="00662ADF">
            <w:pPr>
              <w:jc w:val="center"/>
            </w:pPr>
            <w:r>
              <w:t>10 409,96</w:t>
            </w:r>
          </w:p>
        </w:tc>
        <w:tc>
          <w:tcPr>
            <w:tcW w:w="1275" w:type="dxa"/>
            <w:vAlign w:val="center"/>
          </w:tcPr>
          <w:p w:rsidR="00E77852" w:rsidRDefault="00662ADF">
            <w:pPr>
              <w:jc w:val="center"/>
            </w:pPr>
            <w:r>
              <w:t>11 894,28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>2 694,22</w:t>
            </w:r>
          </w:p>
        </w:tc>
        <w:tc>
          <w:tcPr>
            <w:tcW w:w="1133" w:type="dxa"/>
            <w:vAlign w:val="center"/>
          </w:tcPr>
          <w:p w:rsidR="00E77852" w:rsidRDefault="00662ADF">
            <w:pPr>
              <w:jc w:val="center"/>
            </w:pPr>
            <w:r>
              <w:t xml:space="preserve">34,92 </w:t>
            </w:r>
          </w:p>
        </w:tc>
        <w:tc>
          <w:tcPr>
            <w:tcW w:w="1282" w:type="dxa"/>
            <w:vAlign w:val="center"/>
          </w:tcPr>
          <w:p w:rsidR="00E77852" w:rsidRDefault="00662ADF">
            <w:pPr>
              <w:jc w:val="center"/>
            </w:pPr>
            <w:r>
              <w:t>1 484,31</w:t>
            </w:r>
          </w:p>
        </w:tc>
        <w:tc>
          <w:tcPr>
            <w:tcW w:w="936" w:type="dxa"/>
            <w:vAlign w:val="center"/>
          </w:tcPr>
          <w:p w:rsidR="00E77852" w:rsidRDefault="00662ADF">
            <w:pPr>
              <w:jc w:val="center"/>
            </w:pPr>
            <w:r>
              <w:t xml:space="preserve">14,26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Pr="00A14AB0" w:rsidRDefault="00662ADF">
            <w:r w:rsidRPr="00A14AB0">
              <w:t>Обязательства + собственные средства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8 473,26</w:t>
            </w:r>
          </w:p>
        </w:tc>
        <w:tc>
          <w:tcPr>
            <w:tcW w:w="1274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11 342,07</w:t>
            </w:r>
          </w:p>
        </w:tc>
        <w:tc>
          <w:tcPr>
            <w:tcW w:w="1275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13 045,29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2 868,81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 xml:space="preserve">33,86 </w:t>
            </w:r>
          </w:p>
        </w:tc>
        <w:tc>
          <w:tcPr>
            <w:tcW w:w="1282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1 703,22</w:t>
            </w:r>
          </w:p>
        </w:tc>
        <w:tc>
          <w:tcPr>
            <w:tcW w:w="936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 xml:space="preserve">15,02 </w:t>
            </w:r>
          </w:p>
        </w:tc>
      </w:tr>
      <w:tr w:rsidR="00A14AB0" w:rsidTr="00A14AB0">
        <w:trPr>
          <w:trHeight w:val="431"/>
        </w:trPr>
        <w:tc>
          <w:tcPr>
            <w:tcW w:w="1554" w:type="dxa"/>
            <w:vAlign w:val="center"/>
          </w:tcPr>
          <w:p w:rsidR="00E77852" w:rsidRPr="00A14AB0" w:rsidRDefault="00662ADF">
            <w:r w:rsidRPr="00A14AB0">
              <w:t>Расхождение с активами (проверка)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0,00</w:t>
            </w:r>
          </w:p>
        </w:tc>
        <w:tc>
          <w:tcPr>
            <w:tcW w:w="1274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0,00</w:t>
            </w:r>
          </w:p>
        </w:tc>
        <w:tc>
          <w:tcPr>
            <w:tcW w:w="1275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0,00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—</w:t>
            </w:r>
          </w:p>
        </w:tc>
        <w:tc>
          <w:tcPr>
            <w:tcW w:w="1133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—</w:t>
            </w:r>
          </w:p>
        </w:tc>
        <w:tc>
          <w:tcPr>
            <w:tcW w:w="1282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—</w:t>
            </w:r>
          </w:p>
        </w:tc>
        <w:tc>
          <w:tcPr>
            <w:tcW w:w="936" w:type="dxa"/>
            <w:vAlign w:val="center"/>
          </w:tcPr>
          <w:p w:rsidR="00E77852" w:rsidRPr="00A14AB0" w:rsidRDefault="00662ADF">
            <w:pPr>
              <w:jc w:val="center"/>
            </w:pPr>
            <w:r w:rsidRPr="00A14AB0">
              <w:t>—</w:t>
            </w:r>
          </w:p>
        </w:tc>
      </w:tr>
    </w:tbl>
    <w:p w:rsidR="00E77852" w:rsidRDefault="00662ADF" w:rsidP="00E21B77">
      <w:pPr>
        <w:pStyle w:val="a8"/>
        <w:spacing w:before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Уставный капитал, эмиссионный доход и резервный фонд банка остаются неизменными на протяжении всего периода. Рост собственных средств обеспечивается исключительно за счёт капитализации нераспределённой прибыли, которая увеличилась с 594,32 млрд руб. до</w:t>
      </w:r>
      <w:r w:rsidR="00E414B9">
        <w:rPr>
          <w:sz w:val="28"/>
          <w:szCs w:val="28"/>
          <w:lang w:eastAsia="ar-SA"/>
        </w:rPr>
        <w:t xml:space="preserve"> 1</w:t>
      </w:r>
      <w:r w:rsidR="003E2978">
        <w:rPr>
          <w:sz w:val="28"/>
          <w:szCs w:val="28"/>
          <w:lang w:eastAsia="ar-SA"/>
        </w:rPr>
        <w:t>029,96 млрд руб. (прирост 73</w:t>
      </w:r>
      <w:r w:rsidR="003E2978" w:rsidRPr="003E2978">
        <w:rPr>
          <w:sz w:val="28"/>
          <w:szCs w:val="28"/>
          <w:lang w:eastAsia="ar-SA"/>
        </w:rPr>
        <w:t xml:space="preserve"> </w:t>
      </w:r>
      <w:r w:rsidR="003E2978">
        <w:rPr>
          <w:sz w:val="28"/>
          <w:szCs w:val="28"/>
          <w:lang w:eastAsia="ar-SA"/>
        </w:rPr>
        <w:t>процента</w:t>
      </w:r>
      <w:r>
        <w:rPr>
          <w:sz w:val="28"/>
          <w:szCs w:val="28"/>
          <w:lang w:eastAsia="ar-SA"/>
        </w:rPr>
        <w:t xml:space="preserve">). Проверка балансового равенства подтверждает, что итог активов точно </w:t>
      </w:r>
      <w:r>
        <w:rPr>
          <w:sz w:val="28"/>
          <w:szCs w:val="28"/>
          <w:lang w:eastAsia="ar-SA"/>
        </w:rPr>
        <w:lastRenderedPageBreak/>
        <w:t>равен сумме обязательств и собственных средств по всем трём анализируемым периодам.</w:t>
      </w:r>
    </w:p>
    <w:p w:rsidR="00A66868" w:rsidRDefault="00662ADF" w:rsidP="006C5FF9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Для оценки финансового положения банка рассчитаны коэффициенты, представленные в таблице 1.7.</w:t>
      </w:r>
    </w:p>
    <w:p w:rsidR="006C5FF9" w:rsidRPr="006C5FF9" w:rsidRDefault="005A4D84" w:rsidP="006C5FF9">
      <w:pPr>
        <w:spacing w:after="120"/>
        <w:rPr>
          <w:sz w:val="28"/>
        </w:rPr>
      </w:pPr>
      <w:r>
        <w:rPr>
          <w:sz w:val="28"/>
        </w:rPr>
        <w:t xml:space="preserve">Таблица 1.7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="006C5FF9">
        <w:rPr>
          <w:sz w:val="28"/>
        </w:rPr>
        <w:t xml:space="preserve"> Коэффициенты финансового положения АО «Альфа-Банк», 2023–2025 гг.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90"/>
        <w:gridCol w:w="1779"/>
        <w:gridCol w:w="1779"/>
        <w:gridCol w:w="1780"/>
      </w:tblGrid>
      <w:tr w:rsidR="00E77852" w:rsidTr="00C92917">
        <w:trPr>
          <w:trHeight w:val="493"/>
        </w:trPr>
        <w:tc>
          <w:tcPr>
            <w:tcW w:w="4343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Коэффициент</w:t>
            </w:r>
          </w:p>
        </w:tc>
        <w:tc>
          <w:tcPr>
            <w:tcW w:w="1796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2023</w:t>
            </w:r>
          </w:p>
        </w:tc>
        <w:tc>
          <w:tcPr>
            <w:tcW w:w="1796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2024</w:t>
            </w:r>
          </w:p>
        </w:tc>
        <w:tc>
          <w:tcPr>
            <w:tcW w:w="1797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2025</w:t>
            </w:r>
          </w:p>
        </w:tc>
      </w:tr>
      <w:tr w:rsidR="00E77852" w:rsidTr="00C92917">
        <w:trPr>
          <w:trHeight w:val="493"/>
        </w:trPr>
        <w:tc>
          <w:tcPr>
            <w:tcW w:w="4343" w:type="dxa"/>
            <w:vAlign w:val="center"/>
          </w:tcPr>
          <w:p w:rsidR="00E77852" w:rsidRDefault="00662ADF">
            <w:r>
              <w:t>Коэффициент достаточности собственных средств, % (капитал / активы)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10,11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8,57</w:t>
            </w:r>
          </w:p>
        </w:tc>
        <w:tc>
          <w:tcPr>
            <w:tcW w:w="1797" w:type="dxa"/>
            <w:vAlign w:val="center"/>
          </w:tcPr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8,62</w:t>
            </w:r>
          </w:p>
        </w:tc>
      </w:tr>
      <w:tr w:rsidR="00E77852" w:rsidTr="00C92917">
        <w:trPr>
          <w:trHeight w:val="493"/>
        </w:trPr>
        <w:tc>
          <w:tcPr>
            <w:tcW w:w="4343" w:type="dxa"/>
            <w:vAlign w:val="center"/>
          </w:tcPr>
          <w:p w:rsidR="00E77852" w:rsidRDefault="00662ADF">
            <w:r>
              <w:t>Коэффициент роста нетто-активов (индекс к предыдущему году)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—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1,339</w:t>
            </w:r>
          </w:p>
        </w:tc>
        <w:tc>
          <w:tcPr>
            <w:tcW w:w="1797" w:type="dxa"/>
            <w:vAlign w:val="center"/>
          </w:tcPr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1,150</w:t>
            </w:r>
          </w:p>
        </w:tc>
      </w:tr>
      <w:tr w:rsidR="00E77852" w:rsidTr="00C92917">
        <w:trPr>
          <w:trHeight w:val="493"/>
        </w:trPr>
        <w:tc>
          <w:tcPr>
            <w:tcW w:w="4343" w:type="dxa"/>
            <w:vAlign w:val="center"/>
          </w:tcPr>
          <w:p w:rsidR="00E77852" w:rsidRDefault="00662ADF">
            <w:r>
              <w:t>Коэффициент достаточности капитала, % (капитал / активы, взвешенные по риску)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12,61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10,39</w:t>
            </w:r>
          </w:p>
        </w:tc>
        <w:tc>
          <w:tcPr>
            <w:tcW w:w="1797" w:type="dxa"/>
            <w:vAlign w:val="center"/>
          </w:tcPr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11,12</w:t>
            </w:r>
          </w:p>
        </w:tc>
      </w:tr>
      <w:tr w:rsidR="00E77852" w:rsidTr="00C92917">
        <w:trPr>
          <w:trHeight w:val="493"/>
        </w:trPr>
        <w:tc>
          <w:tcPr>
            <w:tcW w:w="4343" w:type="dxa"/>
            <w:vAlign w:val="center"/>
          </w:tcPr>
          <w:p w:rsidR="00E77852" w:rsidRDefault="00662ADF">
            <w:r>
              <w:t>Коэффициент качества кредитного портфеля, % (резервы на возможные потери / чистая ссудная задолженность)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1,96</w:t>
            </w:r>
          </w:p>
        </w:tc>
        <w:tc>
          <w:tcPr>
            <w:tcW w:w="1796" w:type="dxa"/>
            <w:vAlign w:val="center"/>
          </w:tcPr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1,10</w:t>
            </w:r>
          </w:p>
        </w:tc>
        <w:tc>
          <w:tcPr>
            <w:tcW w:w="1797" w:type="dxa"/>
            <w:vAlign w:val="center"/>
          </w:tcPr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6C5FF9" w:rsidRDefault="006C5FF9">
            <w:pPr>
              <w:jc w:val="center"/>
            </w:pPr>
          </w:p>
          <w:p w:rsidR="00E77852" w:rsidRDefault="00662ADF">
            <w:pPr>
              <w:jc w:val="center"/>
            </w:pPr>
            <w:r>
              <w:t>1,49</w:t>
            </w:r>
          </w:p>
        </w:tc>
      </w:tr>
    </w:tbl>
    <w:p w:rsidR="00E77852" w:rsidRDefault="00662ADF" w:rsidP="006C5FF9">
      <w:pPr>
        <w:pStyle w:val="a8"/>
        <w:spacing w:before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Коэффициент достаточности собственных средств несколько снизился в 2024 году на фоне опережающего роста активов, однако стабилизировался в 2025 году. Коэффициент роста нетто-активов подтверждает высокие темпы экстенсивного рост</w:t>
      </w:r>
      <w:r w:rsidR="003E2978">
        <w:rPr>
          <w:sz w:val="28"/>
          <w:szCs w:val="28"/>
          <w:lang w:eastAsia="ar-SA"/>
        </w:rPr>
        <w:t>а банка, особенно в 2024 году</w:t>
      </w:r>
      <w:r>
        <w:rPr>
          <w:sz w:val="28"/>
          <w:szCs w:val="28"/>
          <w:lang w:eastAsia="ar-SA"/>
        </w:rPr>
        <w:t>. Снижение коэффициента качества кредитно</w:t>
      </w:r>
      <w:r w:rsidR="003E2978">
        <w:rPr>
          <w:sz w:val="28"/>
          <w:szCs w:val="28"/>
          <w:lang w:eastAsia="ar-SA"/>
        </w:rPr>
        <w:t>го портфеля в 2024 году (с 1,96 процента</w:t>
      </w:r>
      <w:r>
        <w:rPr>
          <w:sz w:val="28"/>
          <w:szCs w:val="28"/>
          <w:lang w:eastAsia="ar-SA"/>
        </w:rPr>
        <w:t xml:space="preserve"> до 1,</w:t>
      </w:r>
      <w:r w:rsidR="003E2978">
        <w:rPr>
          <w:sz w:val="28"/>
          <w:szCs w:val="28"/>
          <w:lang w:eastAsia="ar-SA"/>
        </w:rPr>
        <w:t>10 процента</w:t>
      </w:r>
      <w:r>
        <w:rPr>
          <w:sz w:val="28"/>
          <w:szCs w:val="28"/>
          <w:lang w:eastAsia="ar-SA"/>
        </w:rPr>
        <w:t>) говорит об улучшении качества ссудной задолженности, тогд</w:t>
      </w:r>
      <w:r w:rsidR="003E2978">
        <w:rPr>
          <w:sz w:val="28"/>
          <w:szCs w:val="28"/>
          <w:lang w:eastAsia="ar-SA"/>
        </w:rPr>
        <w:t>а как рост в 2025 году (до 1,49 процента</w:t>
      </w:r>
      <w:r>
        <w:rPr>
          <w:sz w:val="28"/>
          <w:szCs w:val="28"/>
          <w:lang w:eastAsia="ar-SA"/>
        </w:rPr>
        <w:t>) может указывать на некоторое увеличение кредитного риска в портфеле.</w:t>
      </w:r>
    </w:p>
    <w:p w:rsidR="000557AE" w:rsidRDefault="00290F6D" w:rsidP="000557AE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Важно проанализиро</w:t>
      </w:r>
      <w:r w:rsidR="003B4A8A">
        <w:rPr>
          <w:sz w:val="28"/>
          <w:szCs w:val="28"/>
          <w:lang w:eastAsia="ar-SA"/>
        </w:rPr>
        <w:t xml:space="preserve">вать выполняет ли </w:t>
      </w:r>
      <w:r>
        <w:rPr>
          <w:sz w:val="28"/>
          <w:szCs w:val="28"/>
          <w:lang w:eastAsia="ar-SA"/>
        </w:rPr>
        <w:t>АО «Альфа-Банк» все обязательные нормативы Банка России</w:t>
      </w:r>
      <w:r w:rsidR="003B4A8A">
        <w:rPr>
          <w:sz w:val="28"/>
          <w:szCs w:val="28"/>
          <w:lang w:eastAsia="ar-SA"/>
        </w:rPr>
        <w:t xml:space="preserve"> и нет ли критического снижения</w:t>
      </w:r>
      <w:r w:rsidR="003B4A8A">
        <w:rPr>
          <w:sz w:val="28"/>
          <w:szCs w:val="28"/>
          <w:lang w:eastAsia="ar-SA"/>
        </w:rPr>
        <w:t xml:space="preserve"> показателей достаточности капитала</w:t>
      </w:r>
      <w:r>
        <w:rPr>
          <w:sz w:val="28"/>
          <w:szCs w:val="28"/>
          <w:lang w:eastAsia="ar-SA"/>
        </w:rPr>
        <w:t xml:space="preserve">. </w:t>
      </w:r>
      <w:r w:rsidR="00662ADF">
        <w:rPr>
          <w:sz w:val="28"/>
          <w:szCs w:val="28"/>
          <w:lang w:eastAsia="ar-SA"/>
        </w:rPr>
        <w:t>Выполнение обязательных нормативов Банка России АО «Альфа-Банк» за 2023–2025 гг. в сопоставлении с минимально (максимально) допустимыми значениями, установленными Инструкцией Банка России от 29.11.2019 №</w:t>
      </w:r>
      <w:r w:rsidR="002A64A1">
        <w:rPr>
          <w:sz w:val="28"/>
          <w:szCs w:val="28"/>
          <w:lang w:eastAsia="ar-SA"/>
        </w:rPr>
        <w:t xml:space="preserve"> 199-И, приведено в таблице 1.8</w:t>
      </w:r>
    </w:p>
    <w:p w:rsidR="003B4A8A" w:rsidRDefault="003B4A8A" w:rsidP="000557AE">
      <w:pPr>
        <w:pStyle w:val="a8"/>
        <w:spacing w:after="240" w:line="360" w:lineRule="auto"/>
        <w:ind w:left="0" w:right="0" w:firstLine="709"/>
        <w:rPr>
          <w:sz w:val="28"/>
          <w:szCs w:val="28"/>
          <w:lang w:eastAsia="ar-SA"/>
        </w:rPr>
      </w:pPr>
    </w:p>
    <w:p w:rsidR="002A64A1" w:rsidRDefault="005A4D84" w:rsidP="002A64A1">
      <w:pPr>
        <w:pStyle w:val="a8"/>
        <w:spacing w:after="120"/>
        <w:ind w:left="0" w:right="0"/>
        <w:rPr>
          <w:sz w:val="28"/>
          <w:szCs w:val="28"/>
          <w:lang w:eastAsia="ar-SA"/>
        </w:rPr>
      </w:pPr>
      <w:r>
        <w:rPr>
          <w:sz w:val="28"/>
        </w:rPr>
        <w:lastRenderedPageBreak/>
        <w:t xml:space="preserve">Таблица 1.8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="002A64A1">
        <w:rPr>
          <w:sz w:val="28"/>
        </w:rPr>
        <w:t xml:space="preserve"> Выполнение обязательных нормативов АО «Альфа-Банк», 2023–2025 гг</w:t>
      </w:r>
      <w:r w:rsidR="002A64A1">
        <w:rPr>
          <w:sz w:val="28"/>
        </w:rPr>
        <w:t>.</w:t>
      </w:r>
    </w:p>
    <w:tbl>
      <w:tblPr>
        <w:tblStyle w:val="a9"/>
        <w:tblW w:w="9653" w:type="dxa"/>
        <w:tblLook w:val="04A0" w:firstRow="1" w:lastRow="0" w:firstColumn="1" w:lastColumn="0" w:noHBand="0" w:noVBand="1"/>
      </w:tblPr>
      <w:tblGrid>
        <w:gridCol w:w="3132"/>
        <w:gridCol w:w="1661"/>
        <w:gridCol w:w="1620"/>
        <w:gridCol w:w="1620"/>
        <w:gridCol w:w="1620"/>
      </w:tblGrid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Норматив</w:t>
            </w:r>
          </w:p>
        </w:tc>
        <w:tc>
          <w:tcPr>
            <w:tcW w:w="1661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Мин./макс. значение, %</w:t>
            </w:r>
          </w:p>
        </w:tc>
        <w:tc>
          <w:tcPr>
            <w:tcW w:w="1620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2023, %</w:t>
            </w:r>
          </w:p>
        </w:tc>
        <w:tc>
          <w:tcPr>
            <w:tcW w:w="1620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2024, %</w:t>
            </w:r>
          </w:p>
        </w:tc>
        <w:tc>
          <w:tcPr>
            <w:tcW w:w="1620" w:type="dxa"/>
            <w:vAlign w:val="center"/>
          </w:tcPr>
          <w:p w:rsidR="00E77852" w:rsidRPr="00A66868" w:rsidRDefault="00662ADF">
            <w:pPr>
              <w:jc w:val="center"/>
            </w:pPr>
            <w:r w:rsidRPr="00A66868">
              <w:t>2025, %</w:t>
            </w:r>
          </w:p>
        </w:tc>
      </w:tr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Default="00662ADF" w:rsidP="006C5FF9">
            <w:r>
              <w:t>Н1.1 — достаточность базового капитала</w:t>
            </w:r>
          </w:p>
        </w:tc>
        <w:tc>
          <w:tcPr>
            <w:tcW w:w="1661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≥ 4,5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8,649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7,483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8,518</w:t>
            </w:r>
          </w:p>
        </w:tc>
      </w:tr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Default="00662ADF" w:rsidP="006C5FF9">
            <w:r>
              <w:t>Н1.2 — достаточность основного капитала</w:t>
            </w:r>
          </w:p>
        </w:tc>
        <w:tc>
          <w:tcPr>
            <w:tcW w:w="1661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≥ 6,0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9,723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8,283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9,104</w:t>
            </w:r>
          </w:p>
        </w:tc>
      </w:tr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Default="00662ADF" w:rsidP="006C5FF9">
            <w:r>
              <w:t>Н1.0 — достаточность собственных средств (капитала)</w:t>
            </w:r>
          </w:p>
        </w:tc>
        <w:tc>
          <w:tcPr>
            <w:tcW w:w="1661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≥ 8,0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12,607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10,394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11,119</w:t>
            </w:r>
          </w:p>
        </w:tc>
      </w:tr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Default="00662ADF" w:rsidP="006C5FF9">
            <w:r>
              <w:t>Н2 — мгновенная ликвидность</w:t>
            </w:r>
          </w:p>
        </w:tc>
        <w:tc>
          <w:tcPr>
            <w:tcW w:w="1661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≥ 15,0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150,834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229,047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78,548</w:t>
            </w:r>
          </w:p>
        </w:tc>
      </w:tr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Default="00662ADF" w:rsidP="006C5FF9">
            <w:r>
              <w:t>Н3 — текущая ликвидность</w:t>
            </w:r>
          </w:p>
        </w:tc>
        <w:tc>
          <w:tcPr>
            <w:tcW w:w="1661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≥ 50,0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96,993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108,464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77,220</w:t>
            </w:r>
          </w:p>
        </w:tc>
      </w:tr>
      <w:tr w:rsidR="00E77852" w:rsidTr="000557AE">
        <w:trPr>
          <w:trHeight w:val="906"/>
        </w:trPr>
        <w:tc>
          <w:tcPr>
            <w:tcW w:w="3132" w:type="dxa"/>
            <w:vAlign w:val="center"/>
          </w:tcPr>
          <w:p w:rsidR="00E77852" w:rsidRDefault="00662ADF" w:rsidP="006C5FF9">
            <w:r>
              <w:t>Н4 — долгосрочная ликвидность</w:t>
            </w:r>
          </w:p>
        </w:tc>
        <w:tc>
          <w:tcPr>
            <w:tcW w:w="1661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≤ 120,0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68,396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63,753</w:t>
            </w:r>
          </w:p>
        </w:tc>
        <w:tc>
          <w:tcPr>
            <w:tcW w:w="1620" w:type="dxa"/>
            <w:vAlign w:val="center"/>
          </w:tcPr>
          <w:p w:rsidR="002A64A1" w:rsidRDefault="002A64A1" w:rsidP="002A64A1">
            <w:pPr>
              <w:jc w:val="center"/>
            </w:pPr>
          </w:p>
          <w:p w:rsidR="00E77852" w:rsidRDefault="00662ADF" w:rsidP="002A64A1">
            <w:pPr>
              <w:jc w:val="center"/>
            </w:pPr>
            <w:r>
              <w:t>52,547</w:t>
            </w:r>
          </w:p>
        </w:tc>
      </w:tr>
    </w:tbl>
    <w:p w:rsidR="00E77852" w:rsidRDefault="00662ADF" w:rsidP="005A4D84">
      <w:pPr>
        <w:pStyle w:val="a8"/>
        <w:spacing w:before="240"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протяжении всего анализируемого периода АО «Альфа-Банк» выполняет все обязательные нормативы Банка России со значительным запасом. Наиболее заметное снижение показателей достаточности капитала произошло в 2024 году вследствие опережающего роста активов, взвешенных по риску, над темпом роста собственных средств; в 2025 году показатели капитала восстановились. Норматив мгновенной ликвидности Н2, напроти</w:t>
      </w:r>
      <w:r w:rsidR="00F56564">
        <w:rPr>
          <w:sz w:val="28"/>
          <w:szCs w:val="28"/>
          <w:lang w:eastAsia="ar-SA"/>
        </w:rPr>
        <w:t>в, снизился в 2025 году до 78,5 процентов</w:t>
      </w:r>
      <w:r w:rsidR="003B4A8A">
        <w:rPr>
          <w:sz w:val="28"/>
          <w:szCs w:val="28"/>
          <w:lang w:eastAsia="ar-SA"/>
        </w:rPr>
        <w:t>.</w:t>
      </w:r>
    </w:p>
    <w:p w:rsidR="00B97B5B" w:rsidRDefault="00195C7F" w:rsidP="003B4A8A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Проведённый анализ финансово-хозяйственной деятельности АО «Альфа-Банк» за 2023–2025 гг. свидетельствует об устойчивом росте масштабов деятельности банка при опережающем росте чистой прибыли и повышении показателей рентабельности. Несмотря на временное снижение отдельных коэффициентов достаточности капитала в 2024 году, банк на протяжении всего периода стабильно выполняет обязательные нормативы Банка России, что подтвержда</w:t>
      </w:r>
      <w:r w:rsidR="003B4A8A">
        <w:rPr>
          <w:sz w:val="28"/>
          <w:szCs w:val="28"/>
          <w:lang w:eastAsia="ar-SA"/>
        </w:rPr>
        <w:t>ет его финансовую устойчивость.</w:t>
      </w:r>
    </w:p>
    <w:p w:rsidR="00E77852" w:rsidRDefault="00662ADF" w:rsidP="007935F5">
      <w:pPr>
        <w:spacing w:after="240"/>
      </w:pPr>
      <w:r w:rsidRPr="00662ADF"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lastRenderedPageBreak/>
        <w:t xml:space="preserve">2 Анализ социально-экономических аспектов </w:t>
      </w:r>
      <w:r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t xml:space="preserve">банковской </w:t>
      </w:r>
      <w:r w:rsidRPr="00662ADF"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t xml:space="preserve">системы в </w:t>
      </w:r>
      <w:r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t>России</w:t>
      </w:r>
    </w:p>
    <w:p w:rsidR="00E77852" w:rsidRPr="00662ADF" w:rsidRDefault="00662ADF" w:rsidP="007935F5">
      <w:pPr>
        <w:spacing w:line="360" w:lineRule="auto"/>
        <w:ind w:firstLine="709"/>
        <w:jc w:val="both"/>
      </w:pPr>
      <w:r>
        <w:rPr>
          <w:sz w:val="28"/>
          <w:szCs w:val="28"/>
        </w:rPr>
        <w:t>Банковская система выполняет ключевую роль в функционировании национальной экономики, обеспечивая аккумулирование и перераспределение денежных средств, расчётно-кассовое обслуживание хозяйствующих субъектов и населения, а также трансформацию сбережений в кредитные ресурсы для реального сектора. В условиях структурной перестройки российской экономики 2022–2024 гг. банковский сектор столкнулся с рядом системных вызовов: санкционным давлением и уходом иностранных игроков, необходимостью цифровой трансформации, консолидацией числа кредитных организаций, а также ростом конкуренции за квалифицированные кадры.</w:t>
      </w:r>
      <w:r w:rsidRPr="00662ADF">
        <w:rPr>
          <w:sz w:val="28"/>
          <w:szCs w:val="28"/>
        </w:rPr>
        <w:t xml:space="preserve"> </w:t>
      </w:r>
    </w:p>
    <w:p w:rsidR="00E77852" w:rsidRDefault="00662ADF" w:rsidP="005A4D84">
      <w:pPr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состояние банковской системы России характеризуется устойчивым восстановлением после кризисного 2022 года и последующим рекордным ростом ключевых показателей деятельности. Для комплексной оценки социально-экономической роли банковского сектора необходимо анализировать не только внутренние показатели отдельных кредитных организаций, но и внешние индикаторы: масштаб и динамику сектора в целом, уровень оплаты труда занятых в нём работников, а также степень концентрации рынка среди крупнейших банков. Эти параметры непосредственно влияют на инвестиционную привлекательность отрасли, доступность банковских услуг для населения и бизнеса, а также на кадровое обеспечение кредитных организаций, включая АО «Альфа-Банк». В таблице 2.1 представлены основные показатели банковского сектора Российской Федерации за 2022–2024 гг.</w:t>
      </w:r>
      <w:r w:rsidR="00EC50AD">
        <w:rPr>
          <w:sz w:val="28"/>
          <w:szCs w:val="28"/>
        </w:rPr>
        <w:t xml:space="preserve"> [9]</w:t>
      </w:r>
    </w:p>
    <w:p w:rsidR="005A4D84" w:rsidRDefault="007827A4" w:rsidP="005A4D84">
      <w:pPr>
        <w:spacing w:after="120"/>
      </w:pPr>
      <w:r>
        <w:rPr>
          <w:sz w:val="28"/>
          <w:szCs w:val="28"/>
        </w:rPr>
        <w:t xml:space="preserve">Таблица 2.1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="005A4D84">
        <w:rPr>
          <w:sz w:val="28"/>
          <w:szCs w:val="28"/>
        </w:rPr>
        <w:t xml:space="preserve"> Основные показатели банковского сектора России за 2022–2024 гг. </w:t>
      </w: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5"/>
        <w:gridCol w:w="1751"/>
        <w:gridCol w:w="1751"/>
        <w:gridCol w:w="1752"/>
      </w:tblGrid>
      <w:tr w:rsidR="00E77852" w:rsidTr="00A21076">
        <w:trPr>
          <w:trHeight w:val="571"/>
          <w:tblHeader/>
        </w:trPr>
        <w:tc>
          <w:tcPr>
            <w:tcW w:w="42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Показатель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2022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2023</w:t>
            </w:r>
          </w:p>
        </w:tc>
        <w:tc>
          <w:tcPr>
            <w:tcW w:w="17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2024</w:t>
            </w:r>
          </w:p>
        </w:tc>
      </w:tr>
      <w:tr w:rsidR="00E77852" w:rsidTr="00A21076">
        <w:trPr>
          <w:trHeight w:val="571"/>
        </w:trPr>
        <w:tc>
          <w:tcPr>
            <w:tcW w:w="42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r>
              <w:t>Число действующих кредитных организаций, ед.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363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361</w:t>
            </w:r>
          </w:p>
        </w:tc>
        <w:tc>
          <w:tcPr>
            <w:tcW w:w="17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353</w:t>
            </w:r>
          </w:p>
        </w:tc>
      </w:tr>
      <w:tr w:rsidR="00E77852" w:rsidTr="00A21076">
        <w:trPr>
          <w:trHeight w:val="571"/>
        </w:trPr>
        <w:tc>
          <w:tcPr>
            <w:tcW w:w="42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r>
              <w:t>Совокупные активы банковского сектора, трлн руб.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134,9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167,9</w:t>
            </w:r>
          </w:p>
        </w:tc>
        <w:tc>
          <w:tcPr>
            <w:tcW w:w="17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199,3</w:t>
            </w:r>
          </w:p>
        </w:tc>
      </w:tr>
    </w:tbl>
    <w:p w:rsidR="00E41693" w:rsidRDefault="00BA18F5">
      <w:pPr>
        <w:spacing w:before="120" w:after="120"/>
      </w:pPr>
      <w:r>
        <w:rPr>
          <w:sz w:val="28"/>
          <w:szCs w:val="28"/>
        </w:rPr>
        <w:lastRenderedPageBreak/>
        <w:t>Продолжение таблицы 2.1</w:t>
      </w: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5"/>
        <w:gridCol w:w="1751"/>
        <w:gridCol w:w="1751"/>
        <w:gridCol w:w="1752"/>
      </w:tblGrid>
      <w:tr w:rsidR="00E41693" w:rsidRPr="00A66868" w:rsidTr="00C91FAB">
        <w:trPr>
          <w:trHeight w:val="571"/>
          <w:tblHeader/>
        </w:trPr>
        <w:tc>
          <w:tcPr>
            <w:tcW w:w="42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41693" w:rsidRPr="00A66868" w:rsidRDefault="00E41693" w:rsidP="00C91FAB">
            <w:pPr>
              <w:jc w:val="center"/>
            </w:pPr>
            <w:r w:rsidRPr="00A66868">
              <w:rPr>
                <w:bCs/>
              </w:rPr>
              <w:t>Показатель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41693" w:rsidRPr="00A66868" w:rsidRDefault="00E41693" w:rsidP="00C91FAB">
            <w:pPr>
              <w:jc w:val="center"/>
            </w:pPr>
            <w:r w:rsidRPr="00A66868">
              <w:rPr>
                <w:bCs/>
              </w:rPr>
              <w:t>2022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41693" w:rsidRPr="00A66868" w:rsidRDefault="00E41693" w:rsidP="00C91FAB">
            <w:pPr>
              <w:jc w:val="center"/>
            </w:pPr>
            <w:r w:rsidRPr="00A66868">
              <w:rPr>
                <w:bCs/>
              </w:rPr>
              <w:t>2023</w:t>
            </w:r>
          </w:p>
        </w:tc>
        <w:tc>
          <w:tcPr>
            <w:tcW w:w="17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41693" w:rsidRPr="00A66868" w:rsidRDefault="00E41693" w:rsidP="00C91FAB">
            <w:pPr>
              <w:jc w:val="center"/>
            </w:pPr>
            <w:r w:rsidRPr="00A66868">
              <w:rPr>
                <w:bCs/>
              </w:rPr>
              <w:t>2024</w:t>
            </w:r>
          </w:p>
        </w:tc>
      </w:tr>
      <w:tr w:rsidR="00BA18F5" w:rsidTr="00C91FAB">
        <w:trPr>
          <w:trHeight w:val="571"/>
        </w:trPr>
        <w:tc>
          <w:tcPr>
            <w:tcW w:w="42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r>
              <w:t>Чистая прибыль банковского сектора, трлн руб.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pPr>
              <w:jc w:val="center"/>
            </w:pPr>
            <w:r>
              <w:t>0,203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pPr>
              <w:jc w:val="center"/>
            </w:pPr>
            <w:r>
              <w:t>3,3</w:t>
            </w:r>
          </w:p>
        </w:tc>
        <w:tc>
          <w:tcPr>
            <w:tcW w:w="17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pPr>
              <w:jc w:val="center"/>
            </w:pPr>
            <w:r>
              <w:t>3,8</w:t>
            </w:r>
          </w:p>
        </w:tc>
      </w:tr>
      <w:tr w:rsidR="00BA18F5" w:rsidTr="00C91FAB">
        <w:trPr>
          <w:trHeight w:val="571"/>
        </w:trPr>
        <w:tc>
          <w:tcPr>
            <w:tcW w:w="42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r>
              <w:t>Рентабельность капитала (ROE) сектора, %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pPr>
              <w:jc w:val="center"/>
            </w:pPr>
            <w:r>
              <w:t>н/д</w:t>
            </w:r>
          </w:p>
        </w:tc>
        <w:tc>
          <w:tcPr>
            <w:tcW w:w="17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pPr>
              <w:jc w:val="center"/>
            </w:pPr>
            <w:r>
              <w:t>22</w:t>
            </w:r>
          </w:p>
        </w:tc>
        <w:tc>
          <w:tcPr>
            <w:tcW w:w="17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A18F5" w:rsidRDefault="00BA18F5" w:rsidP="00C91FAB">
            <w:pPr>
              <w:jc w:val="center"/>
            </w:pPr>
            <w:r>
              <w:t>23</w:t>
            </w:r>
          </w:p>
        </w:tc>
      </w:tr>
    </w:tbl>
    <w:p w:rsidR="00BA18F5" w:rsidRDefault="00BA18F5" w:rsidP="00195C7F">
      <w:pPr>
        <w:jc w:val="both"/>
        <w:rPr>
          <w:sz w:val="28"/>
          <w:szCs w:val="28"/>
        </w:rPr>
      </w:pPr>
    </w:p>
    <w:p w:rsidR="00E77852" w:rsidRDefault="00662ADF" w:rsidP="000C3CB4">
      <w:pPr>
        <w:spacing w:line="360" w:lineRule="auto"/>
        <w:ind w:firstLine="709"/>
        <w:jc w:val="both"/>
      </w:pPr>
      <w:r>
        <w:rPr>
          <w:sz w:val="28"/>
          <w:szCs w:val="28"/>
        </w:rPr>
        <w:t>Данные таблицы 2.1 показывают, что банковский сектор прошёл путь от кризисного 2022 года, когда чистая прибыль сократилась до 203 млрд руб. на фоне санкционного шока и валютной переоценки, до рекордных 3,8 трлн р</w:t>
      </w:r>
      <w:r w:rsidR="00EC50AD">
        <w:rPr>
          <w:sz w:val="28"/>
          <w:szCs w:val="28"/>
        </w:rPr>
        <w:t>уб. по итогам 2024 года [10].  Р</w:t>
      </w:r>
      <w:r>
        <w:rPr>
          <w:sz w:val="28"/>
          <w:szCs w:val="28"/>
        </w:rPr>
        <w:t>ентабельность капитала закрепилась на уровне 22–23% — одном из самых высоких за последнее десятилетие</w:t>
      </w:r>
      <w:r w:rsidR="009E7FA0">
        <w:rPr>
          <w:sz w:val="28"/>
          <w:szCs w:val="28"/>
        </w:rPr>
        <w:t xml:space="preserve"> [11]</w:t>
      </w:r>
      <w:r>
        <w:rPr>
          <w:sz w:val="28"/>
          <w:szCs w:val="28"/>
        </w:rPr>
        <w:t>. Одновременно продолжается консолидация сектора: число действующих кредитных организаций последовательно снижается — с 363 в 2022 году до 353 в 2024 году</w:t>
      </w:r>
      <w:r w:rsidR="009E7FA0">
        <w:rPr>
          <w:sz w:val="28"/>
          <w:szCs w:val="28"/>
        </w:rPr>
        <w:t xml:space="preserve"> [12]. Это</w:t>
      </w:r>
      <w:r>
        <w:rPr>
          <w:sz w:val="28"/>
          <w:szCs w:val="28"/>
        </w:rPr>
        <w:t xml:space="preserve"> отражает политику Банка России по оздоровлению рынка и естественны</w:t>
      </w:r>
      <w:r w:rsidR="009E7FA0">
        <w:rPr>
          <w:sz w:val="28"/>
          <w:szCs w:val="28"/>
        </w:rPr>
        <w:t>е процессы слияний и поглощений</w:t>
      </w:r>
      <w:r w:rsidR="009E7FA0" w:rsidRPr="009E7FA0">
        <w:rPr>
          <w:sz w:val="28"/>
          <w:szCs w:val="28"/>
        </w:rPr>
        <w:t xml:space="preserve"> </w:t>
      </w:r>
      <w:r w:rsidR="009E7FA0">
        <w:rPr>
          <w:sz w:val="28"/>
          <w:szCs w:val="28"/>
        </w:rPr>
        <w:t>[13].</w:t>
      </w:r>
      <w:r>
        <w:rPr>
          <w:sz w:val="28"/>
          <w:szCs w:val="28"/>
        </w:rPr>
        <w:t xml:space="preserve"> При этом совокупные активы сектора выросли почти в 1,5 раза, а их отношение к ВВП страны в 2024 году достигло рекордных 99,6</w:t>
      </w:r>
      <w:r w:rsidR="00F56564">
        <w:rPr>
          <w:sz w:val="28"/>
          <w:szCs w:val="28"/>
        </w:rPr>
        <w:t xml:space="preserve"> </w:t>
      </w:r>
      <w:r w:rsidR="00F56564">
        <w:rPr>
          <w:sz w:val="28"/>
          <w:szCs w:val="28"/>
          <w:lang w:eastAsia="ar-SA"/>
        </w:rPr>
        <w:t>процентов</w:t>
      </w:r>
      <w:r>
        <w:rPr>
          <w:sz w:val="28"/>
          <w:szCs w:val="28"/>
        </w:rPr>
        <w:t xml:space="preserve">, что </w:t>
      </w:r>
      <w:r w:rsidR="00F56564">
        <w:rPr>
          <w:sz w:val="28"/>
          <w:szCs w:val="28"/>
        </w:rPr>
        <w:t xml:space="preserve">означает </w:t>
      </w:r>
      <w:r>
        <w:rPr>
          <w:sz w:val="28"/>
          <w:szCs w:val="28"/>
        </w:rPr>
        <w:t>возрастающую роль банков в национальной экономике</w:t>
      </w:r>
      <w:r w:rsidR="004F6BD7">
        <w:rPr>
          <w:sz w:val="28"/>
          <w:szCs w:val="28"/>
        </w:rPr>
        <w:t xml:space="preserve"> [14]</w:t>
      </w:r>
      <w:r>
        <w:rPr>
          <w:sz w:val="28"/>
          <w:szCs w:val="28"/>
        </w:rPr>
        <w:t>.</w:t>
      </w:r>
    </w:p>
    <w:p w:rsidR="00E77852" w:rsidRDefault="00662ADF" w:rsidP="000C3CB4">
      <w:pPr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Существенным фактором, определяющим кадровую привлекательность банковской отрасли, выступает уровень оплаты труда занятых в ней специалистов. Финансовая и страховая деятельность на протяжении всего анализируемого периода остаётся одной из наиболее высокооплачиваемых сфер российской экономики. Сравнение среднемесячной заработной платы в целом по экономике и в финансовом секторе представлено в таблице 2.2</w:t>
      </w:r>
      <w:r w:rsidR="006A3943">
        <w:rPr>
          <w:sz w:val="28"/>
          <w:szCs w:val="28"/>
        </w:rPr>
        <w:t xml:space="preserve"> </w:t>
      </w:r>
      <w:r w:rsidR="004F6BD7">
        <w:rPr>
          <w:sz w:val="28"/>
          <w:szCs w:val="28"/>
        </w:rPr>
        <w:t>[15].</w:t>
      </w:r>
    </w:p>
    <w:p w:rsidR="00E41693" w:rsidRDefault="007827A4" w:rsidP="007827A4">
      <w:pPr>
        <w:spacing w:after="120"/>
      </w:pPr>
      <w:r>
        <w:rPr>
          <w:sz w:val="28"/>
          <w:szCs w:val="28"/>
        </w:rPr>
        <w:t xml:space="preserve">Таблица 2.2 </w:t>
      </w:r>
      <w:r w:rsidRPr="00662ADF">
        <w:rPr>
          <w:rFonts w:eastAsia="SimSun"/>
          <w:color w:val="000000"/>
          <w:sz w:val="28"/>
          <w:szCs w:val="28"/>
          <w:lang w:eastAsia="zh-CN" w:bidi="ar"/>
        </w:rPr>
        <w:t>–</w:t>
      </w:r>
      <w:r w:rsidR="00E41693">
        <w:rPr>
          <w:sz w:val="28"/>
          <w:szCs w:val="28"/>
        </w:rPr>
        <w:t xml:space="preserve"> Среднемесячная номинальная заработная плата в целом по экономике и в финансовом секторе России, 2022–2024 гг. 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1"/>
        <w:gridCol w:w="1787"/>
        <w:gridCol w:w="1787"/>
        <w:gridCol w:w="1788"/>
      </w:tblGrid>
      <w:tr w:rsidR="00E77852" w:rsidTr="00C92917">
        <w:trPr>
          <w:trHeight w:val="500"/>
          <w:tblHeader/>
        </w:trPr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Показатель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2022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2023</w:t>
            </w:r>
          </w:p>
        </w:tc>
        <w:tc>
          <w:tcPr>
            <w:tcW w:w="17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2024</w:t>
            </w:r>
          </w:p>
        </w:tc>
      </w:tr>
      <w:tr w:rsidR="00E77852" w:rsidTr="00C92917">
        <w:trPr>
          <w:trHeight w:val="500"/>
        </w:trPr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r>
              <w:t>Среднемесячная зарплата по экономике в целом, руб.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65 338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74 854</w:t>
            </w:r>
          </w:p>
        </w:tc>
        <w:tc>
          <w:tcPr>
            <w:tcW w:w="17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89 069</w:t>
            </w:r>
          </w:p>
        </w:tc>
      </w:tr>
    </w:tbl>
    <w:p w:rsidR="00195C7F" w:rsidRDefault="00195C7F" w:rsidP="00EE6DE6">
      <w:pPr>
        <w:spacing w:before="240" w:line="360" w:lineRule="auto"/>
        <w:rPr>
          <w:sz w:val="28"/>
          <w:szCs w:val="28"/>
        </w:rPr>
      </w:pPr>
    </w:p>
    <w:p w:rsidR="00EE6DE6" w:rsidRDefault="00EE6DE6" w:rsidP="00EE6DE6">
      <w:pP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Продолжение таблицы 2.2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1"/>
        <w:gridCol w:w="1787"/>
        <w:gridCol w:w="1787"/>
        <w:gridCol w:w="1788"/>
      </w:tblGrid>
      <w:tr w:rsidR="00EE6DE6" w:rsidRPr="00A66868" w:rsidTr="00EE6DE6">
        <w:trPr>
          <w:trHeight w:val="500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Pr="00A66868" w:rsidRDefault="00EE6DE6" w:rsidP="00EE6DE6">
            <w:r w:rsidRPr="00EE6DE6">
              <w:t>Показатель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Pr="00A66868" w:rsidRDefault="00EE6DE6" w:rsidP="00C91FAB">
            <w:pPr>
              <w:jc w:val="center"/>
            </w:pPr>
            <w:r w:rsidRPr="00EE6DE6">
              <w:t>2022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Pr="00A66868" w:rsidRDefault="00EE6DE6" w:rsidP="00C91FAB">
            <w:pPr>
              <w:jc w:val="center"/>
            </w:pPr>
            <w:r w:rsidRPr="00EE6DE6">
              <w:t>2023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Pr="00A66868" w:rsidRDefault="00EE6DE6" w:rsidP="00C91FAB">
            <w:pPr>
              <w:jc w:val="center"/>
            </w:pPr>
            <w:r w:rsidRPr="00EE6DE6">
              <w:t>2024</w:t>
            </w:r>
          </w:p>
        </w:tc>
      </w:tr>
      <w:tr w:rsidR="00EE6DE6" w:rsidTr="00C91FAB">
        <w:trPr>
          <w:trHeight w:val="500"/>
        </w:trPr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r>
              <w:t>Среднемесячная зарплата в финансовой и страховой деятельности, руб.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pPr>
              <w:jc w:val="center"/>
            </w:pPr>
            <w:r>
              <w:t>н/д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pPr>
              <w:jc w:val="center"/>
            </w:pPr>
            <w:r>
              <w:t>169 100</w:t>
            </w:r>
          </w:p>
        </w:tc>
        <w:tc>
          <w:tcPr>
            <w:tcW w:w="17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pPr>
              <w:jc w:val="center"/>
            </w:pPr>
            <w:r>
              <w:t>206 300</w:t>
            </w:r>
          </w:p>
        </w:tc>
      </w:tr>
      <w:tr w:rsidR="00EE6DE6" w:rsidTr="00C91FAB">
        <w:trPr>
          <w:trHeight w:val="500"/>
        </w:trPr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r>
              <w:t>Превышение зарплаты в финансовом секторе над средней по экономике, раз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pPr>
              <w:jc w:val="center"/>
            </w:pPr>
            <w:r>
              <w:t>—</w:t>
            </w:r>
          </w:p>
        </w:tc>
        <w:tc>
          <w:tcPr>
            <w:tcW w:w="17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pPr>
              <w:jc w:val="center"/>
            </w:pPr>
            <w:r>
              <w:t>2,26</w:t>
            </w:r>
          </w:p>
        </w:tc>
        <w:tc>
          <w:tcPr>
            <w:tcW w:w="17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E6DE6" w:rsidRDefault="00EE6DE6" w:rsidP="00C91FAB">
            <w:pPr>
              <w:jc w:val="center"/>
            </w:pPr>
            <w:r>
              <w:t>2,32</w:t>
            </w:r>
          </w:p>
        </w:tc>
      </w:tr>
    </w:tbl>
    <w:p w:rsidR="00E77852" w:rsidRPr="00EE6DE6" w:rsidRDefault="004F6BD7" w:rsidP="00EE6DE6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6DE6">
        <w:rPr>
          <w:sz w:val="28"/>
          <w:szCs w:val="28"/>
        </w:rPr>
        <w:t>Как видно из таблицы 2.2, зарплата в финансовом и страховом секторе более чем вдвое превышает среднероссийский уровень [16].</w:t>
      </w:r>
      <w:r w:rsidR="00EE6DE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ADF">
        <w:rPr>
          <w:sz w:val="28"/>
          <w:szCs w:val="28"/>
        </w:rPr>
        <w:t>азрыв продолжает увеличиваться: если в 2023 году превышение составляло 2,26 раза, то в 2024 году — уже 2,32 раза, а сама зарплата впервые превысила отметку в 200 тыс. руб.</w:t>
      </w:r>
      <w:r w:rsidR="00AE4F87" w:rsidRPr="00AE4F87">
        <w:rPr>
          <w:sz w:val="28"/>
          <w:szCs w:val="28"/>
        </w:rPr>
        <w:t xml:space="preserve"> </w:t>
      </w:r>
      <w:r w:rsidR="00AE4F87">
        <w:rPr>
          <w:sz w:val="28"/>
          <w:szCs w:val="28"/>
        </w:rPr>
        <w:t>[17].</w:t>
      </w:r>
      <w:r w:rsidR="00662ADF">
        <w:rPr>
          <w:sz w:val="28"/>
          <w:szCs w:val="28"/>
        </w:rPr>
        <w:t xml:space="preserve"> Одновременно с ростом оплаты труда крупнейшие банковские группы страны проводят оптимизацию численности персонала за счёт автоматизации и внедрения искусственного интеллекта: по оценке «Коммерсантъ», штат 20 крупнейших банковских групп России в 2023 году составлял порядка 557 тыс. человек, а наименее востребованными становятся массовые должности — кассиры, операторы колл-центров и верификаторы, тогда как спрос смещается в сторону IT-специалистов и специалистов клиентского сервиса</w:t>
      </w:r>
      <w:r w:rsidR="00AE4F87">
        <w:rPr>
          <w:sz w:val="28"/>
          <w:szCs w:val="28"/>
        </w:rPr>
        <w:t xml:space="preserve"> [18]</w:t>
      </w:r>
      <w:r w:rsidR="00662ADF">
        <w:rPr>
          <w:sz w:val="28"/>
          <w:szCs w:val="28"/>
        </w:rPr>
        <w:t>. Такая динамика напрямую отражает общий вызов цифровой трансформации, стоящий перед банковской системой, включая необходимость переобучения и перераспределения кадров.</w:t>
      </w:r>
    </w:p>
    <w:p w:rsidR="00E77852" w:rsidRDefault="00662ADF" w:rsidP="007A519C">
      <w:pPr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Российский банковский рынок характеризуется высокой степенью концентрации: доля десяти крупнейших банков в совокупн</w:t>
      </w:r>
      <w:r w:rsidR="00F56564">
        <w:rPr>
          <w:sz w:val="28"/>
          <w:szCs w:val="28"/>
        </w:rPr>
        <w:t>ой прибыли сектора превышает 70</w:t>
      </w:r>
      <w:r w:rsidR="00F56564" w:rsidRPr="00F56564">
        <w:rPr>
          <w:sz w:val="28"/>
          <w:szCs w:val="28"/>
          <w:lang w:eastAsia="ar-SA"/>
        </w:rPr>
        <w:t xml:space="preserve"> </w:t>
      </w:r>
      <w:r w:rsidR="00F56564">
        <w:rPr>
          <w:sz w:val="28"/>
          <w:szCs w:val="28"/>
          <w:lang w:eastAsia="ar-SA"/>
        </w:rPr>
        <w:t>процентов</w:t>
      </w:r>
      <w:r>
        <w:rPr>
          <w:sz w:val="28"/>
          <w:szCs w:val="28"/>
        </w:rPr>
        <w:t>, а по объёму активов АО «Альфа-Банк» стабильно занимает четвёртое место в стране, уступая только Сбербанку, ВТБ и Газпромбанку. Распределение чистой прибыли банковского сектора между отдельными крупнейшими участниками рынка по итогам 2024 года представлено в таблице 2.3</w:t>
      </w:r>
      <w:r w:rsidR="00AE4F87">
        <w:rPr>
          <w:sz w:val="28"/>
          <w:szCs w:val="28"/>
        </w:rPr>
        <w:t xml:space="preserve"> [19]</w:t>
      </w:r>
    </w:p>
    <w:p w:rsidR="003B4A8A" w:rsidRDefault="003B4A8A" w:rsidP="007A519C">
      <w:pPr>
        <w:spacing w:after="240" w:line="360" w:lineRule="auto"/>
        <w:ind w:firstLine="709"/>
        <w:jc w:val="both"/>
        <w:rPr>
          <w:sz w:val="28"/>
          <w:szCs w:val="28"/>
        </w:rPr>
      </w:pPr>
    </w:p>
    <w:p w:rsidR="003B4A8A" w:rsidRDefault="003B4A8A" w:rsidP="007A519C">
      <w:pPr>
        <w:spacing w:after="240" w:line="360" w:lineRule="auto"/>
        <w:ind w:firstLine="709"/>
        <w:jc w:val="both"/>
        <w:rPr>
          <w:sz w:val="28"/>
          <w:szCs w:val="28"/>
        </w:rPr>
      </w:pPr>
    </w:p>
    <w:p w:rsidR="007A519C" w:rsidRDefault="007A519C" w:rsidP="007A519C">
      <w:pPr>
        <w:spacing w:after="120"/>
      </w:pPr>
      <w:r>
        <w:rPr>
          <w:sz w:val="28"/>
          <w:szCs w:val="28"/>
        </w:rPr>
        <w:lastRenderedPageBreak/>
        <w:t xml:space="preserve">Таблица 2.3 — Крупнейшие банки России по чистой прибыли за 2024 год </w:t>
      </w: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5"/>
        <w:gridCol w:w="2226"/>
        <w:gridCol w:w="1992"/>
      </w:tblGrid>
      <w:tr w:rsidR="00E77852" w:rsidTr="00C92917">
        <w:trPr>
          <w:trHeight w:val="495"/>
          <w:tblHeader/>
        </w:trPr>
        <w:tc>
          <w:tcPr>
            <w:tcW w:w="55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Банк</w:t>
            </w:r>
          </w:p>
        </w:tc>
        <w:tc>
          <w:tcPr>
            <w:tcW w:w="22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Чистая прибыль за 2024 г., трлн руб.</w:t>
            </w:r>
          </w:p>
        </w:tc>
        <w:tc>
          <w:tcPr>
            <w:tcW w:w="19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Pr="00A66868" w:rsidRDefault="00662ADF">
            <w:pPr>
              <w:jc w:val="center"/>
            </w:pPr>
            <w:r w:rsidRPr="00A66868">
              <w:rPr>
                <w:bCs/>
              </w:rPr>
              <w:t>Доля в прибыли сектора, %</w:t>
            </w:r>
          </w:p>
        </w:tc>
      </w:tr>
      <w:tr w:rsidR="00E77852" w:rsidTr="00C92917">
        <w:trPr>
          <w:trHeight w:val="495"/>
        </w:trPr>
        <w:tc>
          <w:tcPr>
            <w:tcW w:w="55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 w:rsidP="00695EF7">
            <w:r>
              <w:t>Сбербанк</w:t>
            </w:r>
          </w:p>
        </w:tc>
        <w:tc>
          <w:tcPr>
            <w:tcW w:w="22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1,580</w:t>
            </w:r>
          </w:p>
        </w:tc>
        <w:tc>
          <w:tcPr>
            <w:tcW w:w="19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41,6</w:t>
            </w:r>
          </w:p>
        </w:tc>
      </w:tr>
      <w:tr w:rsidR="00E77852" w:rsidTr="00C92917">
        <w:trPr>
          <w:trHeight w:val="495"/>
        </w:trPr>
        <w:tc>
          <w:tcPr>
            <w:tcW w:w="55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 w:rsidP="00695EF7">
            <w:r>
              <w:t>ВТБ</w:t>
            </w:r>
          </w:p>
        </w:tc>
        <w:tc>
          <w:tcPr>
            <w:tcW w:w="22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0,551</w:t>
            </w:r>
          </w:p>
        </w:tc>
        <w:tc>
          <w:tcPr>
            <w:tcW w:w="19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E77852" w:rsidRDefault="00662ADF">
            <w:pPr>
              <w:jc w:val="center"/>
            </w:pPr>
            <w:r>
              <w:t>14,5</w:t>
            </w:r>
          </w:p>
        </w:tc>
      </w:tr>
      <w:tr w:rsidR="00685437" w:rsidTr="00C91FAB">
        <w:trPr>
          <w:trHeight w:val="495"/>
        </w:trPr>
        <w:tc>
          <w:tcPr>
            <w:tcW w:w="55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r>
              <w:t>Альфа-Банк</w:t>
            </w:r>
          </w:p>
        </w:tc>
        <w:tc>
          <w:tcPr>
            <w:tcW w:w="22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pPr>
              <w:jc w:val="center"/>
            </w:pPr>
            <w:r>
              <w:t>0,260</w:t>
            </w:r>
          </w:p>
        </w:tc>
        <w:tc>
          <w:tcPr>
            <w:tcW w:w="19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pPr>
              <w:jc w:val="center"/>
            </w:pPr>
            <w:r>
              <w:t>6,8</w:t>
            </w:r>
          </w:p>
        </w:tc>
      </w:tr>
      <w:tr w:rsidR="00685437" w:rsidTr="00C91FAB">
        <w:trPr>
          <w:trHeight w:val="495"/>
        </w:trPr>
        <w:tc>
          <w:tcPr>
            <w:tcW w:w="55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r>
              <w:t>Остальные банки</w:t>
            </w:r>
          </w:p>
        </w:tc>
        <w:tc>
          <w:tcPr>
            <w:tcW w:w="22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pPr>
              <w:jc w:val="center"/>
            </w:pPr>
            <w:r>
              <w:t>1,409</w:t>
            </w:r>
          </w:p>
        </w:tc>
        <w:tc>
          <w:tcPr>
            <w:tcW w:w="19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pPr>
              <w:jc w:val="center"/>
            </w:pPr>
            <w:r>
              <w:t>37,1</w:t>
            </w:r>
          </w:p>
        </w:tc>
      </w:tr>
      <w:tr w:rsidR="00685437" w:rsidTr="00C91FAB">
        <w:trPr>
          <w:trHeight w:val="495"/>
        </w:trPr>
        <w:tc>
          <w:tcPr>
            <w:tcW w:w="55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r>
              <w:t>Банковский сектор, всего</w:t>
            </w:r>
          </w:p>
        </w:tc>
        <w:tc>
          <w:tcPr>
            <w:tcW w:w="22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pPr>
              <w:jc w:val="center"/>
            </w:pPr>
            <w:r>
              <w:t>3,800</w:t>
            </w:r>
          </w:p>
        </w:tc>
        <w:tc>
          <w:tcPr>
            <w:tcW w:w="19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85437" w:rsidRDefault="00685437" w:rsidP="00C91FAB">
            <w:pPr>
              <w:jc w:val="center"/>
            </w:pPr>
            <w:r>
              <w:t>100,0</w:t>
            </w:r>
          </w:p>
        </w:tc>
      </w:tr>
    </w:tbl>
    <w:p w:rsidR="00E77852" w:rsidRDefault="00662ADF" w:rsidP="007A519C">
      <w:pPr>
        <w:spacing w:before="240" w:line="360" w:lineRule="auto"/>
        <w:ind w:firstLine="709"/>
        <w:jc w:val="both"/>
      </w:pPr>
      <w:r>
        <w:rPr>
          <w:sz w:val="28"/>
          <w:szCs w:val="28"/>
        </w:rPr>
        <w:t>Данные таблицы 2.3 подтверждают высокую концентрацию финансового результата: только на Сбе</w:t>
      </w:r>
      <w:r w:rsidR="00F56564">
        <w:rPr>
          <w:sz w:val="28"/>
          <w:szCs w:val="28"/>
        </w:rPr>
        <w:t>рбанк и ВТБ приходится свыше 56</w:t>
      </w:r>
      <w:r w:rsidR="00F56564" w:rsidRPr="00F56564">
        <w:rPr>
          <w:sz w:val="28"/>
          <w:szCs w:val="28"/>
          <w:lang w:eastAsia="ar-SA"/>
        </w:rPr>
        <w:t xml:space="preserve"> </w:t>
      </w:r>
      <w:r w:rsidR="00F56564">
        <w:rPr>
          <w:sz w:val="28"/>
          <w:szCs w:val="28"/>
          <w:lang w:eastAsia="ar-SA"/>
        </w:rPr>
        <w:t>процентов</w:t>
      </w:r>
      <w:r>
        <w:rPr>
          <w:sz w:val="28"/>
          <w:szCs w:val="28"/>
        </w:rPr>
        <w:t xml:space="preserve"> совокупной прибыли банковского сектора, а </w:t>
      </w:r>
      <w:r w:rsidR="00F56564">
        <w:rPr>
          <w:sz w:val="28"/>
          <w:szCs w:val="28"/>
        </w:rPr>
        <w:t>с учётом Альфа-Банка — почти 63</w:t>
      </w:r>
      <w:r w:rsidR="00F56564" w:rsidRPr="00F56564">
        <w:rPr>
          <w:sz w:val="28"/>
          <w:szCs w:val="28"/>
          <w:lang w:eastAsia="ar-SA"/>
        </w:rPr>
        <w:t xml:space="preserve"> </w:t>
      </w:r>
      <w:r w:rsidR="00F56564">
        <w:rPr>
          <w:sz w:val="28"/>
          <w:szCs w:val="28"/>
          <w:lang w:eastAsia="ar-SA"/>
        </w:rPr>
        <w:t>процента</w:t>
      </w:r>
      <w:r>
        <w:rPr>
          <w:sz w:val="28"/>
          <w:szCs w:val="28"/>
        </w:rPr>
        <w:t>. При этом Альфа-Банк, оставаясь крупнейшим частным банком страны, демонстрирует стабильный рост показателей на протяжении всего анализируемого периода, что подробно рассмотрено в разделе финансово-хозяйственной деятельности настоящего отчёта. Банк входит в число системно значимых кредитных организаций, участвует в пилотных проектах Банка России по внедрению цифрового рубля и активно развивает цифровые сервисы, что соответствует общеотраслевому тренду: регулятор прогноз</w:t>
      </w:r>
      <w:r w:rsidR="00F56564">
        <w:rPr>
          <w:sz w:val="28"/>
          <w:szCs w:val="28"/>
        </w:rPr>
        <w:t>ирует, что к 2026 году свыше 90</w:t>
      </w:r>
      <w:r w:rsidR="00F56564" w:rsidRPr="00F56564">
        <w:rPr>
          <w:sz w:val="28"/>
          <w:szCs w:val="28"/>
          <w:lang w:eastAsia="ar-SA"/>
        </w:rPr>
        <w:t xml:space="preserve"> </w:t>
      </w:r>
      <w:r w:rsidR="00F56564">
        <w:rPr>
          <w:sz w:val="28"/>
          <w:szCs w:val="28"/>
          <w:lang w:eastAsia="ar-SA"/>
        </w:rPr>
        <w:t>процентов</w:t>
      </w:r>
      <w:r>
        <w:rPr>
          <w:sz w:val="28"/>
          <w:szCs w:val="28"/>
        </w:rPr>
        <w:t xml:space="preserve"> всех платежей в стране будут проходить в безналичной форме</w:t>
      </w:r>
      <w:r w:rsidR="009B72BE">
        <w:rPr>
          <w:sz w:val="28"/>
          <w:szCs w:val="28"/>
        </w:rPr>
        <w:t xml:space="preserve"> [20]</w:t>
      </w:r>
      <w:r>
        <w:rPr>
          <w:sz w:val="28"/>
          <w:szCs w:val="28"/>
        </w:rPr>
        <w:t>.</w:t>
      </w:r>
    </w:p>
    <w:p w:rsidR="00600983" w:rsidRDefault="00662ADF" w:rsidP="0068543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социально-экономические аспекты функционирования банковской системы России на протяжении 2022–2024 гг. характеризуются устойчивым восстановительным ростом после кризисного 2022 года, повышением роли банковского сектора в национальной экономике, высокой и растущей оплатой труда занятых в отрасли специалистов на фоне структурной оптимизации штата, а также сохраняющейся высокой концентрацией рынка вокруг нескольких системно значимых банков, среди которых АО «Альфа-Банк» стабильно занимает позицию крупнейшего частного игрока.</w:t>
      </w:r>
    </w:p>
    <w:p w:rsidR="00CB296F" w:rsidRDefault="00CB296F" w:rsidP="00CB296F">
      <w:pPr>
        <w:spacing w:line="360" w:lineRule="auto"/>
        <w:jc w:val="both"/>
        <w:rPr>
          <w:sz w:val="28"/>
          <w:szCs w:val="28"/>
        </w:rPr>
      </w:pPr>
    </w:p>
    <w:p w:rsidR="00E77852" w:rsidRDefault="00662ADF" w:rsidP="00600983">
      <w:pPr>
        <w:spacing w:after="240"/>
        <w:jc w:val="center"/>
      </w:pPr>
      <w:r w:rsidRPr="00662ADF"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lastRenderedPageBreak/>
        <w:t>Заключение</w:t>
      </w:r>
    </w:p>
    <w:p w:rsidR="00E77852" w:rsidRDefault="00662ADF" w:rsidP="003E68F5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процессе прохождения учебной ознакомительной практики в АО «Альфа-Банк» был приобретен ценный практический опыт анализа деятельности крупной кредитной организации и проведения комплексного финансово-экономического исследования. В ходе работы удалось детально изучить организационное устройство банка, особенности его функционирования, применяемый налоговый режим, а также проанализировать ключевые показатели финансово-хозяйственной деятельности, что позволило оценить значимость АО «Альфа-Банк» в банковской системе России.</w:t>
      </w:r>
    </w:p>
    <w:p w:rsidR="00E77852" w:rsidRDefault="00662ADF" w:rsidP="003E68F5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Анализ финансовой отчетности позволил выявить ряд важных тенденций в экономическом положении организации. Проведенный анализ баланса и отчета о финансовых результатах свидетельствует о в целом положительной динамике развития банка, что подтверждается ростом совокупных активов.</w:t>
      </w:r>
    </w:p>
    <w:p w:rsidR="00E77852" w:rsidRDefault="00662ADF" w:rsidP="003E68F5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Таким образом, несмотря на наличие отдельных аспектов, требующих дополнительного внимания, общая финансовая картина организации характеризуется стабильностью и демонстрирует признаки устойчивого развития. Рост чистой прибыли и собственного капитала создает прочную основу для поддержания финансовой устойчивости и конкурентоспособности банка в среднесрочной перспективе.</w:t>
      </w:r>
    </w:p>
    <w:p w:rsidR="00E77852" w:rsidRDefault="00662ADF" w:rsidP="003E68F5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Особый акцент в исследовательской работе был сделан на комплексном анализе социально-экономических аспектов банковской системы России. Используя статистические данные и информацию из открытых источников, были выявлены и проанализированы ключевые тенденции. </w:t>
      </w:r>
    </w:p>
    <w:p w:rsidR="00E77852" w:rsidRDefault="00662ADF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Практика стала важным этапом профессионального становления, способствуя не только закреплению теоретических знаний, но и развитию практических аналитических навыков. Полученный опыт позволит сформировать комплексное понимание особенностей работы кредитных организаций в современных экономических условиях. Приобретенные компетенции и навыки представляют значительную ценность для дальнейшего профессионального роста и академического развития.</w:t>
      </w:r>
    </w:p>
    <w:p w:rsidR="00E77852" w:rsidRPr="00B41C7E" w:rsidRDefault="00662ADF" w:rsidP="00B41C7E">
      <w:pPr>
        <w:spacing w:after="240"/>
        <w:jc w:val="center"/>
      </w:pPr>
      <w:r w:rsidRPr="00662ADF"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lastRenderedPageBreak/>
        <w:t>Список использованных источников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 История АО «Альфа-Банк». – Текст: электронный // Alfa1000.ru: [сайт]. – URL: https://alfa1000.ru/istoriya-ao-alfa-bank/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 История банка Альфа-Банк. – Текст: электронный // Alfabank-inf.ru: [сайт]. – URL: https://alfabank-inf.ru/istoriya-banka-alfa-bank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 Стать ближе к болельщикам: Андрей Соколов о том, как Альфа-Банк монетизировал спонсорство. – Текст: электронный // Большой спорт: [сайт]. – URL: https://bolshoisport.ru/sport-i-biznes/stat-blizhe-k-bolelschikam-andrey-sokolov-o-tom-kak-alfa-bank-monetiziroval-sponsorstvo-mundialya/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 АО «Альфа-Банк»: карточка контрагента. – Текст: электронный // Банки.ру: [сайт]. – URL: https://www.banki.ru/business/contragent/7728168971-770801001/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 АО «Альфа-Банк»: карточка организации. – Текст: электронный // Audit-it.ru: [сайт]. – URL: https://www.audit-it.ru/contragent/1027700067328_ao-alfa-bank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 Альфа-Банк. – Текст: электронный // Ассоциация банков России: [сайт]. – URL: https://arb.ru/bank/alfabank/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 Альфа-Банк. – Текст: электронный // Финуслуги: [сайт]. – URL: https://finuslugi.ru/banki/alfabank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 Essential: справочник продуктов и сервисов банка. – Текст: электронный // Апельсин: корпоративный портал АО «Альфа-Банк»: [сайт]. – URL: https://alfabank.ru/apelsin/essential/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9 Банковский сектор. – Текст: электронный // Банк России: [сайт]. – URL: https://www.cbr.ru/banking_sector/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 Количественные характеристики банковского сектора Российской Федерации. – Текст: электронный // Банк России: [сайт]. – URL: https://cbr.ru/statistics/bank_sector/lic/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11 Информация о действующих кредитных организациях с участием нерезидентов на 1 января 2024 года. – Текст: электронный // Банк России: [сайт]. – 2024. – URL: https://www.cbr.ru/analytics/bnksyst/ITM_41321/pub_240101/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12 Банки в России. – Текст: электронный // TAdviser: [сайт]. – URL: https://www.tadviser.ru/index.php/Статья:Банки_в_России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13 Чистая прибыль банков в России за год достигла рекордных 3,3 трлн руб. – Текст: электронный // РБК: [сайт]. – 2024. – 30 января. – URL: https://www.rbc.ru/finances/30/01/2024/65b8b3129a79477742fda1c4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14 Банковский сектор. – Текст: электронный // Эксперт РА: [сайт]. – 2025. – URL: https://raexpert.ru/researches/bank_sector_2025/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15 Крупнейшие российские банки по объему активов на 1 января 2025 года. – Текст: электронный // РИА Рейтинг: [сайт]. – 2025. – 11 февраля. – URL: https://riarating.ru/finance/20250211/630276549.html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16 Рынок труда, занятость и заработная плата. – Текст: электронный // Федеральная служба государственной статистики: [сайт]. – Москва. – URL: https://rosstat.gov.ru/labor_market_employment_salaries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17 Росстат: средняя зарплата россиян в 2024 г. составила почти 88 тыс. руб. – Текст: электронный // АСН: [сайт]. – URL: https://www.asn-news.ru/news/88945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18 Средняя зарплата в России. – Текст: электронный // TAdviser: [сайт]. – URL: https://www.tadviser.ru/index.php/Статья:Средняя_зарплата_в_России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 Крупнейшие банки в России сократили штат на 4%. – Текст: электронный // Sostav.ru: [сайт]. – URL: https://www.sostav.ru/publication/krupnejshie-banki-v-rossii-sokratili-shtat-na-4-83399.html (дата обращения: 13.07.2026).</w:t>
      </w:r>
    </w:p>
    <w:p w:rsidR="009B72BE" w:rsidRDefault="009B72BE" w:rsidP="00B41C7E">
      <w:pPr>
        <w:pStyle w:val="a8"/>
        <w:spacing w:line="360" w:lineRule="auto"/>
        <w:ind w:left="0" w:right="0"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20 12 самых надежных российских банков — 2025. – Текст: электронный // Forbes.ru: [сайт]. – 2025. – 20 марта. – URL: https://www.forbes.ru/society/533027-12-samyh-nadeznyh-rossijskih-bankov-2025 (дата обращения: 13.07.2026).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9B72BE" w:rsidRDefault="009B72BE">
      <w:pPr>
        <w:pStyle w:val="a8"/>
        <w:ind w:left="0" w:right="0"/>
        <w:rPr>
          <w:sz w:val="28"/>
          <w:szCs w:val="28"/>
          <w:lang w:eastAsia="ar-SA"/>
        </w:rPr>
      </w:pPr>
    </w:p>
    <w:p w:rsidR="009B72BE" w:rsidRDefault="009B72BE">
      <w:pPr>
        <w:pStyle w:val="a8"/>
        <w:ind w:left="0" w:right="0"/>
        <w:rPr>
          <w:sz w:val="28"/>
          <w:szCs w:val="28"/>
          <w:lang w:eastAsia="ar-SA"/>
        </w:rPr>
      </w:pPr>
    </w:p>
    <w:p w:rsidR="009B72BE" w:rsidRDefault="009B72BE">
      <w:pPr>
        <w:pStyle w:val="a8"/>
        <w:ind w:left="0" w:right="0"/>
        <w:rPr>
          <w:sz w:val="28"/>
          <w:szCs w:val="28"/>
          <w:lang w:eastAsia="ar-SA"/>
        </w:rPr>
      </w:pPr>
    </w:p>
    <w:p w:rsidR="009B72BE" w:rsidRDefault="009B72B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A66868" w:rsidRDefault="00A66868">
      <w:pPr>
        <w:pStyle w:val="a8"/>
        <w:ind w:left="0" w:right="0"/>
        <w:rPr>
          <w:sz w:val="28"/>
          <w:szCs w:val="28"/>
          <w:lang w:eastAsia="ar-SA"/>
        </w:rPr>
      </w:pPr>
    </w:p>
    <w:p w:rsidR="00A66868" w:rsidRDefault="00A66868">
      <w:pPr>
        <w:pStyle w:val="a8"/>
        <w:ind w:left="0" w:right="0"/>
        <w:rPr>
          <w:sz w:val="28"/>
          <w:szCs w:val="28"/>
          <w:lang w:eastAsia="ar-SA"/>
        </w:rPr>
      </w:pPr>
    </w:p>
    <w:p w:rsidR="00A66868" w:rsidRDefault="00A66868">
      <w:pPr>
        <w:pStyle w:val="a8"/>
        <w:ind w:left="0" w:right="0"/>
        <w:rPr>
          <w:sz w:val="28"/>
          <w:szCs w:val="28"/>
          <w:lang w:eastAsia="ar-SA"/>
        </w:rPr>
      </w:pPr>
    </w:p>
    <w:p w:rsidR="00A66868" w:rsidRDefault="00A66868">
      <w:pPr>
        <w:pStyle w:val="a8"/>
        <w:ind w:left="0" w:right="0"/>
        <w:rPr>
          <w:sz w:val="28"/>
          <w:szCs w:val="28"/>
          <w:lang w:eastAsia="ar-SA"/>
        </w:rPr>
      </w:pPr>
    </w:p>
    <w:p w:rsidR="00A66868" w:rsidRDefault="00A66868">
      <w:pPr>
        <w:pStyle w:val="a8"/>
        <w:ind w:left="0" w:right="0"/>
        <w:rPr>
          <w:sz w:val="28"/>
          <w:szCs w:val="28"/>
          <w:lang w:eastAsia="ar-SA"/>
        </w:rPr>
      </w:pPr>
    </w:p>
    <w:p w:rsidR="00A66868" w:rsidRDefault="00A66868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B41C7E" w:rsidRDefault="00B41C7E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 w:rsidP="00453547">
      <w:pPr>
        <w:jc w:val="center"/>
      </w:pPr>
      <w:r w:rsidRPr="00662ADF">
        <w:rPr>
          <w:rFonts w:ascii="Arial" w:eastAsia="SimSun" w:hAnsi="Arial" w:cs="Arial"/>
          <w:color w:val="000000"/>
          <w:sz w:val="30"/>
          <w:szCs w:val="30"/>
          <w:lang w:eastAsia="zh-CN" w:bidi="ar"/>
        </w:rPr>
        <w:t>Приложение А</w:t>
      </w:r>
    </w:p>
    <w:p w:rsidR="00E77852" w:rsidRPr="00EA06B3" w:rsidRDefault="00662ADF" w:rsidP="00453547">
      <w:pPr>
        <w:spacing w:after="240"/>
      </w:pPr>
      <w:r>
        <w:rPr>
          <w:rFonts w:ascii="Arial" w:hAnsi="Arial" w:cs="Arial"/>
          <w:sz w:val="30"/>
          <w:szCs w:val="30"/>
        </w:rPr>
        <w:t>Бухгалтерская отчетность АО «Альфа-Банк» за 2023-2025 гг.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5852160" cy="8058934"/>
            <wp:effectExtent l="0" t="0" r="0" b="0"/>
            <wp:docPr id="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5352" cy="806332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.1 – Бухгалтерский баланс АО «Альфа-Банк» за 2025г.</w:t>
      </w:r>
    </w:p>
    <w:p w:rsidR="00E77852" w:rsidRPr="00EA06B3" w:rsidRDefault="00662ADF">
      <w:pPr>
        <w:pStyle w:val="a8"/>
        <w:ind w:left="0" w:right="0"/>
        <w:rPr>
          <w:color w:val="000000"/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5920740" cy="8618135"/>
            <wp:effectExtent l="0" t="0" r="3810" b="0"/>
            <wp:docPr id="4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936" cy="86475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.2 – Бухгалтерский баланс АО «Альфа-Банк» за 2025г. продолжение</w:t>
      </w:r>
    </w:p>
    <w:p w:rsidR="00E77852" w:rsidRDefault="00662ADF">
      <w:pPr>
        <w:pStyle w:val="a8"/>
        <w:ind w:left="0" w:right="0"/>
        <w:rPr>
          <w:color w:val="000000"/>
          <w:sz w:val="28"/>
          <w:szCs w:val="28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6388704" cy="8465820"/>
            <wp:effectExtent l="0" t="0" r="0" b="0"/>
            <wp:docPr id="5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2298" cy="847058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.3 – Бухгалтерский баланс АО «Альфа-Банк» за 2024г.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 w:rsidP="00EA06B3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6375797" cy="8084820"/>
            <wp:effectExtent l="0" t="0" r="6350" b="0"/>
            <wp:docPr id="6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8934" cy="808879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.4 – Бухгалтерский баланс АО «Альфа-Банк» за 2024г. продолжение</w:t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6157595" cy="8512810"/>
            <wp:effectExtent l="0" t="0" r="14605" b="6350"/>
            <wp:docPr id="7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8512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.5 – Отчет о финансовых результатах АО «Альфа-Банк» за 2025г.</w:t>
      </w:r>
    </w:p>
    <w:p w:rsidR="00E77852" w:rsidRDefault="00E77852" w:rsidP="00CB296F">
      <w:pPr>
        <w:pStyle w:val="a8"/>
        <w:ind w:left="0" w:right="0"/>
        <w:jc w:val="center"/>
        <w:rPr>
          <w:sz w:val="28"/>
          <w:szCs w:val="28"/>
          <w:lang w:eastAsia="ar-SA"/>
        </w:rPr>
      </w:pP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6119495" cy="7998460"/>
            <wp:effectExtent l="0" t="0" r="6985" b="2540"/>
            <wp:docPr id="8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99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E77852">
      <w:pPr>
        <w:pStyle w:val="a8"/>
        <w:ind w:left="0" w:right="0"/>
        <w:rPr>
          <w:sz w:val="28"/>
          <w:szCs w:val="28"/>
          <w:lang w:eastAsia="ar-SA"/>
        </w:rPr>
      </w:pP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.6 – Отчет о финансовых результатах АО «Альфа-Банк» за 2025г. продолжение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6111875" cy="8680450"/>
            <wp:effectExtent l="0" t="0" r="14605" b="6350"/>
            <wp:docPr id="9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868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Pr="00901729" w:rsidRDefault="00662ADF" w:rsidP="00CB296F">
      <w:pPr>
        <w:pStyle w:val="a8"/>
        <w:spacing w:before="120" w:after="240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.7 – Отчет о финансовых результатах АО «Альфа-Банк» за 2024г.</w:t>
      </w:r>
    </w:p>
    <w:p w:rsidR="00E77852" w:rsidRDefault="00662ADF">
      <w:pPr>
        <w:pStyle w:val="a8"/>
        <w:ind w:left="0" w:right="0"/>
        <w:rPr>
          <w:sz w:val="28"/>
          <w:szCs w:val="28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>
            <wp:extent cx="6111875" cy="8650605"/>
            <wp:effectExtent l="0" t="0" r="14605" b="5715"/>
            <wp:docPr id="10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8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8650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7852" w:rsidRDefault="00662ADF" w:rsidP="00CB296F">
      <w:pPr>
        <w:pStyle w:val="a8"/>
        <w:spacing w:before="120" w:after="240"/>
        <w:ind w:left="0" w:right="0"/>
        <w:jc w:val="center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.8 – Отчет о финансовых результатах АО «Альфа-Банк» за 2024г. продолжение</w:t>
      </w:r>
    </w:p>
    <w:sectPr w:rsidR="00E77852" w:rsidSect="00601D69">
      <w:headerReference w:type="default" r:id="rId18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836" w:rsidRDefault="008F7836" w:rsidP="005A4D84">
      <w:r>
        <w:separator/>
      </w:r>
    </w:p>
  </w:endnote>
  <w:endnote w:type="continuationSeparator" w:id="0">
    <w:p w:rsidR="008F7836" w:rsidRDefault="008F7836" w:rsidP="005A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CYR">
    <w:panose1 w:val="020B06040202020202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836" w:rsidRDefault="008F7836" w:rsidP="005A4D84">
      <w:r>
        <w:separator/>
      </w:r>
    </w:p>
  </w:footnote>
  <w:footnote w:type="continuationSeparator" w:id="0">
    <w:p w:rsidR="008F7836" w:rsidRDefault="008F7836" w:rsidP="005A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410" w:rsidRDefault="00934410" w:rsidP="00934410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1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25"/>
      <w:gridCol w:w="3225"/>
      <w:gridCol w:w="3223"/>
    </w:tblGrid>
    <w:tr w:rsidR="00601D69" w:rsidTr="0089797F">
      <w:trPr>
        <w:trHeight w:val="263"/>
      </w:trPr>
      <w:tc>
        <w:tcPr>
          <w:tcW w:w="1667" w:type="pct"/>
        </w:tcPr>
        <w:p w:rsidR="00601D69" w:rsidRDefault="00601D69">
          <w:pPr>
            <w:pStyle w:val="ab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601D69" w:rsidRDefault="00601D69">
          <w:pPr>
            <w:pStyle w:val="ab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601D69" w:rsidRDefault="00601D69">
          <w:pPr>
            <w:pStyle w:val="ab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>
            <w:rPr>
              <w:color w:val="5B9BD5" w:themeColor="accent1"/>
            </w:rPr>
            <w:fldChar w:fldCharType="begin"/>
          </w:r>
          <w:r>
            <w:rPr>
              <w:color w:val="5B9BD5" w:themeColor="accent1"/>
            </w:rPr>
            <w:instrText>PAGE   \* MERGEFORMAT</w:instrText>
          </w:r>
          <w:r>
            <w:rPr>
              <w:color w:val="5B9BD5" w:themeColor="accent1"/>
            </w:rPr>
            <w:fldChar w:fldCharType="separate"/>
          </w:r>
          <w:r w:rsidR="00E3355F">
            <w:rPr>
              <w:noProof/>
              <w:color w:val="5B9BD5" w:themeColor="accent1"/>
            </w:rPr>
            <w:t>17</w:t>
          </w:r>
          <w:r>
            <w:rPr>
              <w:color w:val="5B9BD5" w:themeColor="accent1"/>
            </w:rPr>
            <w:fldChar w:fldCharType="end"/>
          </w:r>
        </w:p>
      </w:tc>
    </w:tr>
  </w:tbl>
  <w:p w:rsidR="00601D69" w:rsidRDefault="00601D69" w:rsidP="00934410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4D55"/>
    <w:multiLevelType w:val="multilevel"/>
    <w:tmpl w:val="E50CB4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35B27FA"/>
    <w:multiLevelType w:val="multilevel"/>
    <w:tmpl w:val="97BC99C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77833FC5"/>
    <w:multiLevelType w:val="multilevel"/>
    <w:tmpl w:val="46DAA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33"/>
    <w:rsid w:val="0000655E"/>
    <w:rsid w:val="00012998"/>
    <w:rsid w:val="00016231"/>
    <w:rsid w:val="000219FF"/>
    <w:rsid w:val="000507CE"/>
    <w:rsid w:val="000557AE"/>
    <w:rsid w:val="00065962"/>
    <w:rsid w:val="000A72BE"/>
    <w:rsid w:val="000C3CB4"/>
    <w:rsid w:val="000C7BA9"/>
    <w:rsid w:val="00113178"/>
    <w:rsid w:val="00122669"/>
    <w:rsid w:val="0013008D"/>
    <w:rsid w:val="00132463"/>
    <w:rsid w:val="0013662C"/>
    <w:rsid w:val="0013741E"/>
    <w:rsid w:val="001502B4"/>
    <w:rsid w:val="001523FE"/>
    <w:rsid w:val="001730C4"/>
    <w:rsid w:val="0019501A"/>
    <w:rsid w:val="00195C7F"/>
    <w:rsid w:val="001B6D16"/>
    <w:rsid w:val="001D3C47"/>
    <w:rsid w:val="001D76F7"/>
    <w:rsid w:val="00202DC3"/>
    <w:rsid w:val="002039C3"/>
    <w:rsid w:val="0021749B"/>
    <w:rsid w:val="002237CB"/>
    <w:rsid w:val="002242CA"/>
    <w:rsid w:val="00253EFB"/>
    <w:rsid w:val="002613E0"/>
    <w:rsid w:val="00290F6D"/>
    <w:rsid w:val="00295EFB"/>
    <w:rsid w:val="002A0637"/>
    <w:rsid w:val="002A64A1"/>
    <w:rsid w:val="002B3ABE"/>
    <w:rsid w:val="00321E49"/>
    <w:rsid w:val="003425EE"/>
    <w:rsid w:val="00360335"/>
    <w:rsid w:val="0036371D"/>
    <w:rsid w:val="003A45E9"/>
    <w:rsid w:val="003B1C0D"/>
    <w:rsid w:val="003B4A8A"/>
    <w:rsid w:val="003B5BDE"/>
    <w:rsid w:val="003D02FE"/>
    <w:rsid w:val="003E2978"/>
    <w:rsid w:val="003E68F5"/>
    <w:rsid w:val="00411637"/>
    <w:rsid w:val="00451A1A"/>
    <w:rsid w:val="00453547"/>
    <w:rsid w:val="00460AF4"/>
    <w:rsid w:val="00476A69"/>
    <w:rsid w:val="00477980"/>
    <w:rsid w:val="00481679"/>
    <w:rsid w:val="004A7AEB"/>
    <w:rsid w:val="004F6BD7"/>
    <w:rsid w:val="0051562A"/>
    <w:rsid w:val="00530180"/>
    <w:rsid w:val="00564372"/>
    <w:rsid w:val="005759F8"/>
    <w:rsid w:val="005A4D84"/>
    <w:rsid w:val="005D328B"/>
    <w:rsid w:val="005D40D0"/>
    <w:rsid w:val="00600983"/>
    <w:rsid w:val="00600EB8"/>
    <w:rsid w:val="00601D69"/>
    <w:rsid w:val="006353CF"/>
    <w:rsid w:val="00662ADF"/>
    <w:rsid w:val="00685437"/>
    <w:rsid w:val="00695EF7"/>
    <w:rsid w:val="006A3943"/>
    <w:rsid w:val="006C5827"/>
    <w:rsid w:val="006C5FF9"/>
    <w:rsid w:val="006E4E0E"/>
    <w:rsid w:val="007021F7"/>
    <w:rsid w:val="00711626"/>
    <w:rsid w:val="00724701"/>
    <w:rsid w:val="007347CF"/>
    <w:rsid w:val="00736121"/>
    <w:rsid w:val="0074007B"/>
    <w:rsid w:val="00747532"/>
    <w:rsid w:val="00752EE7"/>
    <w:rsid w:val="007635B9"/>
    <w:rsid w:val="007827A4"/>
    <w:rsid w:val="007935F5"/>
    <w:rsid w:val="007A519C"/>
    <w:rsid w:val="007B09D6"/>
    <w:rsid w:val="007C411E"/>
    <w:rsid w:val="007D1CFC"/>
    <w:rsid w:val="007E181D"/>
    <w:rsid w:val="007F4687"/>
    <w:rsid w:val="00807A22"/>
    <w:rsid w:val="00813444"/>
    <w:rsid w:val="00820E33"/>
    <w:rsid w:val="00830C55"/>
    <w:rsid w:val="0084024B"/>
    <w:rsid w:val="0084533B"/>
    <w:rsid w:val="00894D56"/>
    <w:rsid w:val="0089797F"/>
    <w:rsid w:val="008D049E"/>
    <w:rsid w:val="008D12B4"/>
    <w:rsid w:val="008D5FDB"/>
    <w:rsid w:val="008E5622"/>
    <w:rsid w:val="008F6C3E"/>
    <w:rsid w:val="008F7836"/>
    <w:rsid w:val="00901729"/>
    <w:rsid w:val="00916278"/>
    <w:rsid w:val="00923D3B"/>
    <w:rsid w:val="00934410"/>
    <w:rsid w:val="009455CC"/>
    <w:rsid w:val="00972B58"/>
    <w:rsid w:val="00984776"/>
    <w:rsid w:val="009923BF"/>
    <w:rsid w:val="0099685B"/>
    <w:rsid w:val="009B3204"/>
    <w:rsid w:val="009B72BE"/>
    <w:rsid w:val="009E3952"/>
    <w:rsid w:val="009E7FA0"/>
    <w:rsid w:val="009F1D62"/>
    <w:rsid w:val="009F23D2"/>
    <w:rsid w:val="00A14AB0"/>
    <w:rsid w:val="00A173BF"/>
    <w:rsid w:val="00A21076"/>
    <w:rsid w:val="00A61AC5"/>
    <w:rsid w:val="00A66868"/>
    <w:rsid w:val="00AA199B"/>
    <w:rsid w:val="00AA5800"/>
    <w:rsid w:val="00AB0006"/>
    <w:rsid w:val="00AD72AB"/>
    <w:rsid w:val="00AE4F87"/>
    <w:rsid w:val="00B05F75"/>
    <w:rsid w:val="00B072A7"/>
    <w:rsid w:val="00B35B8E"/>
    <w:rsid w:val="00B41C7E"/>
    <w:rsid w:val="00B52F67"/>
    <w:rsid w:val="00B53C39"/>
    <w:rsid w:val="00B541DD"/>
    <w:rsid w:val="00B97B5B"/>
    <w:rsid w:val="00BA18F5"/>
    <w:rsid w:val="00BA22DD"/>
    <w:rsid w:val="00C4382A"/>
    <w:rsid w:val="00C5283E"/>
    <w:rsid w:val="00C64E63"/>
    <w:rsid w:val="00C92917"/>
    <w:rsid w:val="00CB296F"/>
    <w:rsid w:val="00CC6F99"/>
    <w:rsid w:val="00D07EC2"/>
    <w:rsid w:val="00D52040"/>
    <w:rsid w:val="00D55D8F"/>
    <w:rsid w:val="00D60699"/>
    <w:rsid w:val="00D8052D"/>
    <w:rsid w:val="00D812CA"/>
    <w:rsid w:val="00D91837"/>
    <w:rsid w:val="00D92961"/>
    <w:rsid w:val="00D93B67"/>
    <w:rsid w:val="00DD4655"/>
    <w:rsid w:val="00DE0CC1"/>
    <w:rsid w:val="00DF3D0F"/>
    <w:rsid w:val="00DF7E52"/>
    <w:rsid w:val="00E001B7"/>
    <w:rsid w:val="00E21B77"/>
    <w:rsid w:val="00E21D34"/>
    <w:rsid w:val="00E3355F"/>
    <w:rsid w:val="00E414B9"/>
    <w:rsid w:val="00E41693"/>
    <w:rsid w:val="00E4176C"/>
    <w:rsid w:val="00E5017A"/>
    <w:rsid w:val="00E62CDB"/>
    <w:rsid w:val="00E72E2A"/>
    <w:rsid w:val="00E77852"/>
    <w:rsid w:val="00EA06B3"/>
    <w:rsid w:val="00EC50AD"/>
    <w:rsid w:val="00ED53BA"/>
    <w:rsid w:val="00EE6DE6"/>
    <w:rsid w:val="00F14047"/>
    <w:rsid w:val="00F56564"/>
    <w:rsid w:val="00F61D17"/>
    <w:rsid w:val="00F72D71"/>
    <w:rsid w:val="00F73CF9"/>
    <w:rsid w:val="00F740A3"/>
    <w:rsid w:val="00F92B15"/>
    <w:rsid w:val="00F95B8C"/>
    <w:rsid w:val="00F96D4E"/>
    <w:rsid w:val="00FB2BB7"/>
    <w:rsid w:val="00FB657C"/>
    <w:rsid w:val="00FC0503"/>
    <w:rsid w:val="00FE4A81"/>
    <w:rsid w:val="08C3758B"/>
    <w:rsid w:val="243D5814"/>
    <w:rsid w:val="404F31A5"/>
    <w:rsid w:val="4B34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0EA89E"/>
  <w15:docId w15:val="{F483EA12-0440-4F5A-8913-5D63254F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rPr>
      <w:color w:val="800080"/>
      <w:u w:val="single"/>
    </w:rPr>
  </w:style>
  <w:style w:type="character" w:styleId="a4">
    <w:name w:val="Hyperlink"/>
    <w:basedOn w:val="a0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8">
    <w:name w:val="Block Text"/>
    <w:basedOn w:val="a"/>
    <w:qFormat/>
    <w:pPr>
      <w:ind w:left="851" w:right="821"/>
      <w:jc w:val="both"/>
    </w:pPr>
    <w:rPr>
      <w:sz w:val="32"/>
      <w:szCs w:val="20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4">
    <w:name w:val="Font Style44"/>
    <w:qFormat/>
    <w:rPr>
      <w:rFonts w:ascii="Times New Roman" w:hAnsi="Times New Roman" w:cs="Times New Roman"/>
      <w:sz w:val="18"/>
      <w:szCs w:val="18"/>
    </w:rPr>
  </w:style>
  <w:style w:type="paragraph" w:customStyle="1" w:styleId="msonormaldop">
    <w:name w:val="msonormaldop"/>
    <w:qFormat/>
    <w:pPr>
      <w:ind w:firstLine="709"/>
      <w:jc w:val="both"/>
    </w:pPr>
    <w:rPr>
      <w:rFonts w:eastAsia="Times New Roman"/>
      <w:sz w:val="24"/>
      <w:szCs w:val="24"/>
    </w:rPr>
  </w:style>
  <w:style w:type="paragraph" w:customStyle="1" w:styleId="docdata">
    <w:name w:val="docdata"/>
    <w:basedOn w:val="a"/>
    <w:qFormat/>
    <w:pPr>
      <w:spacing w:before="100" w:beforeAutospacing="1" w:after="100" w:afterAutospacing="1"/>
    </w:p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5643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5A4D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4D84"/>
    <w:rPr>
      <w:rFonts w:eastAsia="Times New Roman"/>
      <w:sz w:val="24"/>
      <w:szCs w:val="24"/>
    </w:rPr>
  </w:style>
  <w:style w:type="paragraph" w:styleId="ad">
    <w:name w:val="footer"/>
    <w:basedOn w:val="a"/>
    <w:link w:val="ae"/>
    <w:unhideWhenUsed/>
    <w:rsid w:val="005A4D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4D84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F5F28-0D79-4EF1-8DF6-D93450F7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34</Pages>
  <Words>5743</Words>
  <Characters>32738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vvsu</Company>
  <LinksUpToDate>false</LinksUpToDate>
  <CharactersWithSpaces>38405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shelygina</dc:creator>
  <cp:lastModifiedBy>zaiki</cp:lastModifiedBy>
  <cp:revision>3</cp:revision>
  <cp:lastPrinted>2017-01-18T04:42:00Z</cp:lastPrinted>
  <dcterms:created xsi:type="dcterms:W3CDTF">2026-07-13T11:24:00Z</dcterms:created>
  <dcterms:modified xsi:type="dcterms:W3CDTF">2026-07-13T13:59:00Z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eyJoZGlkIjoiMzEwNTM5NzYwMDRjMzkwZTVkZjY2ODkwMGIxNGU0OTUiLCJ1c2VySWQiOiI4NDI0MDY3NDA3NjUifQ==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3FE8A9012EE94F978A1BF1992F7269E9_13</vt:lpwstr>
  </property>
</Properties>
</file>