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72BC" w14:textId="77777777" w:rsidR="00D0208C" w:rsidRPr="00E870D2" w:rsidRDefault="00D0208C" w:rsidP="00D0208C">
      <w:pPr>
        <w:spacing w:line="360" w:lineRule="auto"/>
        <w:contextualSpacing/>
        <w:rPr>
          <w:rFonts w:ascii="Times New Roman" w:hAnsi="Times New Roman" w:cs="Times New Roman"/>
          <w:sz w:val="24"/>
          <w:szCs w:val="24"/>
        </w:rPr>
      </w:pPr>
      <w:r w:rsidRPr="00E870D2">
        <w:rPr>
          <w:rFonts w:ascii="Times New Roman" w:hAnsi="Times New Roman" w:cs="Times New Roman"/>
          <w:sz w:val="24"/>
          <w:szCs w:val="24"/>
        </w:rPr>
        <w:t>УДК</w:t>
      </w:r>
      <w:r>
        <w:rPr>
          <w:rFonts w:ascii="Times New Roman" w:hAnsi="Times New Roman" w:cs="Times New Roman"/>
          <w:sz w:val="24"/>
          <w:szCs w:val="24"/>
        </w:rPr>
        <w:t xml:space="preserve"> 656.02</w:t>
      </w:r>
    </w:p>
    <w:p w14:paraId="201598F9" w14:textId="288E5DDD" w:rsidR="00D0208C" w:rsidRDefault="00D0208C" w:rsidP="00D0208C">
      <w:pPr>
        <w:spacing w:after="0" w:line="240" w:lineRule="auto"/>
        <w:ind w:firstLine="709"/>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Pr>
          <w:rStyle w:val="ac"/>
          <w:rFonts w:ascii="Segoe UI" w:hAnsi="Segoe UI" w:cs="Segoe UI"/>
          <w:color w:val="0F1115"/>
          <w:shd w:val="clear" w:color="auto" w:fill="FFFFFF"/>
        </w:rPr>
        <w:t>Экономическая эффективность внедрения цифровых двойников на объектах портовой инфраструктуры Арктики</w:t>
      </w:r>
    </w:p>
    <w:p w14:paraId="779A59E7"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Винокурова Виктория Дмитриевна </w:t>
      </w:r>
    </w:p>
    <w:p w14:paraId="7777DDC3"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бакалавр</w:t>
      </w:r>
    </w:p>
    <w:p w14:paraId="4C8382F1"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Владивостокский государственный университет</w:t>
      </w:r>
    </w:p>
    <w:p w14:paraId="6C433030"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Россия. Владивосток</w:t>
      </w:r>
    </w:p>
    <w:p w14:paraId="689C9D11"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lang w:val="en-US"/>
        </w:rPr>
        <w:t>E</w:t>
      </w:r>
      <w:r w:rsidRPr="00290D12">
        <w:rPr>
          <w:rFonts w:ascii="Times New Roman" w:hAnsi="Times New Roman" w:cs="Times New Roman"/>
          <w:sz w:val="24"/>
          <w:szCs w:val="24"/>
        </w:rPr>
        <w:t>-</w:t>
      </w:r>
      <w:r>
        <w:rPr>
          <w:rFonts w:ascii="Times New Roman" w:hAnsi="Times New Roman" w:cs="Times New Roman"/>
          <w:sz w:val="24"/>
          <w:szCs w:val="24"/>
          <w:lang w:val="en-US"/>
        </w:rPr>
        <w:t>mail</w:t>
      </w:r>
      <w:r w:rsidRPr="00290D1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vinokurova</w:t>
      </w:r>
      <w:proofErr w:type="spellEnd"/>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vekas</w:t>
      </w:r>
      <w:proofErr w:type="spellEnd"/>
      <w:r w:rsidRPr="00290D12">
        <w:rPr>
          <w:rFonts w:ascii="Times New Roman" w:hAnsi="Times New Roman" w:cs="Times New Roman"/>
          <w:sz w:val="24"/>
          <w:szCs w:val="24"/>
        </w:rPr>
        <w:t>@</w:t>
      </w:r>
      <w:r>
        <w:rPr>
          <w:rFonts w:ascii="Times New Roman" w:hAnsi="Times New Roman" w:cs="Times New Roman"/>
          <w:sz w:val="24"/>
          <w:szCs w:val="24"/>
          <w:lang w:val="en-US"/>
        </w:rPr>
        <w:t>mail</w:t>
      </w:r>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290D12">
        <w:rPr>
          <w:rFonts w:ascii="Times New Roman" w:hAnsi="Times New Roman" w:cs="Times New Roman"/>
          <w:sz w:val="24"/>
          <w:szCs w:val="24"/>
        </w:rPr>
        <w:t xml:space="preserve"> </w:t>
      </w:r>
      <w:r>
        <w:rPr>
          <w:rFonts w:ascii="Times New Roman" w:hAnsi="Times New Roman" w:cs="Times New Roman"/>
          <w:sz w:val="24"/>
          <w:szCs w:val="24"/>
        </w:rPr>
        <w:t>Тел</w:t>
      </w:r>
      <w:r w:rsidRPr="00290D12">
        <w:rPr>
          <w:rFonts w:ascii="Times New Roman" w:hAnsi="Times New Roman" w:cs="Times New Roman"/>
          <w:sz w:val="24"/>
          <w:szCs w:val="24"/>
        </w:rPr>
        <w:t xml:space="preserve">. </w:t>
      </w:r>
      <w:r>
        <w:rPr>
          <w:rFonts w:ascii="Times New Roman" w:hAnsi="Times New Roman" w:cs="Times New Roman"/>
          <w:sz w:val="24"/>
          <w:szCs w:val="24"/>
        </w:rPr>
        <w:t>+79502855185</w:t>
      </w:r>
    </w:p>
    <w:p w14:paraId="5B428A4A"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ул. Гоголя, 41, г. Владивосток, Приморский край, Россия, 690014</w:t>
      </w:r>
    </w:p>
    <w:p w14:paraId="22C00F0D" w14:textId="652A20C5"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Руководитель работы: Яценко Александр Алексеевич</w:t>
      </w:r>
    </w:p>
    <w:p w14:paraId="3D0E3B37" w14:textId="2769E37D"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Старший преподаватель кафедры ТПТ</w:t>
      </w:r>
    </w:p>
    <w:p w14:paraId="6602907C"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Владивостокский государственный университет</w:t>
      </w:r>
    </w:p>
    <w:p w14:paraId="0B6DC748" w14:textId="77777777" w:rsidR="00D0208C"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Россия. Владивосток</w:t>
      </w:r>
    </w:p>
    <w:p w14:paraId="0D82CDA8" w14:textId="15AD96DB" w:rsidR="00D0208C" w:rsidRPr="00911B65"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lang w:val="en-US"/>
        </w:rPr>
        <w:t>E</w:t>
      </w:r>
      <w:r w:rsidRPr="00911B65">
        <w:rPr>
          <w:rFonts w:ascii="Times New Roman" w:hAnsi="Times New Roman" w:cs="Times New Roman"/>
          <w:sz w:val="24"/>
          <w:szCs w:val="24"/>
        </w:rPr>
        <w:t>-</w:t>
      </w:r>
      <w:r>
        <w:rPr>
          <w:rFonts w:ascii="Times New Roman" w:hAnsi="Times New Roman" w:cs="Times New Roman"/>
          <w:sz w:val="24"/>
          <w:szCs w:val="24"/>
          <w:lang w:val="en-US"/>
        </w:rPr>
        <w:t>mail</w:t>
      </w:r>
      <w:r w:rsidRPr="00911B65">
        <w:rPr>
          <w:rFonts w:ascii="Times New Roman" w:hAnsi="Times New Roman" w:cs="Times New Roman"/>
          <w:sz w:val="24"/>
          <w:szCs w:val="24"/>
        </w:rPr>
        <w:t xml:space="preserve">: </w:t>
      </w:r>
      <w:r w:rsidRPr="00D0208C">
        <w:rPr>
          <w:rFonts w:ascii="Times New Roman" w:hAnsi="Times New Roman" w:cs="Times New Roman"/>
          <w:sz w:val="24"/>
          <w:szCs w:val="24"/>
          <w:lang w:val="en-US"/>
        </w:rPr>
        <w:t>Aleksandr</w:t>
      </w:r>
      <w:r w:rsidRPr="00911B65">
        <w:rPr>
          <w:rFonts w:ascii="Times New Roman" w:hAnsi="Times New Roman" w:cs="Times New Roman"/>
          <w:sz w:val="24"/>
          <w:szCs w:val="24"/>
        </w:rPr>
        <w:t>.</w:t>
      </w:r>
      <w:r w:rsidRPr="00D0208C">
        <w:rPr>
          <w:rFonts w:ascii="Times New Roman" w:hAnsi="Times New Roman" w:cs="Times New Roman"/>
          <w:sz w:val="24"/>
          <w:szCs w:val="24"/>
          <w:lang w:val="en-US"/>
        </w:rPr>
        <w:t>Yatsenko</w:t>
      </w:r>
      <w:r w:rsidRPr="00911B65">
        <w:rPr>
          <w:rFonts w:ascii="Times New Roman" w:hAnsi="Times New Roman" w:cs="Times New Roman"/>
          <w:sz w:val="24"/>
          <w:szCs w:val="24"/>
        </w:rPr>
        <w:t>59@</w:t>
      </w:r>
      <w:proofErr w:type="spellStart"/>
      <w:r w:rsidRPr="00D0208C">
        <w:rPr>
          <w:rFonts w:ascii="Times New Roman" w:hAnsi="Times New Roman" w:cs="Times New Roman"/>
          <w:sz w:val="24"/>
          <w:szCs w:val="24"/>
          <w:lang w:val="en-US"/>
        </w:rPr>
        <w:t>vvsu</w:t>
      </w:r>
      <w:proofErr w:type="spellEnd"/>
      <w:r w:rsidRPr="00911B65">
        <w:rPr>
          <w:rFonts w:ascii="Times New Roman" w:hAnsi="Times New Roman" w:cs="Times New Roman"/>
          <w:sz w:val="24"/>
          <w:szCs w:val="24"/>
        </w:rPr>
        <w:t>.</w:t>
      </w:r>
      <w:proofErr w:type="spellStart"/>
      <w:r w:rsidRPr="00D0208C">
        <w:rPr>
          <w:rFonts w:ascii="Times New Roman" w:hAnsi="Times New Roman" w:cs="Times New Roman"/>
          <w:sz w:val="24"/>
          <w:szCs w:val="24"/>
          <w:lang w:val="en-US"/>
        </w:rPr>
        <w:t>ru</w:t>
      </w:r>
      <w:proofErr w:type="spellEnd"/>
    </w:p>
    <w:p w14:paraId="73478F59" w14:textId="3C8F3027" w:rsidR="00B95B5F" w:rsidRDefault="00D0208C" w:rsidP="00D0208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ул. Гоголя, 41, г. Владивосток, Приморский край, Россия, 690014</w:t>
      </w:r>
    </w:p>
    <w:p w14:paraId="482F2EC6" w14:textId="77777777" w:rsidR="00D0208C" w:rsidRPr="00D0208C" w:rsidRDefault="00D0208C" w:rsidP="00D0208C">
      <w:pPr>
        <w:spacing w:after="0" w:line="240" w:lineRule="auto"/>
        <w:ind w:firstLine="709"/>
        <w:contextualSpacing/>
        <w:jc w:val="center"/>
        <w:rPr>
          <w:rFonts w:ascii="Times New Roman" w:hAnsi="Times New Roman" w:cs="Times New Roman"/>
          <w:sz w:val="24"/>
          <w:szCs w:val="24"/>
        </w:rPr>
      </w:pPr>
    </w:p>
    <w:p w14:paraId="5591A898" w14:textId="18136ED2" w:rsidR="00D0208C" w:rsidRDefault="00D0208C" w:rsidP="000D74B1">
      <w:pPr>
        <w:spacing w:after="0" w:line="240" w:lineRule="auto"/>
        <w:ind w:firstLine="709"/>
        <w:jc w:val="both"/>
        <w:rPr>
          <w:rFonts w:ascii="Times New Roman" w:hAnsi="Times New Roman" w:cs="Times New Roman"/>
          <w:sz w:val="24"/>
          <w:szCs w:val="24"/>
        </w:rPr>
      </w:pPr>
      <w:r w:rsidRPr="00D0208C">
        <w:rPr>
          <w:rFonts w:ascii="Times New Roman" w:hAnsi="Times New Roman" w:cs="Times New Roman"/>
          <w:sz w:val="24"/>
          <w:szCs w:val="24"/>
        </w:rPr>
        <w:t xml:space="preserve">Портовая инфраструктура Арктической зоны РФ функционирует в уникальных условиях: экстремальный климат, многолетняя мерзлота, сезонность навигации, высокая стоимость ошибок и удалённость от центров снабжения. Цифровой двойник (Digital Twin) порта — это динамическая виртуальная модель, которая в режиме реального времени отображает состояние физического объекта, аккумулирует данные с датчиков </w:t>
      </w:r>
      <w:proofErr w:type="spellStart"/>
      <w:r w:rsidRPr="00D0208C">
        <w:rPr>
          <w:rFonts w:ascii="Times New Roman" w:hAnsi="Times New Roman" w:cs="Times New Roman"/>
          <w:sz w:val="24"/>
          <w:szCs w:val="24"/>
        </w:rPr>
        <w:t>IIoT</w:t>
      </w:r>
      <w:proofErr w:type="spellEnd"/>
      <w:r w:rsidRPr="00D0208C">
        <w:rPr>
          <w:rFonts w:ascii="Times New Roman" w:hAnsi="Times New Roman" w:cs="Times New Roman"/>
          <w:sz w:val="24"/>
          <w:szCs w:val="24"/>
        </w:rPr>
        <w:t>, систем SCADA, видеонаблюдения и внешних источников, а также позволяет моделировать сценарии развития, проводить предиктивную аналитику и оптимизировать управленческие решения. Внедрение цифровых двойников в арктических портах способно перевести отрасль от ситуационного управления к предиктивному, что напрямую влияет на экономическую эффективность всей транспортно-логистической системы Северного морского пути (СМП).</w:t>
      </w:r>
    </w:p>
    <w:p w14:paraId="0E9A56DD" w14:textId="77777777" w:rsidR="000D74B1" w:rsidRDefault="000D74B1" w:rsidP="000D74B1">
      <w:pPr>
        <w:spacing w:after="0" w:line="240" w:lineRule="auto"/>
        <w:ind w:firstLine="709"/>
        <w:jc w:val="both"/>
        <w:rPr>
          <w:rFonts w:ascii="Times New Roman" w:hAnsi="Times New Roman" w:cs="Times New Roman"/>
          <w:b/>
          <w:bCs/>
          <w:sz w:val="24"/>
          <w:szCs w:val="24"/>
        </w:rPr>
      </w:pPr>
    </w:p>
    <w:p w14:paraId="5ADC795F" w14:textId="44551387" w:rsidR="000D74B1" w:rsidRPr="009E6A17" w:rsidRDefault="00D0208C" w:rsidP="009E6A17">
      <w:pPr>
        <w:spacing w:after="240" w:line="240" w:lineRule="auto"/>
        <w:ind w:firstLine="709"/>
        <w:jc w:val="both"/>
        <w:rPr>
          <w:rStyle w:val="ac"/>
          <w:rFonts w:ascii="Times New Roman" w:hAnsi="Times New Roman" w:cs="Times New Roman"/>
          <w:b w:val="0"/>
          <w:bCs w:val="0"/>
          <w:sz w:val="24"/>
          <w:szCs w:val="24"/>
        </w:rPr>
      </w:pPr>
      <w:r w:rsidRPr="00D0208C">
        <w:rPr>
          <w:rFonts w:ascii="Times New Roman" w:hAnsi="Times New Roman" w:cs="Times New Roman"/>
          <w:b/>
          <w:bCs/>
          <w:sz w:val="24"/>
          <w:szCs w:val="24"/>
        </w:rPr>
        <w:t xml:space="preserve">Ключевые слова: </w:t>
      </w:r>
      <w:r>
        <w:rPr>
          <w:rFonts w:ascii="Times New Roman" w:hAnsi="Times New Roman" w:cs="Times New Roman"/>
          <w:sz w:val="24"/>
          <w:szCs w:val="24"/>
        </w:rPr>
        <w:t xml:space="preserve">цифровой двойник, инфраструктура, </w:t>
      </w:r>
      <w:r w:rsidR="000D74B1">
        <w:rPr>
          <w:rFonts w:ascii="Times New Roman" w:hAnsi="Times New Roman" w:cs="Times New Roman"/>
          <w:sz w:val="24"/>
          <w:szCs w:val="24"/>
        </w:rPr>
        <w:t>Арктическая</w:t>
      </w:r>
      <w:r>
        <w:rPr>
          <w:rFonts w:ascii="Times New Roman" w:hAnsi="Times New Roman" w:cs="Times New Roman"/>
          <w:sz w:val="24"/>
          <w:szCs w:val="24"/>
        </w:rPr>
        <w:t xml:space="preserve"> зона, </w:t>
      </w:r>
      <w:r w:rsidR="000D74B1">
        <w:rPr>
          <w:rFonts w:ascii="Times New Roman" w:hAnsi="Times New Roman" w:cs="Times New Roman"/>
          <w:sz w:val="24"/>
          <w:szCs w:val="24"/>
        </w:rPr>
        <w:t xml:space="preserve">Северный морской путь, порты, методы. </w:t>
      </w:r>
    </w:p>
    <w:p w14:paraId="525BE78D" w14:textId="52031228" w:rsidR="000D74B1" w:rsidRPr="000D74B1" w:rsidRDefault="000D74B1" w:rsidP="000D74B1">
      <w:pPr>
        <w:ind w:firstLine="708"/>
        <w:jc w:val="center"/>
        <w:rPr>
          <w:rStyle w:val="ac"/>
          <w:rFonts w:ascii="Times New Roman" w:hAnsi="Times New Roman" w:cs="Times New Roman"/>
          <w:color w:val="0F1115"/>
          <w:sz w:val="24"/>
          <w:szCs w:val="24"/>
          <w:shd w:val="clear" w:color="auto" w:fill="FFFFFF"/>
          <w:lang w:val="en-US"/>
        </w:rPr>
      </w:pPr>
      <w:r w:rsidRPr="000D74B1">
        <w:rPr>
          <w:rStyle w:val="ac"/>
          <w:rFonts w:ascii="Times New Roman" w:hAnsi="Times New Roman" w:cs="Times New Roman"/>
          <w:color w:val="0F1115"/>
          <w:sz w:val="24"/>
          <w:szCs w:val="24"/>
          <w:shd w:val="clear" w:color="auto" w:fill="FFFFFF"/>
          <w:lang w:val="en-US"/>
        </w:rPr>
        <w:t>Economic Efficiency of Implementing Digital Twins at Port Infrastructure Facilities in the Arctic</w:t>
      </w:r>
    </w:p>
    <w:p w14:paraId="2D44E0C1" w14:textId="45351354" w:rsidR="000D74B1" w:rsidRPr="00911B65" w:rsidRDefault="000D74B1" w:rsidP="000D74B1">
      <w:pPr>
        <w:spacing w:line="240" w:lineRule="auto"/>
        <w:ind w:firstLine="708"/>
        <w:jc w:val="both"/>
        <w:rPr>
          <w:rFonts w:ascii="Times New Roman" w:hAnsi="Times New Roman" w:cs="Times New Roman"/>
          <w:color w:val="0F1115"/>
          <w:sz w:val="24"/>
          <w:szCs w:val="24"/>
          <w:shd w:val="clear" w:color="auto" w:fill="FFFFFF"/>
          <w:lang w:val="en-US"/>
        </w:rPr>
      </w:pPr>
      <w:r w:rsidRPr="000D74B1">
        <w:rPr>
          <w:rFonts w:ascii="Times New Roman" w:hAnsi="Times New Roman" w:cs="Times New Roman"/>
          <w:color w:val="0F1115"/>
          <w:sz w:val="24"/>
          <w:szCs w:val="24"/>
          <w:shd w:val="clear" w:color="auto" w:fill="FFFFFF"/>
          <w:lang w:val="en-US"/>
        </w:rPr>
        <w:t xml:space="preserve">The port infrastructure of the Russian Arctic zone operates under unique conditions: extreme climate, permafrost, seasonal navigation, high cost of errors, and remoteness from supply centers. A port's Digital Twin is a dynamic virtual model that displays the state of a physical object in real time, accumulates data from </w:t>
      </w:r>
      <w:proofErr w:type="spellStart"/>
      <w:r w:rsidRPr="000D74B1">
        <w:rPr>
          <w:rFonts w:ascii="Times New Roman" w:hAnsi="Times New Roman" w:cs="Times New Roman"/>
          <w:color w:val="0F1115"/>
          <w:sz w:val="24"/>
          <w:szCs w:val="24"/>
          <w:shd w:val="clear" w:color="auto" w:fill="FFFFFF"/>
          <w:lang w:val="en-US"/>
        </w:rPr>
        <w:t>IIoT</w:t>
      </w:r>
      <w:proofErr w:type="spellEnd"/>
      <w:r w:rsidRPr="000D74B1">
        <w:rPr>
          <w:rFonts w:ascii="Times New Roman" w:hAnsi="Times New Roman" w:cs="Times New Roman"/>
          <w:color w:val="0F1115"/>
          <w:sz w:val="24"/>
          <w:szCs w:val="24"/>
          <w:shd w:val="clear" w:color="auto" w:fill="FFFFFF"/>
          <w:lang w:val="en-US"/>
        </w:rPr>
        <w:t xml:space="preserve"> sensors, SCADA systems, video surveillance, and external sources, and also allows for modeling development scenarios, conducting predictive analytics, and optimizing management decisions. The implementation of digital twins in Arctic ports is capable of transitioning the industry from situational management to predictive management, which directly impacts the economic efficiency of the entire transport and logistics system of the Northern Sea Route (NSR).</w:t>
      </w:r>
    </w:p>
    <w:p w14:paraId="342E900C" w14:textId="4BF1A2FE" w:rsidR="000D74B1" w:rsidRPr="000D74B1" w:rsidRDefault="000D74B1" w:rsidP="009E6A17">
      <w:pPr>
        <w:spacing w:after="120" w:line="240" w:lineRule="auto"/>
        <w:ind w:firstLine="709"/>
        <w:jc w:val="both"/>
        <w:rPr>
          <w:rFonts w:ascii="Times New Roman" w:hAnsi="Times New Roman" w:cs="Times New Roman"/>
          <w:sz w:val="32"/>
          <w:szCs w:val="32"/>
          <w:lang w:val="en-US"/>
        </w:rPr>
      </w:pPr>
      <w:r w:rsidRPr="000D74B1">
        <w:rPr>
          <w:rStyle w:val="ac"/>
          <w:rFonts w:ascii="Times New Roman" w:hAnsi="Times New Roman" w:cs="Times New Roman"/>
          <w:color w:val="0F1115"/>
          <w:sz w:val="24"/>
          <w:szCs w:val="24"/>
          <w:shd w:val="clear" w:color="auto" w:fill="FFFFFF"/>
          <w:lang w:val="en-US"/>
        </w:rPr>
        <w:t>Keywords:</w:t>
      </w:r>
      <w:r w:rsidRPr="000D74B1">
        <w:rPr>
          <w:rFonts w:ascii="Times New Roman" w:hAnsi="Times New Roman" w:cs="Times New Roman"/>
          <w:color w:val="0F1115"/>
          <w:sz w:val="24"/>
          <w:szCs w:val="24"/>
          <w:shd w:val="clear" w:color="auto" w:fill="FFFFFF"/>
          <w:lang w:val="en-US"/>
        </w:rPr>
        <w:t> digital twin, infrastructure, Arctic zone, Northern Sea Route (NSR), ports, methods</w:t>
      </w:r>
    </w:p>
    <w:p w14:paraId="40544613" w14:textId="616BED80" w:rsidR="000D74B1" w:rsidRP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t>Для количественной оценки эффективности внедрения цифровых двойников портовой инфраструктуры в Арктике целесообразно использовать комплексный подход, сочетающий:</w:t>
      </w:r>
    </w:p>
    <w:p w14:paraId="37A37063" w14:textId="0483229E" w:rsidR="000D74B1" w:rsidRP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t xml:space="preserve">Метод </w:t>
      </w:r>
      <w:r w:rsidRPr="000D74B1">
        <w:rPr>
          <w:rFonts w:ascii="Times New Roman" w:hAnsi="Times New Roman" w:cs="Times New Roman"/>
          <w:sz w:val="24"/>
          <w:szCs w:val="24"/>
          <w:lang w:val="en-US"/>
        </w:rPr>
        <w:t>ROI</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Return</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on</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Investment</w:t>
      </w:r>
      <w:r w:rsidRPr="000D74B1">
        <w:rPr>
          <w:rFonts w:ascii="Times New Roman" w:hAnsi="Times New Roman" w:cs="Times New Roman"/>
          <w:sz w:val="24"/>
          <w:szCs w:val="24"/>
        </w:rPr>
        <w:t>) — расчёт окупаемости инвестиций на основе сопоставления затрат на создание и эксплуатацию цифрового двойника с достигаемыми экономическими эффектами. Практический опыт показывает, что системы класса «Цифровой двойник» обеспечивают рост эффективности портового хозяйства на 10% и возврат инвестиций через 12-15 месяцев.</w:t>
      </w:r>
    </w:p>
    <w:p w14:paraId="77994621" w14:textId="35D3B614" w:rsidR="000D74B1" w:rsidRP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lastRenderedPageBreak/>
        <w:t xml:space="preserve">Метод </w:t>
      </w:r>
      <w:r w:rsidRPr="000D74B1">
        <w:rPr>
          <w:rFonts w:ascii="Times New Roman" w:hAnsi="Times New Roman" w:cs="Times New Roman"/>
          <w:sz w:val="24"/>
          <w:szCs w:val="24"/>
          <w:lang w:val="en-US"/>
        </w:rPr>
        <w:t>TCO</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Total</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Cost</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of</w:t>
      </w:r>
      <w:r w:rsidRPr="000D74B1">
        <w:rPr>
          <w:rFonts w:ascii="Times New Roman" w:hAnsi="Times New Roman" w:cs="Times New Roman"/>
          <w:sz w:val="24"/>
          <w:szCs w:val="24"/>
        </w:rPr>
        <w:t xml:space="preserve"> </w:t>
      </w:r>
      <w:r w:rsidRPr="000D74B1">
        <w:rPr>
          <w:rFonts w:ascii="Times New Roman" w:hAnsi="Times New Roman" w:cs="Times New Roman"/>
          <w:sz w:val="24"/>
          <w:szCs w:val="24"/>
          <w:lang w:val="en-US"/>
        </w:rPr>
        <w:t>Ownership</w:t>
      </w:r>
      <w:r w:rsidRPr="000D74B1">
        <w:rPr>
          <w:rFonts w:ascii="Times New Roman" w:hAnsi="Times New Roman" w:cs="Times New Roman"/>
          <w:sz w:val="24"/>
          <w:szCs w:val="24"/>
        </w:rPr>
        <w:t>) — оценка совокупной стоимости владения на всём жизненном цикле системы, включая затраты на проектирование, интеграцию с существующей ИТ-инфраструктурой, валидацию модели, обучение персонала и техническую поддержку.</w:t>
      </w:r>
    </w:p>
    <w:p w14:paraId="61FB1876" w14:textId="4E244B5C" w:rsid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t>Сценарное моделирование — проведение экспериментов на цифровом двойнике для оценки «что, если?», что позволяет заранее просчитать эффекты от изменений параметров (например, увеличение скорости загрузки судна, изменение стратегии размещения контейнеров, перераспределение портов доставки).</w:t>
      </w:r>
    </w:p>
    <w:p w14:paraId="0A86AA49" w14:textId="36E5FA13" w:rsidR="000D74B1" w:rsidRP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t>Особенностью расчёта TCO для арктических объектов является необходимость учёта дополнительных факторов:</w:t>
      </w:r>
    </w:p>
    <w:p w14:paraId="7B862A4E" w14:textId="38802BDC" w:rsidR="000D74B1" w:rsidRPr="000D74B1" w:rsidRDefault="000D74B1" w:rsidP="009E6A17">
      <w:pPr>
        <w:pStyle w:val="a7"/>
        <w:numPr>
          <w:ilvl w:val="0"/>
          <w:numId w:val="1"/>
        </w:numPr>
        <w:spacing w:after="120" w:line="240" w:lineRule="auto"/>
        <w:jc w:val="both"/>
        <w:rPr>
          <w:rFonts w:ascii="Times New Roman" w:hAnsi="Times New Roman" w:cs="Times New Roman"/>
          <w:sz w:val="24"/>
          <w:szCs w:val="24"/>
        </w:rPr>
      </w:pPr>
      <w:r w:rsidRPr="000D74B1">
        <w:rPr>
          <w:rFonts w:ascii="Times New Roman" w:hAnsi="Times New Roman" w:cs="Times New Roman"/>
          <w:sz w:val="24"/>
          <w:szCs w:val="24"/>
        </w:rPr>
        <w:t>повышенных затрат на развёртывание сенсорной инфраструктуры в условиях экстремального климата;</w:t>
      </w:r>
    </w:p>
    <w:p w14:paraId="79E088EA" w14:textId="7800D5C2" w:rsidR="000D74B1" w:rsidRPr="000D74B1" w:rsidRDefault="000D74B1" w:rsidP="009E6A17">
      <w:pPr>
        <w:pStyle w:val="a7"/>
        <w:numPr>
          <w:ilvl w:val="0"/>
          <w:numId w:val="1"/>
        </w:numPr>
        <w:spacing w:after="120" w:line="240" w:lineRule="auto"/>
        <w:jc w:val="both"/>
        <w:rPr>
          <w:rFonts w:ascii="Times New Roman" w:hAnsi="Times New Roman" w:cs="Times New Roman"/>
          <w:sz w:val="24"/>
          <w:szCs w:val="24"/>
        </w:rPr>
      </w:pPr>
      <w:r w:rsidRPr="000D74B1">
        <w:rPr>
          <w:rFonts w:ascii="Times New Roman" w:hAnsi="Times New Roman" w:cs="Times New Roman"/>
          <w:sz w:val="24"/>
          <w:szCs w:val="24"/>
        </w:rPr>
        <w:t>удорожания каналов связи и энергоснабжения;</w:t>
      </w:r>
    </w:p>
    <w:p w14:paraId="0B7C01AD" w14:textId="72E17FC4" w:rsidR="000D74B1" w:rsidRDefault="000D74B1" w:rsidP="009E6A17">
      <w:pPr>
        <w:pStyle w:val="a7"/>
        <w:numPr>
          <w:ilvl w:val="0"/>
          <w:numId w:val="1"/>
        </w:numPr>
        <w:spacing w:after="120" w:line="240" w:lineRule="auto"/>
        <w:jc w:val="both"/>
        <w:rPr>
          <w:rFonts w:ascii="Times New Roman" w:hAnsi="Times New Roman" w:cs="Times New Roman"/>
          <w:sz w:val="24"/>
          <w:szCs w:val="24"/>
        </w:rPr>
      </w:pPr>
      <w:r w:rsidRPr="000D74B1">
        <w:rPr>
          <w:rFonts w:ascii="Times New Roman" w:hAnsi="Times New Roman" w:cs="Times New Roman"/>
          <w:sz w:val="24"/>
          <w:szCs w:val="24"/>
        </w:rPr>
        <w:t>необходимости создания резервных вычислительных мощностей и обеспечения кибербезопасности критической инфраструктуры в удалённых районах.</w:t>
      </w:r>
    </w:p>
    <w:p w14:paraId="01F7FD08" w14:textId="4F487DBD" w:rsidR="004D382B" w:rsidRPr="004D382B" w:rsidRDefault="004D382B" w:rsidP="009E6A17">
      <w:pPr>
        <w:spacing w:after="120" w:line="240" w:lineRule="auto"/>
        <w:ind w:left="708"/>
        <w:jc w:val="both"/>
        <w:rPr>
          <w:rFonts w:ascii="Times New Roman" w:hAnsi="Times New Roman" w:cs="Times New Roman"/>
          <w:sz w:val="24"/>
          <w:szCs w:val="24"/>
        </w:rPr>
      </w:pPr>
      <w:r w:rsidRPr="004D382B">
        <w:rPr>
          <w:rFonts w:ascii="Times New Roman" w:hAnsi="Times New Roman" w:cs="Times New Roman"/>
          <w:sz w:val="24"/>
          <w:szCs w:val="24"/>
        </w:rPr>
        <w:t>На Международном транспортно-логистическом форуме (МТЛФ) в 2026 году были озвучены обновлённые макроэкономические параметры развития арктической инфраструктуры:</w:t>
      </w:r>
    </w:p>
    <w:p w14:paraId="6454AE11" w14:textId="2B0CA443" w:rsidR="004D382B" w:rsidRPr="004D382B" w:rsidRDefault="004D382B" w:rsidP="009E6A17">
      <w:pPr>
        <w:pStyle w:val="a7"/>
        <w:numPr>
          <w:ilvl w:val="0"/>
          <w:numId w:val="6"/>
        </w:numPr>
        <w:spacing w:after="120" w:line="240" w:lineRule="auto"/>
        <w:ind w:left="1134"/>
        <w:jc w:val="both"/>
        <w:rPr>
          <w:rFonts w:ascii="Times New Roman" w:hAnsi="Times New Roman" w:cs="Times New Roman"/>
          <w:sz w:val="24"/>
          <w:szCs w:val="24"/>
        </w:rPr>
      </w:pPr>
      <w:r w:rsidRPr="004D382B">
        <w:rPr>
          <w:rFonts w:ascii="Times New Roman" w:hAnsi="Times New Roman" w:cs="Times New Roman"/>
          <w:sz w:val="24"/>
          <w:szCs w:val="24"/>
        </w:rPr>
        <w:t>+70 млн тонн — планируемый прирост мощности портов в контуре СМП;</w:t>
      </w:r>
    </w:p>
    <w:p w14:paraId="58375A8B" w14:textId="1F0667B2" w:rsidR="004D382B" w:rsidRPr="004D382B" w:rsidRDefault="004D382B" w:rsidP="009E6A17">
      <w:pPr>
        <w:pStyle w:val="a7"/>
        <w:numPr>
          <w:ilvl w:val="0"/>
          <w:numId w:val="6"/>
        </w:numPr>
        <w:spacing w:after="120" w:line="240" w:lineRule="auto"/>
        <w:ind w:left="1134"/>
        <w:jc w:val="both"/>
        <w:rPr>
          <w:rFonts w:ascii="Times New Roman" w:hAnsi="Times New Roman" w:cs="Times New Roman"/>
          <w:sz w:val="24"/>
          <w:szCs w:val="24"/>
        </w:rPr>
      </w:pPr>
      <w:r w:rsidRPr="004D382B">
        <w:rPr>
          <w:rFonts w:ascii="Times New Roman" w:hAnsi="Times New Roman" w:cs="Times New Roman"/>
          <w:sz w:val="24"/>
          <w:szCs w:val="24"/>
        </w:rPr>
        <w:t>целевой грузопоток по СМП к 2030 году оценивается в диапазоне 70–109 млн тонн;</w:t>
      </w:r>
    </w:p>
    <w:p w14:paraId="3E7EA47D" w14:textId="53C4EAD5" w:rsidR="004D382B" w:rsidRPr="004D382B" w:rsidRDefault="004D382B" w:rsidP="009E6A17">
      <w:pPr>
        <w:pStyle w:val="a7"/>
        <w:numPr>
          <w:ilvl w:val="0"/>
          <w:numId w:val="6"/>
        </w:numPr>
        <w:spacing w:after="120" w:line="240" w:lineRule="auto"/>
        <w:ind w:left="1134"/>
        <w:jc w:val="both"/>
        <w:rPr>
          <w:rFonts w:ascii="Times New Roman" w:hAnsi="Times New Roman" w:cs="Times New Roman"/>
          <w:sz w:val="24"/>
          <w:szCs w:val="24"/>
        </w:rPr>
      </w:pPr>
      <w:r w:rsidRPr="004D382B">
        <w:rPr>
          <w:rFonts w:ascii="Times New Roman" w:hAnsi="Times New Roman" w:cs="Times New Roman"/>
          <w:sz w:val="24"/>
          <w:szCs w:val="24"/>
        </w:rPr>
        <w:t>объём перевозок по коридору «Север–Юг» по итогам 2025 года достиг 21,5 млн тонн;</w:t>
      </w:r>
    </w:p>
    <w:p w14:paraId="142D1709" w14:textId="4471DF0C" w:rsidR="004D382B" w:rsidRPr="004D382B" w:rsidRDefault="004D382B" w:rsidP="009E6A17">
      <w:pPr>
        <w:pStyle w:val="a7"/>
        <w:numPr>
          <w:ilvl w:val="0"/>
          <w:numId w:val="6"/>
        </w:numPr>
        <w:spacing w:after="120" w:line="240" w:lineRule="auto"/>
        <w:ind w:left="1134"/>
        <w:jc w:val="both"/>
        <w:rPr>
          <w:rFonts w:ascii="Times New Roman" w:hAnsi="Times New Roman" w:cs="Times New Roman"/>
          <w:sz w:val="24"/>
          <w:szCs w:val="24"/>
        </w:rPr>
      </w:pPr>
      <w:r w:rsidRPr="004D382B">
        <w:rPr>
          <w:rFonts w:ascii="Times New Roman" w:hAnsi="Times New Roman" w:cs="Times New Roman"/>
          <w:sz w:val="24"/>
          <w:szCs w:val="24"/>
        </w:rPr>
        <w:t>главный тренд, обозначенный участниками форума, — переход от обособленных объектов инфраструктуры к построению глобальной системы маршрутов, где скорость движения грузов определяется не только пропускной способностью путей, но и качеством обмена данными, цифровых сервисов и унификацией стандартов.</w:t>
      </w:r>
    </w:p>
    <w:p w14:paraId="393D4F9C" w14:textId="20D966C6" w:rsidR="004D382B" w:rsidRPr="004D382B" w:rsidRDefault="004D382B" w:rsidP="009E6A17">
      <w:pPr>
        <w:spacing w:after="120" w:line="240" w:lineRule="auto"/>
        <w:ind w:firstLine="708"/>
        <w:jc w:val="both"/>
        <w:rPr>
          <w:rFonts w:ascii="Times New Roman" w:hAnsi="Times New Roman" w:cs="Times New Roman"/>
          <w:sz w:val="24"/>
          <w:szCs w:val="24"/>
        </w:rPr>
      </w:pPr>
      <w:r w:rsidRPr="004D382B">
        <w:rPr>
          <w:rFonts w:ascii="Times New Roman" w:hAnsi="Times New Roman" w:cs="Times New Roman"/>
          <w:sz w:val="24"/>
          <w:szCs w:val="24"/>
        </w:rPr>
        <w:t>Эти цифры создают макроэкономический фундамент для оценки эффективности цифровых двойников: прирост портовых мощностей на 70 млн тонн и целевой грузопоток до 109 млн тонн требуют принципиально нового уровня управления, который без цифровых двойников недостижим.</w:t>
      </w:r>
    </w:p>
    <w:p w14:paraId="258F2DC0" w14:textId="2F58FEC0" w:rsidR="000D74B1" w:rsidRDefault="000D74B1" w:rsidP="009E6A17">
      <w:pPr>
        <w:spacing w:after="120" w:line="240" w:lineRule="auto"/>
        <w:ind w:firstLine="708"/>
        <w:jc w:val="both"/>
        <w:rPr>
          <w:rFonts w:ascii="Times New Roman" w:hAnsi="Times New Roman" w:cs="Times New Roman"/>
          <w:sz w:val="24"/>
          <w:szCs w:val="24"/>
        </w:rPr>
      </w:pPr>
      <w:r w:rsidRPr="000D74B1">
        <w:rPr>
          <w:rFonts w:ascii="Times New Roman" w:hAnsi="Times New Roman" w:cs="Times New Roman"/>
          <w:sz w:val="24"/>
          <w:szCs w:val="24"/>
        </w:rPr>
        <w:t>Исследование факторов, влияющих на экономическую эффективность внедрения цифровых двойников, выявило ключевые аспекты: уровень цифровизации инфраструктуры, требования кибербезопасности и особенности нормативного регулирования — все они имеют повышенное значение именно в арктическом регионе.</w:t>
      </w:r>
    </w:p>
    <w:p w14:paraId="0970E822" w14:textId="28E39245" w:rsidR="004D382B" w:rsidRPr="004D382B" w:rsidRDefault="004D382B" w:rsidP="009E6A17">
      <w:pPr>
        <w:spacing w:after="120" w:line="240" w:lineRule="auto"/>
        <w:ind w:firstLine="708"/>
        <w:jc w:val="both"/>
        <w:rPr>
          <w:rFonts w:ascii="Times New Roman" w:hAnsi="Times New Roman" w:cs="Times New Roman"/>
          <w:sz w:val="24"/>
          <w:szCs w:val="24"/>
        </w:rPr>
      </w:pPr>
      <w:r w:rsidRPr="004D382B">
        <w:rPr>
          <w:rFonts w:ascii="Times New Roman" w:hAnsi="Times New Roman" w:cs="Times New Roman"/>
          <w:sz w:val="24"/>
          <w:szCs w:val="24"/>
        </w:rPr>
        <w:t>Цифровой двойник позволяет:</w:t>
      </w:r>
    </w:p>
    <w:p w14:paraId="74541F6C" w14:textId="783B906F"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Оптимизировать размещение контейнеров и грузов: применение алгоритмов для расчёта оптимальной дислокации контейнеров в складской зоне минимизирует количество перемещений техники и сокращает время обработки судов. В Архангельском морском торговом порту пиковые нагрузки могут достигать тысячи контейнеров за рейс, и оптимизация размещения напрямую снижает эксплуатационные затраты.</w:t>
      </w:r>
    </w:p>
    <w:p w14:paraId="5AC68E43" w14:textId="6D03212B"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Управлять потоками в реальном времени: интеграция с датчиками </w:t>
      </w:r>
      <w:proofErr w:type="spellStart"/>
      <w:r w:rsidRPr="004D382B">
        <w:rPr>
          <w:rFonts w:ascii="Times New Roman" w:hAnsi="Times New Roman" w:cs="Times New Roman"/>
          <w:sz w:val="24"/>
          <w:szCs w:val="24"/>
        </w:rPr>
        <w:t>IoT</w:t>
      </w:r>
      <w:proofErr w:type="spellEnd"/>
      <w:r w:rsidRPr="004D382B">
        <w:rPr>
          <w:rFonts w:ascii="Times New Roman" w:hAnsi="Times New Roman" w:cs="Times New Roman"/>
          <w:sz w:val="24"/>
          <w:szCs w:val="24"/>
        </w:rPr>
        <w:t>, GPS-трекерами и системами видеонаблюдения создаёт интеллектуальную систему управления, способную в реальном времени реагировать на отклонения от планового графика.</w:t>
      </w:r>
    </w:p>
    <w:p w14:paraId="77BE329D" w14:textId="32C1995A"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Повышать производительность: согласно отраслевым данным, внедрение цифровых двойников повышает общую производительность предприятий на 10-30%, а на конкретных объектах (нефтеперерабатывающий завод Repsol) обеспечило сокращение простоев оборудования на 30%.</w:t>
      </w:r>
    </w:p>
    <w:p w14:paraId="3998715B" w14:textId="79250A28"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lastRenderedPageBreak/>
        <w:t>Повышение пропускной способности и рост грузооборота</w:t>
      </w:r>
      <w:r>
        <w:rPr>
          <w:rFonts w:ascii="Times New Roman" w:hAnsi="Times New Roman" w:cs="Times New Roman"/>
          <w:sz w:val="24"/>
          <w:szCs w:val="24"/>
        </w:rPr>
        <w:t>:</w:t>
      </w:r>
    </w:p>
    <w:p w14:paraId="72FB4941" w14:textId="127522B8"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Внедрение Единой платформы цифровых сервисов СМП, базирующейся на технологиях цифровых двойников, по расчётам экспертов обеспечит прирост грузопотока до 2 млн тонн. Экономия на одном </w:t>
      </w:r>
      <w:proofErr w:type="spellStart"/>
      <w:r w:rsidRPr="004D382B">
        <w:rPr>
          <w:rFonts w:ascii="Times New Roman" w:hAnsi="Times New Roman" w:cs="Times New Roman"/>
          <w:sz w:val="24"/>
          <w:szCs w:val="24"/>
        </w:rPr>
        <w:t>судорейсе</w:t>
      </w:r>
      <w:proofErr w:type="spellEnd"/>
      <w:r w:rsidRPr="004D382B">
        <w:rPr>
          <w:rFonts w:ascii="Times New Roman" w:hAnsi="Times New Roman" w:cs="Times New Roman"/>
          <w:sz w:val="24"/>
          <w:szCs w:val="24"/>
        </w:rPr>
        <w:t xml:space="preserve"> оценивается в 950 тыс. руб. с учётом затрат на пользование сервисом. Кроме того, сокращение времени подхода и ожидания судов на 10% и повышение полезного использования ледоколов на 3% дают мультипликативный эффект для всей транспортной системы.</w:t>
      </w:r>
    </w:p>
    <w:p w14:paraId="43BCDDF1" w14:textId="2D362D50" w:rsidR="000D74B1"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На уровне отдельного портового терминала цифровой двойник способен повысить объёмы перевалки и выручки на 4%, с выявленным потенциалом дополнительного роста на 10%.</w:t>
      </w:r>
    </w:p>
    <w:p w14:paraId="15B5EFA0" w14:textId="77777777"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Сокращение издержек на техническое обслуживание и ремонт (ТОиР)</w:t>
      </w:r>
    </w:p>
    <w:p w14:paraId="530128E8" w14:textId="7FB68684"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Цифровые двойники обеспечивают переход от планово-предупредительного обслуживания к обслуживанию «по состоянию» (</w:t>
      </w:r>
      <w:proofErr w:type="spellStart"/>
      <w:r w:rsidRPr="004D382B">
        <w:rPr>
          <w:rFonts w:ascii="Times New Roman" w:hAnsi="Times New Roman" w:cs="Times New Roman"/>
          <w:sz w:val="24"/>
          <w:szCs w:val="24"/>
        </w:rPr>
        <w:t>predictive</w:t>
      </w:r>
      <w:proofErr w:type="spellEnd"/>
      <w:r w:rsidRPr="004D382B">
        <w:rPr>
          <w:rFonts w:ascii="Times New Roman" w:hAnsi="Times New Roman" w:cs="Times New Roman"/>
          <w:sz w:val="24"/>
          <w:szCs w:val="24"/>
        </w:rPr>
        <w:t xml:space="preserve"> </w:t>
      </w:r>
      <w:proofErr w:type="spellStart"/>
      <w:r w:rsidRPr="004D382B">
        <w:rPr>
          <w:rFonts w:ascii="Times New Roman" w:hAnsi="Times New Roman" w:cs="Times New Roman"/>
          <w:sz w:val="24"/>
          <w:szCs w:val="24"/>
        </w:rPr>
        <w:t>maintenance</w:t>
      </w:r>
      <w:proofErr w:type="spellEnd"/>
      <w:r w:rsidRPr="004D382B">
        <w:rPr>
          <w:rFonts w:ascii="Times New Roman" w:hAnsi="Times New Roman" w:cs="Times New Roman"/>
          <w:sz w:val="24"/>
          <w:szCs w:val="24"/>
        </w:rPr>
        <w:t>). Для арктических портов, где внеплановый выход из строя оборудования может привести к остановке работы в короткий навигационный сезон, это критически важно. Снижение эксплуатационных расходов достигается за счёт более точного прогнозирования ремонтных работ и уменьшения необходимости постоянного присутствия персонала на объектах.</w:t>
      </w:r>
    </w:p>
    <w:p w14:paraId="08CD5449" w14:textId="77777777"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Снижение логистических издержек в цепочке поставок</w:t>
      </w:r>
    </w:p>
    <w:p w14:paraId="2041DE4E" w14:textId="44CC9BBB"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По расчётам компании SIMETRA, применение цифровых двойников в транспортной логистике позволяет:</w:t>
      </w:r>
    </w:p>
    <w:p w14:paraId="29069A59" w14:textId="787F30DE" w:rsidR="004D382B" w:rsidRPr="004D382B" w:rsidRDefault="004D382B" w:rsidP="009E6A17">
      <w:pPr>
        <w:pStyle w:val="a7"/>
        <w:numPr>
          <w:ilvl w:val="0"/>
          <w:numId w:val="5"/>
        </w:numPr>
        <w:spacing w:after="120" w:line="240" w:lineRule="auto"/>
        <w:jc w:val="both"/>
        <w:rPr>
          <w:rFonts w:ascii="Times New Roman" w:hAnsi="Times New Roman" w:cs="Times New Roman"/>
          <w:sz w:val="24"/>
          <w:szCs w:val="24"/>
        </w:rPr>
      </w:pPr>
      <w:r w:rsidRPr="004D382B">
        <w:rPr>
          <w:rFonts w:ascii="Times New Roman" w:hAnsi="Times New Roman" w:cs="Times New Roman"/>
          <w:sz w:val="24"/>
          <w:szCs w:val="24"/>
        </w:rPr>
        <w:t>снизить логистические издержки на 18-30%;</w:t>
      </w:r>
    </w:p>
    <w:p w14:paraId="4F590908" w14:textId="4282AFFB" w:rsidR="004D382B" w:rsidRPr="004D382B" w:rsidRDefault="004D382B" w:rsidP="009E6A17">
      <w:pPr>
        <w:pStyle w:val="a7"/>
        <w:numPr>
          <w:ilvl w:val="0"/>
          <w:numId w:val="5"/>
        </w:numPr>
        <w:spacing w:after="120" w:line="240" w:lineRule="auto"/>
        <w:jc w:val="both"/>
        <w:rPr>
          <w:rFonts w:ascii="Times New Roman" w:hAnsi="Times New Roman" w:cs="Times New Roman"/>
          <w:sz w:val="24"/>
          <w:szCs w:val="24"/>
        </w:rPr>
      </w:pPr>
      <w:r w:rsidRPr="004D382B">
        <w:rPr>
          <w:rFonts w:ascii="Times New Roman" w:hAnsi="Times New Roman" w:cs="Times New Roman"/>
          <w:sz w:val="24"/>
          <w:szCs w:val="24"/>
        </w:rPr>
        <w:t>сократить время доставки грузов до 25%.</w:t>
      </w:r>
    </w:p>
    <w:p w14:paraId="55B1E539" w14:textId="25BC5319"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Цифровой двойник логистической цепочки, построенный на основе оптимизационной математики, выявляет наиболее эффективные способы снижения затрат на всём протяжении маршрута от поставщика до конечного получателя.</w:t>
      </w:r>
    </w:p>
    <w:p w14:paraId="133F0440" w14:textId="5ECE6133"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Снижение аварийности и предотвращение экологического ущерба</w:t>
      </w:r>
      <w:r>
        <w:rPr>
          <w:rFonts w:ascii="Times New Roman" w:hAnsi="Times New Roman" w:cs="Times New Roman"/>
          <w:sz w:val="24"/>
          <w:szCs w:val="24"/>
        </w:rPr>
        <w:t>:</w:t>
      </w:r>
    </w:p>
    <w:p w14:paraId="3FB0319C" w14:textId="7392B8F4"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Более 60% аварий в портовой деятельности связаны с человеческим фактором. Цифровые двойники, интегрированные с системами мониторинга (например, </w:t>
      </w:r>
      <w:proofErr w:type="spellStart"/>
      <w:r w:rsidRPr="004D382B">
        <w:rPr>
          <w:rFonts w:ascii="Times New Roman" w:hAnsi="Times New Roman" w:cs="Times New Roman"/>
          <w:sz w:val="24"/>
          <w:szCs w:val="24"/>
        </w:rPr>
        <w:t>MOORiNET</w:t>
      </w:r>
      <w:proofErr w:type="spellEnd"/>
      <w:r w:rsidRPr="004D382B">
        <w:rPr>
          <w:rFonts w:ascii="Times New Roman" w:hAnsi="Times New Roman" w:cs="Times New Roman"/>
          <w:sz w:val="24"/>
          <w:szCs w:val="24"/>
        </w:rPr>
        <w:t xml:space="preserve"> для контроля швартовки с точностью до сантиметра), радикально снижают этот риск. Для арктического региона предотвращение даже одной аварии с разливом нефтепродуктов означает экономию на ликвидации экологического ущерба, стоимость которого в условиях Крайнего Севера многократно превышает среднеотраслевые показатели.</w:t>
      </w:r>
    </w:p>
    <w:p w14:paraId="6B2D2AB4" w14:textId="77777777"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Платформа «Арктик </w:t>
      </w:r>
      <w:proofErr w:type="spellStart"/>
      <w:r w:rsidRPr="004D382B">
        <w:rPr>
          <w:rFonts w:ascii="Times New Roman" w:hAnsi="Times New Roman" w:cs="Times New Roman"/>
          <w:sz w:val="24"/>
          <w:szCs w:val="24"/>
        </w:rPr>
        <w:t>Лабс</w:t>
      </w:r>
      <w:proofErr w:type="spellEnd"/>
      <w:r w:rsidRPr="004D382B">
        <w:rPr>
          <w:rFonts w:ascii="Times New Roman" w:hAnsi="Times New Roman" w:cs="Times New Roman"/>
          <w:sz w:val="24"/>
          <w:szCs w:val="24"/>
        </w:rPr>
        <w:t>» (ФАНУ «</w:t>
      </w:r>
      <w:proofErr w:type="spellStart"/>
      <w:r w:rsidRPr="004D382B">
        <w:rPr>
          <w:rFonts w:ascii="Times New Roman" w:hAnsi="Times New Roman" w:cs="Times New Roman"/>
          <w:sz w:val="24"/>
          <w:szCs w:val="24"/>
        </w:rPr>
        <w:t>Востокгосплан</w:t>
      </w:r>
      <w:proofErr w:type="spellEnd"/>
      <w:r w:rsidRPr="004D382B">
        <w:rPr>
          <w:rFonts w:ascii="Times New Roman" w:hAnsi="Times New Roman" w:cs="Times New Roman"/>
          <w:sz w:val="24"/>
          <w:szCs w:val="24"/>
        </w:rPr>
        <w:t>»)</w:t>
      </w:r>
    </w:p>
    <w:p w14:paraId="4FA0DAB3" w14:textId="3ECC3899"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Цифровой двойник СМП «Арктик </w:t>
      </w:r>
      <w:proofErr w:type="spellStart"/>
      <w:r w:rsidRPr="004D382B">
        <w:rPr>
          <w:rFonts w:ascii="Times New Roman" w:hAnsi="Times New Roman" w:cs="Times New Roman"/>
          <w:sz w:val="24"/>
          <w:szCs w:val="24"/>
        </w:rPr>
        <w:t>Лабс</w:t>
      </w:r>
      <w:proofErr w:type="spellEnd"/>
      <w:r w:rsidRPr="004D382B">
        <w:rPr>
          <w:rFonts w:ascii="Times New Roman" w:hAnsi="Times New Roman" w:cs="Times New Roman"/>
          <w:sz w:val="24"/>
          <w:szCs w:val="24"/>
        </w:rPr>
        <w:t>» объединяет данные о 3104 ключевых проектах, 981 портовом терминале, 853 судах, 269 маршрутах и 48 портах. Система позволяет моделировать сценарии развития арктических проектов, оценивать социально-экономические и экологические эффекты, выявлять «узкие места» инфраструктуры и принимать обоснованные оптимальные управленческие решения. Это уникальный источник эмпирических данных для научного анализа макроэкономической эффективности цифровизации портовой инфраструктуры.</w:t>
      </w:r>
    </w:p>
    <w:p w14:paraId="02BDE5E6" w14:textId="77777777"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Единая платформа цифровых сервисов СМП (ГК «Росатом»)</w:t>
      </w:r>
    </w:p>
    <w:p w14:paraId="1F98E377" w14:textId="4A2951EA"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Введена в опытную эксплуатацию с 2025 года, обеспечивает автоматизированное планирование судоходства, расстановку ледоколов по акватории СМП и адаптивную маршрутизацию. В состав платформы входят портовые измерительные комплексы, наблюдающие беспилотники, базы данных о погодных условиях и загруженности портов. Применены технологии ИИ для распознавания спутниковых снимков. Количественные </w:t>
      </w:r>
      <w:r w:rsidRPr="004D382B">
        <w:rPr>
          <w:rFonts w:ascii="Times New Roman" w:hAnsi="Times New Roman" w:cs="Times New Roman"/>
          <w:sz w:val="24"/>
          <w:szCs w:val="24"/>
        </w:rPr>
        <w:lastRenderedPageBreak/>
        <w:t>показатели эффективности: экономия двух дней в тайм-чартере, сокращение времени ожидания судов на 10%, повышение использования ледоколов на 3%.</w:t>
      </w:r>
    </w:p>
    <w:p w14:paraId="4D14F625" w14:textId="77777777" w:rsidR="004D382B" w:rsidRP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 xml:space="preserve">Цифровой двойник портового терминала (кейс UMNO </w:t>
      </w:r>
      <w:proofErr w:type="spellStart"/>
      <w:r w:rsidRPr="004D382B">
        <w:rPr>
          <w:rFonts w:ascii="Times New Roman" w:hAnsi="Times New Roman" w:cs="Times New Roman"/>
          <w:sz w:val="24"/>
          <w:szCs w:val="24"/>
        </w:rPr>
        <w:t>digital</w:t>
      </w:r>
      <w:proofErr w:type="spellEnd"/>
      <w:r w:rsidRPr="004D382B">
        <w:rPr>
          <w:rFonts w:ascii="Times New Roman" w:hAnsi="Times New Roman" w:cs="Times New Roman"/>
          <w:sz w:val="24"/>
          <w:szCs w:val="24"/>
        </w:rPr>
        <w:t>)</w:t>
      </w:r>
    </w:p>
    <w:p w14:paraId="4415F6EB" w14:textId="3833B711" w:rsidR="004D382B" w:rsidRDefault="004D382B" w:rsidP="009E6A17">
      <w:pPr>
        <w:spacing w:after="120" w:line="240" w:lineRule="auto"/>
        <w:ind w:firstLine="709"/>
        <w:jc w:val="both"/>
        <w:rPr>
          <w:rFonts w:ascii="Times New Roman" w:hAnsi="Times New Roman" w:cs="Times New Roman"/>
          <w:sz w:val="24"/>
          <w:szCs w:val="24"/>
        </w:rPr>
      </w:pPr>
      <w:r w:rsidRPr="004D382B">
        <w:rPr>
          <w:rFonts w:ascii="Times New Roman" w:hAnsi="Times New Roman" w:cs="Times New Roman"/>
          <w:sz w:val="24"/>
          <w:szCs w:val="24"/>
        </w:rPr>
        <w:t>Опыт внедрения показал повышение объёмов перевалки и выручки на 4% с потенциалом дополнительного роста на 10%. Этот кейс демонстрирует, что эффект от цифровых двойников не ограничивается оптимизацией текущих процессов — технология позволяет выявить скрытые резервы роста, недоступные при традиционных методах анализа.</w:t>
      </w:r>
    </w:p>
    <w:p w14:paraId="27CFA34B" w14:textId="77777777" w:rsidR="0019023A" w:rsidRPr="0019023A" w:rsidRDefault="0019023A" w:rsidP="009E6A17">
      <w:pPr>
        <w:spacing w:after="120" w:line="240" w:lineRule="auto"/>
        <w:ind w:firstLine="709"/>
        <w:jc w:val="both"/>
        <w:rPr>
          <w:rFonts w:ascii="Times New Roman" w:hAnsi="Times New Roman" w:cs="Times New Roman"/>
          <w:sz w:val="24"/>
          <w:szCs w:val="24"/>
        </w:rPr>
      </w:pPr>
      <w:r w:rsidRPr="0019023A">
        <w:rPr>
          <w:rFonts w:ascii="Times New Roman" w:hAnsi="Times New Roman" w:cs="Times New Roman"/>
          <w:sz w:val="24"/>
          <w:szCs w:val="24"/>
        </w:rPr>
        <w:t>Цифровизация Архангельского морского торгового порта (проекты САФУ)</w:t>
      </w:r>
    </w:p>
    <w:p w14:paraId="2F92F670" w14:textId="17316A18" w:rsidR="0019023A" w:rsidRPr="0019023A" w:rsidRDefault="0019023A" w:rsidP="009E6A17">
      <w:pPr>
        <w:pStyle w:val="a7"/>
        <w:numPr>
          <w:ilvl w:val="0"/>
          <w:numId w:val="7"/>
        </w:numPr>
        <w:spacing w:after="120" w:line="240" w:lineRule="auto"/>
        <w:jc w:val="both"/>
        <w:rPr>
          <w:rFonts w:ascii="Times New Roman" w:hAnsi="Times New Roman" w:cs="Times New Roman"/>
          <w:sz w:val="24"/>
          <w:szCs w:val="24"/>
        </w:rPr>
      </w:pPr>
      <w:r w:rsidRPr="0019023A">
        <w:rPr>
          <w:rFonts w:ascii="Times New Roman" w:hAnsi="Times New Roman" w:cs="Times New Roman"/>
          <w:sz w:val="24"/>
          <w:szCs w:val="24"/>
        </w:rPr>
        <w:t>Разработаны и апробированы:</w:t>
      </w:r>
    </w:p>
    <w:p w14:paraId="3C3A6C03" w14:textId="40610992" w:rsidR="0019023A" w:rsidRPr="0019023A" w:rsidRDefault="0019023A" w:rsidP="009E6A17">
      <w:pPr>
        <w:pStyle w:val="a7"/>
        <w:numPr>
          <w:ilvl w:val="0"/>
          <w:numId w:val="7"/>
        </w:numPr>
        <w:spacing w:after="120" w:line="240" w:lineRule="auto"/>
        <w:jc w:val="both"/>
        <w:rPr>
          <w:rFonts w:ascii="Times New Roman" w:hAnsi="Times New Roman" w:cs="Times New Roman"/>
          <w:sz w:val="24"/>
          <w:szCs w:val="24"/>
        </w:rPr>
      </w:pPr>
      <w:r w:rsidRPr="0019023A">
        <w:rPr>
          <w:rFonts w:ascii="Times New Roman" w:hAnsi="Times New Roman" w:cs="Times New Roman"/>
          <w:sz w:val="24"/>
          <w:szCs w:val="24"/>
        </w:rPr>
        <w:t>система оптимального размещения контейнеров на основе алгоритма;</w:t>
      </w:r>
    </w:p>
    <w:p w14:paraId="67D0E52A" w14:textId="71A01D15" w:rsidR="0019023A" w:rsidRPr="0019023A" w:rsidRDefault="0019023A" w:rsidP="009E6A17">
      <w:pPr>
        <w:pStyle w:val="a7"/>
        <w:numPr>
          <w:ilvl w:val="0"/>
          <w:numId w:val="7"/>
        </w:numPr>
        <w:spacing w:after="120" w:line="240" w:lineRule="auto"/>
        <w:jc w:val="both"/>
        <w:rPr>
          <w:rFonts w:ascii="Times New Roman" w:hAnsi="Times New Roman" w:cs="Times New Roman"/>
          <w:sz w:val="24"/>
          <w:szCs w:val="24"/>
        </w:rPr>
      </w:pPr>
      <w:r w:rsidRPr="0019023A">
        <w:rPr>
          <w:rFonts w:ascii="Times New Roman" w:hAnsi="Times New Roman" w:cs="Times New Roman"/>
          <w:sz w:val="24"/>
          <w:szCs w:val="24"/>
        </w:rPr>
        <w:t>автоматическая система определения дефектов контейнеров с использованием методов глубокого обучения;</w:t>
      </w:r>
    </w:p>
    <w:p w14:paraId="647756A0" w14:textId="12AA8DF3" w:rsidR="0019023A" w:rsidRPr="0019023A" w:rsidRDefault="0019023A" w:rsidP="009E6A17">
      <w:pPr>
        <w:pStyle w:val="a7"/>
        <w:numPr>
          <w:ilvl w:val="0"/>
          <w:numId w:val="7"/>
        </w:numPr>
        <w:spacing w:after="120" w:line="240" w:lineRule="auto"/>
        <w:jc w:val="both"/>
        <w:rPr>
          <w:rFonts w:ascii="Times New Roman" w:hAnsi="Times New Roman" w:cs="Times New Roman"/>
          <w:sz w:val="24"/>
          <w:szCs w:val="24"/>
        </w:rPr>
      </w:pPr>
      <w:r w:rsidRPr="0019023A">
        <w:rPr>
          <w:rFonts w:ascii="Times New Roman" w:hAnsi="Times New Roman" w:cs="Times New Roman"/>
          <w:sz w:val="24"/>
          <w:szCs w:val="24"/>
        </w:rPr>
        <w:t>интеллектуальный чат-бот для оперативного доступа к корпоративным знаниям 24/7.</w:t>
      </w:r>
    </w:p>
    <w:p w14:paraId="11879C3B" w14:textId="5143200D" w:rsidR="004D382B" w:rsidRDefault="0019023A" w:rsidP="009E6A17">
      <w:pPr>
        <w:spacing w:after="120" w:line="240" w:lineRule="auto"/>
        <w:ind w:firstLine="709"/>
        <w:jc w:val="both"/>
        <w:rPr>
          <w:rFonts w:ascii="Times New Roman" w:hAnsi="Times New Roman" w:cs="Times New Roman"/>
          <w:sz w:val="24"/>
          <w:szCs w:val="24"/>
        </w:rPr>
      </w:pPr>
      <w:r w:rsidRPr="0019023A">
        <w:rPr>
          <w:rFonts w:ascii="Times New Roman" w:hAnsi="Times New Roman" w:cs="Times New Roman"/>
          <w:sz w:val="24"/>
          <w:szCs w:val="24"/>
        </w:rPr>
        <w:t>Эти проекты, реализованные в сотрудничестве с реальным портовым оператором, представляют собой готовую фактологическую базу для научного анализа эффективности цифровых двойников на микроуровне (отдельное предприятие).</w:t>
      </w:r>
    </w:p>
    <w:p w14:paraId="6831CBC5" w14:textId="4E806030" w:rsidR="0019023A" w:rsidRPr="0019023A" w:rsidRDefault="0019023A" w:rsidP="009E6A17">
      <w:pPr>
        <w:spacing w:after="120" w:line="240" w:lineRule="auto"/>
        <w:ind w:firstLine="709"/>
        <w:jc w:val="both"/>
        <w:rPr>
          <w:rFonts w:ascii="Times New Roman" w:hAnsi="Times New Roman" w:cs="Times New Roman"/>
          <w:sz w:val="24"/>
          <w:szCs w:val="24"/>
        </w:rPr>
      </w:pPr>
      <w:r w:rsidRPr="0019023A">
        <w:rPr>
          <w:rFonts w:ascii="Times New Roman" w:hAnsi="Times New Roman" w:cs="Times New Roman"/>
          <w:sz w:val="24"/>
          <w:szCs w:val="24"/>
        </w:rPr>
        <w:t>«Росморпорт»: ситуационный центр на основе цифрового двойника</w:t>
      </w:r>
      <w:r>
        <w:rPr>
          <w:rFonts w:ascii="Times New Roman" w:hAnsi="Times New Roman" w:cs="Times New Roman"/>
          <w:sz w:val="24"/>
          <w:szCs w:val="24"/>
        </w:rPr>
        <w:t>:</w:t>
      </w:r>
    </w:p>
    <w:p w14:paraId="0E4219E8" w14:textId="596338A1" w:rsidR="0019023A" w:rsidRDefault="0019023A" w:rsidP="009E6A17">
      <w:pPr>
        <w:spacing w:after="120" w:line="240" w:lineRule="auto"/>
        <w:ind w:firstLine="709"/>
        <w:jc w:val="both"/>
        <w:rPr>
          <w:rFonts w:ascii="Times New Roman" w:hAnsi="Times New Roman" w:cs="Times New Roman"/>
          <w:sz w:val="24"/>
          <w:szCs w:val="24"/>
        </w:rPr>
      </w:pPr>
      <w:r w:rsidRPr="0019023A">
        <w:rPr>
          <w:rFonts w:ascii="Times New Roman" w:hAnsi="Times New Roman" w:cs="Times New Roman"/>
          <w:sz w:val="24"/>
          <w:szCs w:val="24"/>
        </w:rPr>
        <w:t>ФГУП «Росморпорт» развивает функционал Ситуационного центра — веб-приложения на основе технологий цифрового двойника, включающего интерактивные карты филиалов, портов, имущества и флота предприятия, а также дашборды по основным показателям финансово-хозяйственной деятельности. В перспективе планируется интеграция виртуальных ассистентов на базе ИИ.</w:t>
      </w:r>
    </w:p>
    <w:p w14:paraId="50245D64" w14:textId="3A619AFF" w:rsidR="009E6A17" w:rsidRPr="009E6A17" w:rsidRDefault="009E6A17" w:rsidP="009E6A17">
      <w:pPr>
        <w:spacing w:after="120" w:line="240" w:lineRule="auto"/>
        <w:ind w:firstLine="709"/>
        <w:jc w:val="right"/>
        <w:rPr>
          <w:rFonts w:ascii="Times New Roman" w:hAnsi="Times New Roman" w:cs="Times New Roman"/>
          <w:i/>
          <w:iCs/>
          <w:sz w:val="24"/>
          <w:szCs w:val="24"/>
        </w:rPr>
      </w:pPr>
      <w:r w:rsidRPr="009E6A17">
        <w:rPr>
          <w:rFonts w:ascii="Times New Roman" w:hAnsi="Times New Roman" w:cs="Times New Roman"/>
          <w:i/>
          <w:iCs/>
          <w:sz w:val="24"/>
          <w:szCs w:val="24"/>
        </w:rPr>
        <w:t>Таблица 1</w:t>
      </w:r>
    </w:p>
    <w:p w14:paraId="76EBBA99" w14:textId="253ABADB" w:rsidR="0019023A" w:rsidRDefault="0019023A" w:rsidP="009E6A17">
      <w:pPr>
        <w:spacing w:after="120" w:line="240" w:lineRule="auto"/>
        <w:ind w:firstLine="709"/>
        <w:jc w:val="both"/>
        <w:rPr>
          <w:rFonts w:ascii="Times New Roman" w:hAnsi="Times New Roman" w:cs="Times New Roman"/>
          <w:sz w:val="24"/>
          <w:szCs w:val="24"/>
        </w:rPr>
      </w:pPr>
      <w:r w:rsidRPr="0019023A">
        <w:rPr>
          <w:rFonts w:ascii="Times New Roman" w:hAnsi="Times New Roman" w:cs="Times New Roman"/>
          <w:sz w:val="24"/>
          <w:szCs w:val="24"/>
        </w:rPr>
        <w:t>Сравнение с традиционными подходами к управлению портовой инфраструктурой</w:t>
      </w:r>
    </w:p>
    <w:tbl>
      <w:tblPr>
        <w:tblStyle w:val="ad"/>
        <w:tblW w:w="0" w:type="auto"/>
        <w:tblLook w:val="04A0" w:firstRow="1" w:lastRow="0" w:firstColumn="1" w:lastColumn="0" w:noHBand="0" w:noVBand="1"/>
      </w:tblPr>
      <w:tblGrid>
        <w:gridCol w:w="3775"/>
        <w:gridCol w:w="2215"/>
        <w:gridCol w:w="3638"/>
      </w:tblGrid>
      <w:tr w:rsidR="0019023A" w14:paraId="13718469" w14:textId="77777777" w:rsidTr="0019023A">
        <w:tc>
          <w:tcPr>
            <w:tcW w:w="3823" w:type="dxa"/>
          </w:tcPr>
          <w:p w14:paraId="44BB0DA0" w14:textId="1472F073"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Параметр</w:t>
            </w:r>
          </w:p>
        </w:tc>
        <w:tc>
          <w:tcPr>
            <w:tcW w:w="2126" w:type="dxa"/>
          </w:tcPr>
          <w:p w14:paraId="57067C1B" w14:textId="274C00D5"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Традиционный подход</w:t>
            </w:r>
          </w:p>
        </w:tc>
        <w:tc>
          <w:tcPr>
            <w:tcW w:w="3679" w:type="dxa"/>
          </w:tcPr>
          <w:p w14:paraId="2ED3EE81" w14:textId="054AF869"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Подход на основе цифрового двойника</w:t>
            </w:r>
          </w:p>
        </w:tc>
      </w:tr>
      <w:tr w:rsidR="0019023A" w14:paraId="6115999D" w14:textId="77777777" w:rsidTr="0019023A">
        <w:tc>
          <w:tcPr>
            <w:tcW w:w="3823" w:type="dxa"/>
          </w:tcPr>
          <w:p w14:paraId="04F176CE" w14:textId="630E9221"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Планирование</w:t>
            </w:r>
          </w:p>
        </w:tc>
        <w:tc>
          <w:tcPr>
            <w:tcW w:w="2126" w:type="dxa"/>
          </w:tcPr>
          <w:p w14:paraId="3E677B54" w14:textId="243BC72F"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Статические модели, ограниченные данные</w:t>
            </w:r>
          </w:p>
        </w:tc>
        <w:tc>
          <w:tcPr>
            <w:tcW w:w="3679" w:type="dxa"/>
          </w:tcPr>
          <w:p w14:paraId="22F30BBA" w14:textId="688DD7FB"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Динамическое моделирование тысяч сценариев в реальном времени</w:t>
            </w:r>
          </w:p>
        </w:tc>
      </w:tr>
      <w:tr w:rsidR="0019023A" w14:paraId="15A856C4" w14:textId="77777777" w:rsidTr="0019023A">
        <w:tc>
          <w:tcPr>
            <w:tcW w:w="3823" w:type="dxa"/>
          </w:tcPr>
          <w:p w14:paraId="14B2FAF9" w14:textId="3E97A644"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ТОиР</w:t>
            </w:r>
          </w:p>
        </w:tc>
        <w:tc>
          <w:tcPr>
            <w:tcW w:w="2126" w:type="dxa"/>
          </w:tcPr>
          <w:p w14:paraId="3152DB41" w14:textId="59B0DBEE"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Планово-предупредительное (по регламенту)</w:t>
            </w:r>
          </w:p>
        </w:tc>
        <w:tc>
          <w:tcPr>
            <w:tcW w:w="3679" w:type="dxa"/>
          </w:tcPr>
          <w:p w14:paraId="52B21A50" w14:textId="29F71356"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Предиктивное (по фактическому состоянию)</w:t>
            </w:r>
          </w:p>
        </w:tc>
      </w:tr>
      <w:tr w:rsidR="0019023A" w14:paraId="06AE274C" w14:textId="77777777" w:rsidTr="0019023A">
        <w:tc>
          <w:tcPr>
            <w:tcW w:w="3823" w:type="dxa"/>
          </w:tcPr>
          <w:p w14:paraId="76155FA9" w14:textId="2947DE47"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Реакция на отклонения</w:t>
            </w:r>
          </w:p>
        </w:tc>
        <w:tc>
          <w:tcPr>
            <w:tcW w:w="2126" w:type="dxa"/>
          </w:tcPr>
          <w:p w14:paraId="2D03DB05" w14:textId="4C76FE8F"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Постфактум, с задержкой</w:t>
            </w:r>
          </w:p>
        </w:tc>
        <w:tc>
          <w:tcPr>
            <w:tcW w:w="3679" w:type="dxa"/>
          </w:tcPr>
          <w:p w14:paraId="07F615C7" w14:textId="0DDD8459"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Превентивная, на основе прогноза</w:t>
            </w:r>
          </w:p>
        </w:tc>
      </w:tr>
      <w:tr w:rsidR="0019023A" w14:paraId="07A11C31" w14:textId="77777777" w:rsidTr="0019023A">
        <w:tc>
          <w:tcPr>
            <w:tcW w:w="3823" w:type="dxa"/>
          </w:tcPr>
          <w:p w14:paraId="62264455" w14:textId="212B9653"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Оценка инвестиционных проектов</w:t>
            </w:r>
          </w:p>
        </w:tc>
        <w:tc>
          <w:tcPr>
            <w:tcW w:w="2126" w:type="dxa"/>
          </w:tcPr>
          <w:p w14:paraId="711853C8" w14:textId="1E855F81"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Экспертная, с высокой погрешностью</w:t>
            </w:r>
          </w:p>
        </w:tc>
        <w:tc>
          <w:tcPr>
            <w:tcW w:w="3679" w:type="dxa"/>
          </w:tcPr>
          <w:p w14:paraId="4D5316DE" w14:textId="617B2C03"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Количественная, на основе точного моделирования CAPEX/OPEX</w:t>
            </w:r>
          </w:p>
        </w:tc>
      </w:tr>
      <w:tr w:rsidR="0019023A" w14:paraId="18EF7E46" w14:textId="77777777" w:rsidTr="0019023A">
        <w:tc>
          <w:tcPr>
            <w:tcW w:w="3823" w:type="dxa"/>
          </w:tcPr>
          <w:p w14:paraId="4AC33999" w14:textId="30B4CF3B"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Учёт арктической специфики</w:t>
            </w:r>
          </w:p>
        </w:tc>
        <w:tc>
          <w:tcPr>
            <w:tcW w:w="2126" w:type="dxa"/>
          </w:tcPr>
          <w:p w14:paraId="3E858C75" w14:textId="6E3A99BB"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Фрагментарный</w:t>
            </w:r>
          </w:p>
        </w:tc>
        <w:tc>
          <w:tcPr>
            <w:tcW w:w="3679" w:type="dxa"/>
          </w:tcPr>
          <w:p w14:paraId="246A313C" w14:textId="1FBBF76F"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Интегрированный в модель (климат, ледовая обстановка, мерзлота)</w:t>
            </w:r>
          </w:p>
        </w:tc>
      </w:tr>
      <w:tr w:rsidR="0019023A" w14:paraId="53688FD8" w14:textId="77777777" w:rsidTr="0019023A">
        <w:tc>
          <w:tcPr>
            <w:tcW w:w="3823" w:type="dxa"/>
          </w:tcPr>
          <w:p w14:paraId="36CC151A" w14:textId="0510D801"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Скорость принятия решений</w:t>
            </w:r>
          </w:p>
        </w:tc>
        <w:tc>
          <w:tcPr>
            <w:tcW w:w="2126" w:type="dxa"/>
          </w:tcPr>
          <w:p w14:paraId="4E525FD6" w14:textId="3706EB7D" w:rsidR="0019023A" w:rsidRDefault="0019023A" w:rsidP="0019023A">
            <w:pPr>
              <w:spacing w:line="240" w:lineRule="auto"/>
              <w:jc w:val="both"/>
              <w:rPr>
                <w:rFonts w:ascii="Times New Roman" w:hAnsi="Times New Roman" w:cs="Times New Roman"/>
                <w:sz w:val="24"/>
                <w:szCs w:val="24"/>
              </w:rPr>
            </w:pPr>
            <w:r w:rsidRPr="0019023A">
              <w:rPr>
                <w:rFonts w:ascii="Times New Roman" w:hAnsi="Times New Roman" w:cs="Times New Roman"/>
                <w:sz w:val="24"/>
                <w:szCs w:val="24"/>
              </w:rPr>
              <w:t>Часы/дни</w:t>
            </w:r>
          </w:p>
        </w:tc>
        <w:tc>
          <w:tcPr>
            <w:tcW w:w="3679" w:type="dxa"/>
          </w:tcPr>
          <w:p w14:paraId="493362F8" w14:textId="2DFF21E1" w:rsidR="0019023A" w:rsidRDefault="0041497B" w:rsidP="0019023A">
            <w:pPr>
              <w:spacing w:line="240" w:lineRule="auto"/>
              <w:jc w:val="both"/>
              <w:rPr>
                <w:rFonts w:ascii="Times New Roman" w:hAnsi="Times New Roman" w:cs="Times New Roman"/>
                <w:sz w:val="24"/>
                <w:szCs w:val="24"/>
              </w:rPr>
            </w:pPr>
            <w:r w:rsidRPr="0041497B">
              <w:rPr>
                <w:rFonts w:ascii="Times New Roman" w:hAnsi="Times New Roman" w:cs="Times New Roman"/>
                <w:sz w:val="24"/>
                <w:szCs w:val="24"/>
              </w:rPr>
              <w:t>Минуты (построение маршрута — до 5-7 минут)</w:t>
            </w:r>
          </w:p>
        </w:tc>
      </w:tr>
    </w:tbl>
    <w:p w14:paraId="19647EB4" w14:textId="77777777" w:rsidR="0019023A" w:rsidRDefault="0019023A" w:rsidP="0019023A">
      <w:pPr>
        <w:spacing w:after="0" w:line="240" w:lineRule="auto"/>
        <w:ind w:firstLine="709"/>
        <w:jc w:val="both"/>
        <w:rPr>
          <w:rFonts w:ascii="Times New Roman" w:hAnsi="Times New Roman" w:cs="Times New Roman"/>
          <w:sz w:val="24"/>
          <w:szCs w:val="24"/>
        </w:rPr>
      </w:pPr>
    </w:p>
    <w:p w14:paraId="457DB94B" w14:textId="4641A46C" w:rsidR="0041497B" w:rsidRPr="0041497B" w:rsidRDefault="0041497B" w:rsidP="009E6A17">
      <w:pPr>
        <w:spacing w:after="120" w:line="240" w:lineRule="auto"/>
        <w:ind w:firstLine="709"/>
        <w:jc w:val="both"/>
        <w:rPr>
          <w:rFonts w:ascii="Times New Roman" w:hAnsi="Times New Roman" w:cs="Times New Roman"/>
          <w:sz w:val="24"/>
          <w:szCs w:val="24"/>
        </w:rPr>
      </w:pPr>
      <w:r w:rsidRPr="0041497B">
        <w:rPr>
          <w:rFonts w:ascii="Times New Roman" w:hAnsi="Times New Roman" w:cs="Times New Roman"/>
          <w:sz w:val="24"/>
          <w:szCs w:val="24"/>
        </w:rPr>
        <w:t>Для объективной научной оценки необходимо учитывать и факторы, сдерживающие экономическую эффективность:</w:t>
      </w:r>
    </w:p>
    <w:p w14:paraId="6FFB68D9" w14:textId="5F4D9488" w:rsidR="0041497B" w:rsidRPr="0041497B" w:rsidRDefault="0041497B" w:rsidP="009E6A17">
      <w:pPr>
        <w:pStyle w:val="a7"/>
        <w:numPr>
          <w:ilvl w:val="0"/>
          <w:numId w:val="9"/>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lastRenderedPageBreak/>
        <w:t>Низкая цифровая зрелость многих арктических портов: отсутствие систематизированных данных о бизнес-процессах, хранение информации «в головах сотрудников».</w:t>
      </w:r>
    </w:p>
    <w:p w14:paraId="5CA4B964" w14:textId="3E480251" w:rsidR="0041497B" w:rsidRPr="0041497B" w:rsidRDefault="0041497B" w:rsidP="009E6A17">
      <w:pPr>
        <w:pStyle w:val="a7"/>
        <w:numPr>
          <w:ilvl w:val="0"/>
          <w:numId w:val="9"/>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Отсутствие стандартизации процессов: на многих предприятиях каждый бригадир выполняет задачу по-своему, что затрудняет построение унифицированной цифровой модели.</w:t>
      </w:r>
    </w:p>
    <w:p w14:paraId="798783A4" w14:textId="6B8DC041" w:rsidR="0041497B" w:rsidRPr="0041497B" w:rsidRDefault="0041497B" w:rsidP="009E6A17">
      <w:pPr>
        <w:pStyle w:val="a7"/>
        <w:numPr>
          <w:ilvl w:val="0"/>
          <w:numId w:val="9"/>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Кадровый дефицит в Арктической зоне: нехватка специалистов, способных эксплуатировать и развивать системы класса Digital Twin.</w:t>
      </w:r>
    </w:p>
    <w:p w14:paraId="5ED218B9" w14:textId="77777777" w:rsidR="0041497B" w:rsidRPr="0041497B" w:rsidRDefault="0041497B" w:rsidP="009E6A17">
      <w:pPr>
        <w:pStyle w:val="a7"/>
        <w:numPr>
          <w:ilvl w:val="0"/>
          <w:numId w:val="9"/>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Высокая стоимость валидации модели: по некоторым оценкам, затраты на валидацию могут достигать 20-30% от общего бюджета проекта.</w:t>
      </w:r>
    </w:p>
    <w:p w14:paraId="7B8517E9" w14:textId="243854F3" w:rsidR="0041497B" w:rsidRPr="00BB21C0" w:rsidRDefault="0041497B" w:rsidP="009E6A17">
      <w:pPr>
        <w:pStyle w:val="a7"/>
        <w:numPr>
          <w:ilvl w:val="0"/>
          <w:numId w:val="9"/>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Проблемы масштабирования: недостаточная нормативно-правовая база, отсутствие единых стандартов данных, необходимость развития нормативной базы.</w:t>
      </w:r>
    </w:p>
    <w:p w14:paraId="54011A1E" w14:textId="3BF348FF" w:rsidR="0041497B" w:rsidRPr="0041497B" w:rsidRDefault="0041497B" w:rsidP="009E6A17">
      <w:pPr>
        <w:spacing w:after="120" w:line="240" w:lineRule="auto"/>
        <w:ind w:left="360"/>
        <w:jc w:val="both"/>
        <w:rPr>
          <w:rFonts w:ascii="Times New Roman" w:hAnsi="Times New Roman" w:cs="Times New Roman"/>
          <w:sz w:val="24"/>
          <w:szCs w:val="24"/>
        </w:rPr>
      </w:pPr>
      <w:r w:rsidRPr="0041497B">
        <w:rPr>
          <w:rFonts w:ascii="Times New Roman" w:hAnsi="Times New Roman" w:cs="Times New Roman"/>
          <w:sz w:val="24"/>
          <w:szCs w:val="24"/>
        </w:rPr>
        <w:t>Для развития темы научной статьи предлагаются следующие направления углублённого исследования:</w:t>
      </w:r>
    </w:p>
    <w:p w14:paraId="3294D84B" w14:textId="7F442225" w:rsidR="0041497B" w:rsidRPr="0041497B" w:rsidRDefault="0041497B" w:rsidP="009E6A17">
      <w:pPr>
        <w:pStyle w:val="a7"/>
        <w:numPr>
          <w:ilvl w:val="0"/>
          <w:numId w:val="10"/>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Разработка математической модели расчёта ROI для цифрового двойника арктического порта с учётом специфических факторов (сезонность навигации, стоимость простоя в короткое навигационное окно, затраты на ликвидацию экологических последствий).</w:t>
      </w:r>
    </w:p>
    <w:p w14:paraId="471A617A" w14:textId="73DED887" w:rsidR="0041497B" w:rsidRPr="0041497B" w:rsidRDefault="0041497B" w:rsidP="009E6A17">
      <w:pPr>
        <w:pStyle w:val="a7"/>
        <w:numPr>
          <w:ilvl w:val="0"/>
          <w:numId w:val="10"/>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 xml:space="preserve">Сравнительный анализ экономической эффективности цифровых двойников в портах разных климатических зон (Арктика </w:t>
      </w:r>
      <w:proofErr w:type="spellStart"/>
      <w:r w:rsidRPr="0041497B">
        <w:rPr>
          <w:rFonts w:ascii="Times New Roman" w:hAnsi="Times New Roman" w:cs="Times New Roman"/>
          <w:sz w:val="24"/>
          <w:szCs w:val="24"/>
        </w:rPr>
        <w:t>vs</w:t>
      </w:r>
      <w:proofErr w:type="spellEnd"/>
      <w:r w:rsidRPr="0041497B">
        <w:rPr>
          <w:rFonts w:ascii="Times New Roman" w:hAnsi="Times New Roman" w:cs="Times New Roman"/>
          <w:sz w:val="24"/>
          <w:szCs w:val="24"/>
        </w:rPr>
        <w:t xml:space="preserve">. умеренный климат </w:t>
      </w:r>
      <w:proofErr w:type="spellStart"/>
      <w:r w:rsidRPr="0041497B">
        <w:rPr>
          <w:rFonts w:ascii="Times New Roman" w:hAnsi="Times New Roman" w:cs="Times New Roman"/>
          <w:sz w:val="24"/>
          <w:szCs w:val="24"/>
        </w:rPr>
        <w:t>vs</w:t>
      </w:r>
      <w:proofErr w:type="spellEnd"/>
      <w:r w:rsidRPr="0041497B">
        <w:rPr>
          <w:rFonts w:ascii="Times New Roman" w:hAnsi="Times New Roman" w:cs="Times New Roman"/>
          <w:sz w:val="24"/>
          <w:szCs w:val="24"/>
        </w:rPr>
        <w:t>. тропики).</w:t>
      </w:r>
    </w:p>
    <w:p w14:paraId="407C7CAC" w14:textId="4725B33F" w:rsidR="0041497B" w:rsidRPr="0041497B" w:rsidRDefault="0041497B" w:rsidP="009E6A17">
      <w:pPr>
        <w:pStyle w:val="a7"/>
        <w:numPr>
          <w:ilvl w:val="0"/>
          <w:numId w:val="10"/>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Оценка мультипликативного эффекта от интеграции цифровых двойников портов в единую цифровую экосистему СМП (методика расчёта синергетического эффекта).</w:t>
      </w:r>
    </w:p>
    <w:p w14:paraId="3EAC9A89" w14:textId="0C5A49A3" w:rsidR="0041497B" w:rsidRPr="0041497B" w:rsidRDefault="0041497B" w:rsidP="009E6A17">
      <w:pPr>
        <w:pStyle w:val="a7"/>
        <w:numPr>
          <w:ilvl w:val="0"/>
          <w:numId w:val="10"/>
        </w:numPr>
        <w:spacing w:after="120" w:line="240" w:lineRule="auto"/>
        <w:jc w:val="both"/>
        <w:rPr>
          <w:rFonts w:ascii="Times New Roman" w:hAnsi="Times New Roman" w:cs="Times New Roman"/>
          <w:sz w:val="24"/>
          <w:szCs w:val="24"/>
        </w:rPr>
      </w:pPr>
      <w:r w:rsidRPr="0041497B">
        <w:rPr>
          <w:rFonts w:ascii="Times New Roman" w:hAnsi="Times New Roman" w:cs="Times New Roman"/>
          <w:sz w:val="24"/>
          <w:szCs w:val="24"/>
        </w:rPr>
        <w:t>Анализ влияния цифровых двойников на снижение углеродного следа портовой деятельности и монетизация экологических эффектов в арктической зоне.</w:t>
      </w:r>
    </w:p>
    <w:p w14:paraId="0C192E66" w14:textId="7EB14D50" w:rsidR="0041497B" w:rsidRDefault="0041497B" w:rsidP="009E6A17">
      <w:pPr>
        <w:pStyle w:val="a7"/>
        <w:numPr>
          <w:ilvl w:val="0"/>
          <w:numId w:val="10"/>
        </w:numPr>
        <w:spacing w:after="120" w:line="240" w:lineRule="auto"/>
        <w:ind w:left="714" w:hanging="357"/>
        <w:jc w:val="both"/>
        <w:rPr>
          <w:rFonts w:ascii="Times New Roman" w:hAnsi="Times New Roman" w:cs="Times New Roman"/>
          <w:sz w:val="24"/>
          <w:szCs w:val="24"/>
        </w:rPr>
      </w:pPr>
      <w:r w:rsidRPr="0041497B">
        <w:rPr>
          <w:rFonts w:ascii="Times New Roman" w:hAnsi="Times New Roman" w:cs="Times New Roman"/>
          <w:sz w:val="24"/>
          <w:szCs w:val="24"/>
        </w:rPr>
        <w:t>Исследование барьеров внедрения цифровых двойников в арктических портах и разработка дорожной карты преодоления этих барьеров.</w:t>
      </w:r>
    </w:p>
    <w:p w14:paraId="1A771CC3" w14:textId="77777777" w:rsidR="0041497B" w:rsidRDefault="0041497B" w:rsidP="0041497B">
      <w:pPr>
        <w:spacing w:after="0" w:line="240" w:lineRule="auto"/>
        <w:ind w:left="360"/>
        <w:jc w:val="both"/>
        <w:rPr>
          <w:rFonts w:ascii="Times New Roman" w:hAnsi="Times New Roman" w:cs="Times New Roman"/>
          <w:sz w:val="24"/>
          <w:szCs w:val="24"/>
        </w:rPr>
      </w:pPr>
    </w:p>
    <w:p w14:paraId="662DB31E" w14:textId="10C71EED" w:rsidR="0041497B" w:rsidRDefault="0041497B" w:rsidP="0041497B">
      <w:pPr>
        <w:spacing w:after="0" w:line="240" w:lineRule="auto"/>
        <w:ind w:left="360"/>
        <w:jc w:val="center"/>
        <w:rPr>
          <w:rFonts w:ascii="Times New Roman" w:hAnsi="Times New Roman" w:cs="Times New Roman"/>
          <w:b/>
          <w:bCs/>
          <w:sz w:val="24"/>
          <w:szCs w:val="24"/>
        </w:rPr>
      </w:pPr>
      <w:r w:rsidRPr="0041497B">
        <w:rPr>
          <w:rFonts w:ascii="Times New Roman" w:hAnsi="Times New Roman" w:cs="Times New Roman"/>
          <w:b/>
          <w:bCs/>
          <w:sz w:val="24"/>
          <w:szCs w:val="24"/>
        </w:rPr>
        <w:t>Вывод</w:t>
      </w:r>
    </w:p>
    <w:p w14:paraId="31DD72A1" w14:textId="3CFB9028" w:rsidR="0041497B" w:rsidRDefault="0041497B" w:rsidP="0041497B">
      <w:pPr>
        <w:spacing w:after="0" w:line="240" w:lineRule="auto"/>
        <w:ind w:left="360" w:firstLine="348"/>
        <w:jc w:val="both"/>
        <w:rPr>
          <w:rFonts w:ascii="Times New Roman" w:hAnsi="Times New Roman" w:cs="Times New Roman"/>
          <w:sz w:val="24"/>
          <w:szCs w:val="24"/>
        </w:rPr>
      </w:pPr>
      <w:r w:rsidRPr="0041497B">
        <w:rPr>
          <w:rFonts w:ascii="Times New Roman" w:hAnsi="Times New Roman" w:cs="Times New Roman"/>
          <w:sz w:val="24"/>
          <w:szCs w:val="24"/>
        </w:rPr>
        <w:t xml:space="preserve">Внедрение цифровых двойников на объектах портовой инфраструктуры Арктики обеспечивает переход отрасли на качественно иной уровень управления за счёт перехода к предиктивной аналитике, снижения эксплуатационных затрат (до 30% на ТОиР), повышения пропускной способности (прирост грузопотока до 2 млн тонн) и сокращения логистических издержек (на 18-30%). Экономическая эффективность подтверждается как на макроуровне (ЕПЦС СМП, «Арктик </w:t>
      </w:r>
      <w:proofErr w:type="spellStart"/>
      <w:r w:rsidRPr="0041497B">
        <w:rPr>
          <w:rFonts w:ascii="Times New Roman" w:hAnsi="Times New Roman" w:cs="Times New Roman"/>
          <w:sz w:val="24"/>
          <w:szCs w:val="24"/>
        </w:rPr>
        <w:t>Лабс</w:t>
      </w:r>
      <w:proofErr w:type="spellEnd"/>
      <w:r w:rsidRPr="0041497B">
        <w:rPr>
          <w:rFonts w:ascii="Times New Roman" w:hAnsi="Times New Roman" w:cs="Times New Roman"/>
          <w:sz w:val="24"/>
          <w:szCs w:val="24"/>
        </w:rPr>
        <w:t>»), так и на уровне отдельных портовых терминалов (повышение выручки на 4-10%). При этом достижение максимального эффекта требует системного подхода, включающего стандартизацию процессов, развитие нормативной базы, подготовку кадров и обеспечение кибербезопасности критической инфраструктуры. Предложенная методология оценки и эмпирическая база могут служить основой для дальнейших научных исследований и обоснования инвестиционных решений в цифровизацию арктической портовой инфраструктуры.</w:t>
      </w:r>
    </w:p>
    <w:p w14:paraId="489B0D64" w14:textId="1628BA90" w:rsidR="0041497B" w:rsidRDefault="009E6A17" w:rsidP="009E6A17">
      <w:pPr>
        <w:spacing w:after="0" w:line="240" w:lineRule="auto"/>
        <w:ind w:left="360"/>
        <w:jc w:val="both"/>
        <w:rPr>
          <w:rFonts w:ascii="Times New Roman" w:hAnsi="Times New Roman" w:cs="Times New Roman"/>
          <w:sz w:val="24"/>
          <w:szCs w:val="24"/>
        </w:rPr>
      </w:pPr>
      <w:r w:rsidRPr="009E6A17">
        <w:rPr>
          <w:rFonts w:ascii="Times New Roman" w:hAnsi="Times New Roman" w:cs="Times New Roman"/>
          <w:sz w:val="24"/>
          <w:szCs w:val="24"/>
        </w:rPr>
        <w:t>_____________________________________________________________________________</w:t>
      </w:r>
    </w:p>
    <w:p w14:paraId="4A1EAFEF" w14:textId="78C39470" w:rsidR="009E6A17" w:rsidRDefault="009E6A17" w:rsidP="009E6A17">
      <w:pPr>
        <w:pStyle w:val="a7"/>
        <w:numPr>
          <w:ilvl w:val="0"/>
          <w:numId w:val="11"/>
        </w:numPr>
        <w:spacing w:after="120" w:line="240" w:lineRule="auto"/>
        <w:jc w:val="both"/>
        <w:rPr>
          <w:rFonts w:ascii="Times New Roman" w:hAnsi="Times New Roman" w:cs="Times New Roman"/>
          <w:sz w:val="24"/>
          <w:szCs w:val="24"/>
        </w:rPr>
      </w:pPr>
      <w:r w:rsidRPr="009E6A17">
        <w:rPr>
          <w:rFonts w:ascii="Times New Roman" w:hAnsi="Times New Roman" w:cs="Times New Roman"/>
          <w:sz w:val="24"/>
          <w:szCs w:val="24"/>
        </w:rPr>
        <w:t>Скворцова И. В., Тесля А. Б., Сомов А. Г., Чжан С. Интеграция искусственного интеллекта в экономику Арктики: перспективы российско-китайского сотрудничества // Север и рынок: формирование экономического порядка. — 2025. — № 4. — С. 152–168. — DOI: 10.37614/2220-802X.4.2025.90.010</w:t>
      </w:r>
    </w:p>
    <w:p w14:paraId="76FB6F22" w14:textId="77777777" w:rsidR="009E6A17" w:rsidRPr="009E6A17" w:rsidRDefault="009E6A17" w:rsidP="009E6A17">
      <w:pPr>
        <w:pStyle w:val="a7"/>
        <w:numPr>
          <w:ilvl w:val="0"/>
          <w:numId w:val="11"/>
        </w:numPr>
        <w:rPr>
          <w:rFonts w:ascii="Times New Roman" w:hAnsi="Times New Roman" w:cs="Times New Roman"/>
          <w:sz w:val="24"/>
          <w:szCs w:val="24"/>
        </w:rPr>
      </w:pPr>
      <w:r w:rsidRPr="009E6A17">
        <w:rPr>
          <w:rFonts w:ascii="Times New Roman" w:hAnsi="Times New Roman" w:cs="Times New Roman"/>
          <w:sz w:val="24"/>
          <w:szCs w:val="24"/>
        </w:rPr>
        <w:t xml:space="preserve">Курбатов Д. С. Инновационные подходы к организации дорожного движения на основе цифровых двойников автомобильных дорог // Вестник </w:t>
      </w:r>
      <w:proofErr w:type="spellStart"/>
      <w:r w:rsidRPr="009E6A17">
        <w:rPr>
          <w:rFonts w:ascii="Times New Roman" w:hAnsi="Times New Roman" w:cs="Times New Roman"/>
          <w:sz w:val="24"/>
          <w:szCs w:val="24"/>
        </w:rPr>
        <w:t>СибАДИ</w:t>
      </w:r>
      <w:proofErr w:type="spellEnd"/>
      <w:r w:rsidRPr="009E6A17">
        <w:rPr>
          <w:rFonts w:ascii="Times New Roman" w:hAnsi="Times New Roman" w:cs="Times New Roman"/>
          <w:sz w:val="24"/>
          <w:szCs w:val="24"/>
        </w:rPr>
        <w:t>. — 2025.</w:t>
      </w:r>
    </w:p>
    <w:p w14:paraId="3A7EAAF8" w14:textId="283FBF5B" w:rsidR="009E6A17" w:rsidRDefault="009E6A17" w:rsidP="009E6A17">
      <w:pPr>
        <w:pStyle w:val="a7"/>
        <w:numPr>
          <w:ilvl w:val="0"/>
          <w:numId w:val="11"/>
        </w:numPr>
        <w:spacing w:after="120" w:line="240" w:lineRule="auto"/>
        <w:jc w:val="both"/>
        <w:rPr>
          <w:rFonts w:ascii="Times New Roman" w:hAnsi="Times New Roman" w:cs="Times New Roman"/>
          <w:sz w:val="24"/>
          <w:szCs w:val="24"/>
        </w:rPr>
      </w:pPr>
      <w:r w:rsidRPr="009E6A17">
        <w:rPr>
          <w:rFonts w:ascii="Times New Roman" w:hAnsi="Times New Roman" w:cs="Times New Roman"/>
          <w:sz w:val="24"/>
          <w:szCs w:val="24"/>
        </w:rPr>
        <w:t>ФАНУ «</w:t>
      </w:r>
      <w:proofErr w:type="spellStart"/>
      <w:r w:rsidRPr="009E6A17">
        <w:rPr>
          <w:rFonts w:ascii="Times New Roman" w:hAnsi="Times New Roman" w:cs="Times New Roman"/>
          <w:sz w:val="24"/>
          <w:szCs w:val="24"/>
        </w:rPr>
        <w:t>Востокгосплан</w:t>
      </w:r>
      <w:proofErr w:type="spellEnd"/>
      <w:r w:rsidRPr="009E6A17">
        <w:rPr>
          <w:rFonts w:ascii="Times New Roman" w:hAnsi="Times New Roman" w:cs="Times New Roman"/>
          <w:sz w:val="24"/>
          <w:szCs w:val="24"/>
        </w:rPr>
        <w:t>». Цифровая платформа «</w:t>
      </w:r>
      <w:proofErr w:type="spellStart"/>
      <w:r w:rsidRPr="009E6A17">
        <w:rPr>
          <w:rFonts w:ascii="Times New Roman" w:hAnsi="Times New Roman" w:cs="Times New Roman"/>
          <w:sz w:val="24"/>
          <w:szCs w:val="24"/>
        </w:rPr>
        <w:t>АрктикЛабс</w:t>
      </w:r>
      <w:proofErr w:type="spellEnd"/>
      <w:r w:rsidRPr="009E6A17">
        <w:rPr>
          <w:rFonts w:ascii="Times New Roman" w:hAnsi="Times New Roman" w:cs="Times New Roman"/>
          <w:sz w:val="24"/>
          <w:szCs w:val="24"/>
        </w:rPr>
        <w:t>» // Официальные материалы VII ежегодного форума «Инфраструктура портов», 2022.</w:t>
      </w:r>
    </w:p>
    <w:p w14:paraId="0C85B4E5" w14:textId="58B1420C" w:rsidR="009E6A17" w:rsidRDefault="009E6A17" w:rsidP="009E6A17">
      <w:pPr>
        <w:pStyle w:val="a7"/>
        <w:numPr>
          <w:ilvl w:val="0"/>
          <w:numId w:val="11"/>
        </w:numPr>
        <w:spacing w:after="120" w:line="240" w:lineRule="auto"/>
        <w:jc w:val="both"/>
        <w:rPr>
          <w:rFonts w:ascii="Times New Roman" w:hAnsi="Times New Roman" w:cs="Times New Roman"/>
          <w:sz w:val="24"/>
          <w:szCs w:val="24"/>
        </w:rPr>
      </w:pPr>
      <w:r w:rsidRPr="009E6A17">
        <w:rPr>
          <w:rFonts w:ascii="Times New Roman" w:hAnsi="Times New Roman" w:cs="Times New Roman"/>
          <w:sz w:val="24"/>
          <w:szCs w:val="24"/>
        </w:rPr>
        <w:t>Международный транспортно-логистический форум (МТЛФ). Материалы сессий по развитию Трансарктического транспортного коридора, 2026.</w:t>
      </w:r>
    </w:p>
    <w:p w14:paraId="5EE8488C" w14:textId="342C4DF4" w:rsidR="009E6A17" w:rsidRPr="009E6A17" w:rsidRDefault="009E6A17" w:rsidP="009E6A17">
      <w:pPr>
        <w:pStyle w:val="a7"/>
        <w:numPr>
          <w:ilvl w:val="0"/>
          <w:numId w:val="11"/>
        </w:numPr>
        <w:spacing w:after="120" w:line="240" w:lineRule="auto"/>
        <w:jc w:val="both"/>
        <w:rPr>
          <w:rFonts w:ascii="Times New Roman" w:hAnsi="Times New Roman" w:cs="Times New Roman"/>
          <w:sz w:val="24"/>
          <w:szCs w:val="24"/>
          <w:lang w:val="en-US"/>
        </w:rPr>
      </w:pPr>
      <w:r w:rsidRPr="009E6A17">
        <w:rPr>
          <w:rFonts w:ascii="Times New Roman" w:hAnsi="Times New Roman" w:cs="Times New Roman"/>
          <w:sz w:val="24"/>
          <w:szCs w:val="24"/>
          <w:lang w:val="en-US"/>
        </w:rPr>
        <w:lastRenderedPageBreak/>
        <w:t xml:space="preserve">IT Russia. Digital Retrofit of Soviet-Era Assets on the Northern Sea Route: </w:t>
      </w:r>
      <w:proofErr w:type="gramStart"/>
      <w:r w:rsidRPr="009E6A17">
        <w:rPr>
          <w:rFonts w:ascii="Times New Roman" w:hAnsi="Times New Roman" w:cs="Times New Roman"/>
          <w:sz w:val="24"/>
          <w:szCs w:val="24"/>
          <w:lang w:val="en-US"/>
        </w:rPr>
        <w:t>Russia‘</w:t>
      </w:r>
      <w:proofErr w:type="gramEnd"/>
      <w:r w:rsidRPr="009E6A17">
        <w:rPr>
          <w:rFonts w:ascii="Times New Roman" w:hAnsi="Times New Roman" w:cs="Times New Roman"/>
          <w:sz w:val="24"/>
          <w:szCs w:val="24"/>
          <w:lang w:val="en-US"/>
        </w:rPr>
        <w:t xml:space="preserve">s Arctic Engineering Leap // </w:t>
      </w:r>
      <w:r w:rsidRPr="009E6A17">
        <w:rPr>
          <w:rFonts w:ascii="Times New Roman" w:hAnsi="Times New Roman" w:cs="Times New Roman"/>
          <w:sz w:val="24"/>
          <w:szCs w:val="24"/>
        </w:rPr>
        <w:t>Аналитическая</w:t>
      </w:r>
      <w:r w:rsidRPr="009E6A17">
        <w:rPr>
          <w:rFonts w:ascii="Times New Roman" w:hAnsi="Times New Roman" w:cs="Times New Roman"/>
          <w:sz w:val="24"/>
          <w:szCs w:val="24"/>
          <w:lang w:val="en-US"/>
        </w:rPr>
        <w:t xml:space="preserve"> </w:t>
      </w:r>
      <w:r w:rsidRPr="009E6A17">
        <w:rPr>
          <w:rFonts w:ascii="Times New Roman" w:hAnsi="Times New Roman" w:cs="Times New Roman"/>
          <w:sz w:val="24"/>
          <w:szCs w:val="24"/>
        </w:rPr>
        <w:t>статья</w:t>
      </w:r>
      <w:r w:rsidRPr="009E6A17">
        <w:rPr>
          <w:rFonts w:ascii="Times New Roman" w:hAnsi="Times New Roman" w:cs="Times New Roman"/>
          <w:sz w:val="24"/>
          <w:szCs w:val="24"/>
          <w:lang w:val="en-US"/>
        </w:rPr>
        <w:t>. — 18.06.2025.</w:t>
      </w:r>
    </w:p>
    <w:sectPr w:rsidR="009E6A17" w:rsidRPr="009E6A17" w:rsidSect="00D0208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DB9"/>
    <w:multiLevelType w:val="hybridMultilevel"/>
    <w:tmpl w:val="38B6F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1F55F6"/>
    <w:multiLevelType w:val="hybridMultilevel"/>
    <w:tmpl w:val="0F0226A2"/>
    <w:lvl w:ilvl="0" w:tplc="2F5676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B510260"/>
    <w:multiLevelType w:val="hybridMultilevel"/>
    <w:tmpl w:val="9F727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2A16CAD"/>
    <w:multiLevelType w:val="hybridMultilevel"/>
    <w:tmpl w:val="88C0B8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C1A4107"/>
    <w:multiLevelType w:val="hybridMultilevel"/>
    <w:tmpl w:val="9ABA5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80014D4"/>
    <w:multiLevelType w:val="hybridMultilevel"/>
    <w:tmpl w:val="7320F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831EAE"/>
    <w:multiLevelType w:val="hybridMultilevel"/>
    <w:tmpl w:val="8FE6F0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6B637A43"/>
    <w:multiLevelType w:val="hybridMultilevel"/>
    <w:tmpl w:val="B254B2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738E65C7"/>
    <w:multiLevelType w:val="hybridMultilevel"/>
    <w:tmpl w:val="9FEA4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79063C"/>
    <w:multiLevelType w:val="hybridMultilevel"/>
    <w:tmpl w:val="A7E6B82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 w15:restartNumberingAfterBreak="0">
    <w:nsid w:val="7F633C1C"/>
    <w:multiLevelType w:val="hybridMultilevel"/>
    <w:tmpl w:val="A060180C"/>
    <w:lvl w:ilvl="0" w:tplc="2820A9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19765345">
    <w:abstractNumId w:val="1"/>
  </w:num>
  <w:num w:numId="2" w16cid:durableId="1009135292">
    <w:abstractNumId w:val="10"/>
  </w:num>
  <w:num w:numId="3" w16cid:durableId="367492809">
    <w:abstractNumId w:val="5"/>
  </w:num>
  <w:num w:numId="4" w16cid:durableId="1655060265">
    <w:abstractNumId w:val="4"/>
  </w:num>
  <w:num w:numId="5" w16cid:durableId="2017801969">
    <w:abstractNumId w:val="6"/>
  </w:num>
  <w:num w:numId="6" w16cid:durableId="1686132867">
    <w:abstractNumId w:val="7"/>
  </w:num>
  <w:num w:numId="7" w16cid:durableId="1596137378">
    <w:abstractNumId w:val="3"/>
  </w:num>
  <w:num w:numId="8" w16cid:durableId="1124155980">
    <w:abstractNumId w:val="2"/>
  </w:num>
  <w:num w:numId="9" w16cid:durableId="756286673">
    <w:abstractNumId w:val="8"/>
  </w:num>
  <w:num w:numId="10" w16cid:durableId="604576415">
    <w:abstractNumId w:val="0"/>
  </w:num>
  <w:num w:numId="11" w16cid:durableId="44376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414"/>
    <w:rsid w:val="0006469A"/>
    <w:rsid w:val="000D74B1"/>
    <w:rsid w:val="0019023A"/>
    <w:rsid w:val="0041497B"/>
    <w:rsid w:val="004D382B"/>
    <w:rsid w:val="00536414"/>
    <w:rsid w:val="008350F7"/>
    <w:rsid w:val="00911B65"/>
    <w:rsid w:val="009E6A17"/>
    <w:rsid w:val="00B95B5F"/>
    <w:rsid w:val="00BB21C0"/>
    <w:rsid w:val="00BF2727"/>
    <w:rsid w:val="00C04660"/>
    <w:rsid w:val="00D0208C"/>
    <w:rsid w:val="00E53D97"/>
    <w:rsid w:val="00ED2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8A6A"/>
  <w15:chartTrackingRefBased/>
  <w15:docId w15:val="{16BF5409-6879-454A-B901-9D999468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08C"/>
    <w:pPr>
      <w:spacing w:line="256" w:lineRule="auto"/>
    </w:pPr>
    <w:rPr>
      <w:kern w:val="0"/>
      <w14:ligatures w14:val="none"/>
    </w:rPr>
  </w:style>
  <w:style w:type="paragraph" w:styleId="1">
    <w:name w:val="heading 1"/>
    <w:basedOn w:val="a"/>
    <w:next w:val="a"/>
    <w:link w:val="10"/>
    <w:uiPriority w:val="9"/>
    <w:qFormat/>
    <w:rsid w:val="005364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364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364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364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364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364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64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64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64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64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364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364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364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364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6414"/>
    <w:rPr>
      <w:rFonts w:eastAsiaTheme="majorEastAsia" w:cstheme="majorBidi"/>
      <w:color w:val="595959" w:themeColor="text1" w:themeTint="A6"/>
    </w:rPr>
  </w:style>
  <w:style w:type="character" w:customStyle="1" w:styleId="80">
    <w:name w:val="Заголовок 8 Знак"/>
    <w:basedOn w:val="a0"/>
    <w:link w:val="8"/>
    <w:uiPriority w:val="9"/>
    <w:semiHidden/>
    <w:rsid w:val="005364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6414"/>
    <w:rPr>
      <w:rFonts w:eastAsiaTheme="majorEastAsia" w:cstheme="majorBidi"/>
      <w:color w:val="272727" w:themeColor="text1" w:themeTint="D8"/>
    </w:rPr>
  </w:style>
  <w:style w:type="paragraph" w:styleId="a3">
    <w:name w:val="Title"/>
    <w:basedOn w:val="a"/>
    <w:next w:val="a"/>
    <w:link w:val="a4"/>
    <w:uiPriority w:val="10"/>
    <w:qFormat/>
    <w:rsid w:val="00536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64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64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64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6414"/>
    <w:pPr>
      <w:spacing w:before="160"/>
      <w:jc w:val="center"/>
    </w:pPr>
    <w:rPr>
      <w:i/>
      <w:iCs/>
      <w:color w:val="404040" w:themeColor="text1" w:themeTint="BF"/>
    </w:rPr>
  </w:style>
  <w:style w:type="character" w:customStyle="1" w:styleId="22">
    <w:name w:val="Цитата 2 Знак"/>
    <w:basedOn w:val="a0"/>
    <w:link w:val="21"/>
    <w:uiPriority w:val="29"/>
    <w:rsid w:val="00536414"/>
    <w:rPr>
      <w:i/>
      <w:iCs/>
      <w:color w:val="404040" w:themeColor="text1" w:themeTint="BF"/>
    </w:rPr>
  </w:style>
  <w:style w:type="paragraph" w:styleId="a7">
    <w:name w:val="List Paragraph"/>
    <w:basedOn w:val="a"/>
    <w:uiPriority w:val="34"/>
    <w:qFormat/>
    <w:rsid w:val="00536414"/>
    <w:pPr>
      <w:ind w:left="720"/>
      <w:contextualSpacing/>
    </w:pPr>
  </w:style>
  <w:style w:type="character" w:styleId="a8">
    <w:name w:val="Intense Emphasis"/>
    <w:basedOn w:val="a0"/>
    <w:uiPriority w:val="21"/>
    <w:qFormat/>
    <w:rsid w:val="00536414"/>
    <w:rPr>
      <w:i/>
      <w:iCs/>
      <w:color w:val="2F5496" w:themeColor="accent1" w:themeShade="BF"/>
    </w:rPr>
  </w:style>
  <w:style w:type="paragraph" w:styleId="a9">
    <w:name w:val="Intense Quote"/>
    <w:basedOn w:val="a"/>
    <w:next w:val="a"/>
    <w:link w:val="aa"/>
    <w:uiPriority w:val="30"/>
    <w:qFormat/>
    <w:rsid w:val="005364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36414"/>
    <w:rPr>
      <w:i/>
      <w:iCs/>
      <w:color w:val="2F5496" w:themeColor="accent1" w:themeShade="BF"/>
    </w:rPr>
  </w:style>
  <w:style w:type="character" w:styleId="ab">
    <w:name w:val="Intense Reference"/>
    <w:basedOn w:val="a0"/>
    <w:uiPriority w:val="32"/>
    <w:qFormat/>
    <w:rsid w:val="00536414"/>
    <w:rPr>
      <w:b/>
      <w:bCs/>
      <w:smallCaps/>
      <w:color w:val="2F5496" w:themeColor="accent1" w:themeShade="BF"/>
      <w:spacing w:val="5"/>
    </w:rPr>
  </w:style>
  <w:style w:type="character" w:styleId="ac">
    <w:name w:val="Strong"/>
    <w:basedOn w:val="a0"/>
    <w:uiPriority w:val="22"/>
    <w:qFormat/>
    <w:rsid w:val="00D0208C"/>
    <w:rPr>
      <w:b/>
      <w:bCs/>
    </w:rPr>
  </w:style>
  <w:style w:type="table" w:styleId="ad">
    <w:name w:val="Table Grid"/>
    <w:basedOn w:val="a1"/>
    <w:uiPriority w:val="39"/>
    <w:rsid w:val="00190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Винокурова</dc:creator>
  <cp:keywords/>
  <dc:description/>
  <cp:lastModifiedBy>Вика Винокурова</cp:lastModifiedBy>
  <cp:revision>2</cp:revision>
  <dcterms:created xsi:type="dcterms:W3CDTF">2026-06-22T08:24:00Z</dcterms:created>
  <dcterms:modified xsi:type="dcterms:W3CDTF">2026-06-22T08:24:00Z</dcterms:modified>
</cp:coreProperties>
</file>