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2AE88D" w14:textId="4C287DFC" w:rsidR="00436136" w:rsidRPr="00436136" w:rsidRDefault="00436136" w:rsidP="00436136">
      <w:pPr>
        <w:jc w:val="center"/>
        <w:rPr>
          <w:rFonts w:ascii="Times New Roman" w:eastAsia="Times New Roman" w:hAnsi="Times New Roman" w:cs="Times New Roman"/>
          <w:kern w:val="0"/>
          <w:sz w:val="28"/>
          <w:szCs w:val="28"/>
          <w:lang w:eastAsia="ar-SA"/>
          <w14:ligatures w14:val="none"/>
        </w:rPr>
      </w:pPr>
      <w:r w:rsidRPr="00436136">
        <w:rPr>
          <w:rFonts w:ascii="Times New Roman" w:eastAsia="Times New Roman" w:hAnsi="Times New Roman" w:cs="Times New Roman"/>
          <w:kern w:val="0"/>
          <w:sz w:val="28"/>
          <w:szCs w:val="28"/>
          <w:lang w:eastAsia="ar-SA"/>
          <w14:ligatures w14:val="none"/>
        </w:rPr>
        <w:t xml:space="preserve">МИНИСТЕРСТВО НАУКИ И ВЫСШЕГО ОБРАЗОВАНИЯ </w:t>
      </w:r>
      <w:r w:rsidRPr="00436136">
        <w:rPr>
          <w:rFonts w:ascii="Times New Roman" w:eastAsia="Times New Roman" w:hAnsi="Times New Roman" w:cs="Times New Roman"/>
          <w:kern w:val="0"/>
          <w:sz w:val="28"/>
          <w:szCs w:val="28"/>
          <w:lang w:eastAsia="ar-SA"/>
          <w14:ligatures w14:val="none"/>
        </w:rPr>
        <w:br/>
        <w:t>РОССИЙСКОЙ ФЕДЕРАЦИИ</w:t>
      </w:r>
    </w:p>
    <w:p w14:paraId="03282E3C" w14:textId="77777777" w:rsidR="00436136" w:rsidRPr="00436136" w:rsidRDefault="00436136" w:rsidP="00436136">
      <w:pPr>
        <w:suppressAutoHyphens w:val="0"/>
        <w:spacing w:before="240" w:after="0" w:line="240" w:lineRule="auto"/>
        <w:jc w:val="center"/>
        <w:rPr>
          <w:rFonts w:ascii="Times New Roman" w:eastAsia="Times New Roman" w:hAnsi="Times New Roman" w:cs="Times New Roman"/>
          <w:kern w:val="0"/>
          <w:sz w:val="28"/>
          <w:szCs w:val="28"/>
          <w:lang w:eastAsia="ru-RU"/>
          <w14:ligatures w14:val="none"/>
        </w:rPr>
      </w:pPr>
      <w:r w:rsidRPr="00436136">
        <w:rPr>
          <w:rFonts w:ascii="Times New Roman" w:eastAsia="Times New Roman" w:hAnsi="Times New Roman" w:cs="Times New Roman"/>
          <w:kern w:val="0"/>
          <w:sz w:val="28"/>
          <w:szCs w:val="28"/>
          <w:lang w:eastAsia="ru-RU"/>
          <w14:ligatures w14:val="none"/>
        </w:rPr>
        <w:t xml:space="preserve">ВЛАДИВОСТОКСКИЙ ГОСУДАРСТВЕННЫЙ УНИВЕРСИТЕТ </w:t>
      </w:r>
    </w:p>
    <w:p w14:paraId="37827270" w14:textId="77777777" w:rsidR="00436136" w:rsidRPr="00436136" w:rsidRDefault="00436136" w:rsidP="00436136">
      <w:pPr>
        <w:suppressAutoHyphens w:val="0"/>
        <w:spacing w:before="240" w:after="240" w:line="240" w:lineRule="auto"/>
        <w:jc w:val="center"/>
        <w:rPr>
          <w:rFonts w:ascii="Times New Roman" w:eastAsia="Times New Roman" w:hAnsi="Times New Roman" w:cs="Times New Roman"/>
          <w:kern w:val="0"/>
          <w:sz w:val="28"/>
          <w:szCs w:val="28"/>
          <w:lang w:eastAsia="ru-RU"/>
          <w14:ligatures w14:val="none"/>
        </w:rPr>
      </w:pPr>
      <w:r w:rsidRPr="00436136">
        <w:rPr>
          <w:rFonts w:ascii="Times New Roman" w:eastAsia="Times New Roman" w:hAnsi="Times New Roman" w:cs="Times New Roman"/>
          <w:kern w:val="0"/>
          <w:sz w:val="28"/>
          <w:szCs w:val="28"/>
          <w:lang w:eastAsia="ru-RU"/>
          <w14:ligatures w14:val="none"/>
        </w:rPr>
        <w:t xml:space="preserve">ИНСТИТУТ МЕЖДУНАРОДНОГО БИЗНЕСА, </w:t>
      </w:r>
      <w:r w:rsidRPr="00436136">
        <w:rPr>
          <w:rFonts w:ascii="Times New Roman" w:eastAsia="Times New Roman" w:hAnsi="Times New Roman" w:cs="Times New Roman"/>
          <w:kern w:val="0"/>
          <w:sz w:val="28"/>
          <w:szCs w:val="28"/>
          <w:lang w:eastAsia="ru-RU"/>
          <w14:ligatures w14:val="none"/>
        </w:rPr>
        <w:br/>
        <w:t>ЭКОНОМИКИ И УПРАВЛЕНИЯ</w:t>
      </w:r>
    </w:p>
    <w:p w14:paraId="226D06D6" w14:textId="77777777" w:rsidR="00436136" w:rsidRPr="00436136" w:rsidRDefault="00436136" w:rsidP="00436136">
      <w:pPr>
        <w:suppressAutoHyphens w:val="0"/>
        <w:spacing w:after="0" w:line="240" w:lineRule="auto"/>
        <w:jc w:val="center"/>
        <w:rPr>
          <w:rFonts w:ascii="Times New Roman" w:eastAsia="Times New Roman" w:hAnsi="Times New Roman" w:cs="Times New Roman"/>
          <w:kern w:val="0"/>
          <w:sz w:val="28"/>
          <w:szCs w:val="28"/>
          <w:lang w:eastAsia="ru-RU"/>
          <w14:ligatures w14:val="none"/>
        </w:rPr>
      </w:pPr>
      <w:r w:rsidRPr="00436136">
        <w:rPr>
          <w:rFonts w:ascii="Times New Roman" w:eastAsia="Times New Roman" w:hAnsi="Times New Roman" w:cs="Times New Roman"/>
          <w:kern w:val="0"/>
          <w:sz w:val="28"/>
          <w:szCs w:val="28"/>
          <w:lang w:eastAsia="ru-RU"/>
          <w14:ligatures w14:val="none"/>
        </w:rPr>
        <w:t>КАФЕДРА ЭКОНОМИКИ УПРАВЛЕНИЯ</w:t>
      </w:r>
    </w:p>
    <w:p w14:paraId="4BAC098C" w14:textId="77777777" w:rsidR="00436136" w:rsidRPr="00436136" w:rsidRDefault="00436136" w:rsidP="00436136">
      <w:pPr>
        <w:suppressAutoHyphens w:val="0"/>
        <w:spacing w:after="0" w:line="240" w:lineRule="auto"/>
        <w:rPr>
          <w:rFonts w:ascii="Times New Roman" w:eastAsia="Times New Roman" w:hAnsi="Times New Roman" w:cs="Times New Roman"/>
          <w:kern w:val="0"/>
          <w:sz w:val="28"/>
          <w:szCs w:val="24"/>
          <w:lang w:eastAsia="ru-RU"/>
          <w14:ligatures w14:val="none"/>
        </w:rPr>
      </w:pPr>
    </w:p>
    <w:p w14:paraId="21F7167B" w14:textId="77777777" w:rsidR="00436136" w:rsidRPr="00436136" w:rsidRDefault="00436136" w:rsidP="00436136">
      <w:pPr>
        <w:suppressAutoHyphens w:val="0"/>
        <w:spacing w:after="0" w:line="240" w:lineRule="auto"/>
        <w:rPr>
          <w:rFonts w:ascii="Times New Roman" w:eastAsia="Times New Roman" w:hAnsi="Times New Roman" w:cs="Times New Roman"/>
          <w:kern w:val="0"/>
          <w:sz w:val="28"/>
          <w:szCs w:val="24"/>
          <w:lang w:eastAsia="ru-RU"/>
          <w14:ligatures w14:val="none"/>
        </w:rPr>
      </w:pPr>
    </w:p>
    <w:p w14:paraId="1F261F43" w14:textId="77777777" w:rsidR="00436136" w:rsidRPr="00436136" w:rsidRDefault="00436136" w:rsidP="00436136">
      <w:pPr>
        <w:suppressAutoHyphens w:val="0"/>
        <w:spacing w:after="0" w:line="240" w:lineRule="auto"/>
        <w:ind w:left="6372"/>
        <w:rPr>
          <w:rFonts w:ascii="Times New Roman" w:eastAsia="Times New Roman" w:hAnsi="Times New Roman" w:cs="Times New Roman"/>
          <w:color w:val="000000" w:themeColor="text1"/>
          <w:kern w:val="0"/>
          <w:sz w:val="24"/>
          <w:szCs w:val="24"/>
          <w:lang w:eastAsia="ru-RU"/>
          <w14:ligatures w14:val="none"/>
        </w:rPr>
      </w:pPr>
    </w:p>
    <w:p w14:paraId="148A181F" w14:textId="77777777" w:rsidR="00436136" w:rsidRPr="00436136" w:rsidRDefault="00436136" w:rsidP="00436136">
      <w:pPr>
        <w:suppressAutoHyphens w:val="0"/>
        <w:spacing w:after="0" w:line="240" w:lineRule="auto"/>
        <w:ind w:left="6372"/>
        <w:rPr>
          <w:rFonts w:ascii="Times New Roman" w:eastAsia="Times New Roman" w:hAnsi="Times New Roman" w:cs="Times New Roman"/>
          <w:color w:val="000000" w:themeColor="text1"/>
          <w:kern w:val="0"/>
          <w:sz w:val="24"/>
          <w:szCs w:val="24"/>
          <w:lang w:eastAsia="ru-RU"/>
          <w14:ligatures w14:val="none"/>
        </w:rPr>
      </w:pPr>
    </w:p>
    <w:p w14:paraId="10CC1B61" w14:textId="77777777" w:rsidR="00436136" w:rsidRPr="00436136" w:rsidRDefault="00436136" w:rsidP="00436136">
      <w:pPr>
        <w:suppressAutoHyphens w:val="0"/>
        <w:spacing w:after="0" w:line="240" w:lineRule="auto"/>
        <w:ind w:left="6372"/>
        <w:rPr>
          <w:rFonts w:ascii="Times New Roman" w:eastAsia="Times New Roman" w:hAnsi="Times New Roman" w:cs="Times New Roman"/>
          <w:color w:val="000000" w:themeColor="text1"/>
          <w:kern w:val="0"/>
          <w:sz w:val="24"/>
          <w:szCs w:val="24"/>
          <w:lang w:eastAsia="ru-RU"/>
          <w14:ligatures w14:val="none"/>
        </w:rPr>
      </w:pPr>
    </w:p>
    <w:p w14:paraId="014321F9" w14:textId="77777777" w:rsidR="00436136" w:rsidRPr="00436136" w:rsidRDefault="00436136" w:rsidP="00436136">
      <w:pPr>
        <w:suppressAutoHyphens w:val="0"/>
        <w:spacing w:after="0" w:line="240" w:lineRule="auto"/>
        <w:ind w:left="6372"/>
        <w:rPr>
          <w:rFonts w:ascii="Times New Roman" w:eastAsia="Times New Roman" w:hAnsi="Times New Roman" w:cs="Times New Roman"/>
          <w:color w:val="000000" w:themeColor="text1"/>
          <w:kern w:val="0"/>
          <w:sz w:val="24"/>
          <w:szCs w:val="24"/>
          <w:lang w:eastAsia="ru-RU"/>
          <w14:ligatures w14:val="none"/>
        </w:rPr>
      </w:pPr>
    </w:p>
    <w:p w14:paraId="077AF6BF" w14:textId="77777777" w:rsidR="00436136" w:rsidRPr="00436136" w:rsidRDefault="00436136" w:rsidP="00436136">
      <w:pPr>
        <w:suppressAutoHyphens w:val="0"/>
        <w:spacing w:after="0" w:line="240" w:lineRule="auto"/>
        <w:jc w:val="right"/>
        <w:rPr>
          <w:rFonts w:ascii="Times New Roman" w:eastAsia="Times New Roman" w:hAnsi="Times New Roman" w:cs="Times New Roman"/>
          <w:color w:val="000000" w:themeColor="text1"/>
          <w:kern w:val="0"/>
          <w:sz w:val="28"/>
          <w:szCs w:val="24"/>
          <w:lang w:eastAsia="ru-RU"/>
          <w14:ligatures w14:val="none"/>
        </w:rPr>
      </w:pPr>
    </w:p>
    <w:p w14:paraId="1358B417" w14:textId="77777777" w:rsidR="00436136" w:rsidRPr="00436136" w:rsidRDefault="00436136" w:rsidP="00436136">
      <w:pPr>
        <w:keepNext/>
        <w:suppressAutoHyphens w:val="0"/>
        <w:spacing w:before="240" w:after="60" w:line="360" w:lineRule="auto"/>
        <w:jc w:val="center"/>
        <w:outlineLvl w:val="0"/>
        <w:rPr>
          <w:rFonts w:ascii="Times New Roman" w:eastAsia="Times New Roman" w:hAnsi="Times New Roman" w:cs="Times New Roman"/>
          <w:bCs/>
          <w:color w:val="000000" w:themeColor="text1"/>
          <w:kern w:val="32"/>
          <w:sz w:val="48"/>
          <w:szCs w:val="28"/>
          <w:lang w:eastAsia="ru-RU"/>
          <w14:ligatures w14:val="none"/>
        </w:rPr>
      </w:pPr>
      <w:r w:rsidRPr="00436136">
        <w:rPr>
          <w:rFonts w:ascii="Times New Roman" w:eastAsia="Times New Roman" w:hAnsi="Times New Roman" w:cs="Times New Roman"/>
          <w:bCs/>
          <w:color w:val="000000" w:themeColor="text1"/>
          <w:kern w:val="32"/>
          <w:sz w:val="48"/>
          <w:szCs w:val="28"/>
          <w:lang w:eastAsia="ru-RU"/>
          <w14:ligatures w14:val="none"/>
        </w:rPr>
        <w:t>ОТЧЕТ</w:t>
      </w:r>
    </w:p>
    <w:p w14:paraId="4E7A98D7" w14:textId="28BB911D" w:rsidR="00436136" w:rsidRPr="00436136" w:rsidRDefault="00436136" w:rsidP="00436136">
      <w:pPr>
        <w:suppressAutoHyphens w:val="0"/>
        <w:spacing w:after="0" w:line="240" w:lineRule="auto"/>
        <w:jc w:val="center"/>
        <w:rPr>
          <w:rFonts w:ascii="Times New Roman" w:eastAsia="Times New Roman" w:hAnsi="Times New Roman" w:cs="Times New Roman"/>
          <w:color w:val="000000" w:themeColor="text1"/>
          <w:kern w:val="0"/>
          <w:sz w:val="44"/>
          <w:szCs w:val="44"/>
          <w:lang w:eastAsia="ru-RU"/>
          <w14:ligatures w14:val="none"/>
        </w:rPr>
      </w:pPr>
      <w:r w:rsidRPr="00436136">
        <w:rPr>
          <w:rFonts w:ascii="Times New Roman" w:eastAsia="Times New Roman" w:hAnsi="Times New Roman" w:cs="Times New Roman"/>
          <w:color w:val="000000" w:themeColor="text1"/>
          <w:kern w:val="0"/>
          <w:sz w:val="44"/>
          <w:szCs w:val="44"/>
          <w:lang w:eastAsia="ru-RU"/>
          <w14:ligatures w14:val="none"/>
        </w:rPr>
        <w:t xml:space="preserve">ПО </w:t>
      </w:r>
      <w:r w:rsidRPr="00436136">
        <w:rPr>
          <w:rFonts w:ascii="Times New Roman" w:eastAsia="Times New Roman" w:hAnsi="Times New Roman" w:cs="Times New Roman"/>
          <w:color w:val="000000" w:themeColor="text1"/>
          <w:kern w:val="0"/>
          <w:sz w:val="44"/>
          <w:szCs w:val="44"/>
          <w:lang w:eastAsia="ru-RU"/>
          <w14:ligatures w14:val="none"/>
        </w:rPr>
        <w:t>УЧЕБНОЙ ОЗНАКОМИТЕЛЬНОЙ ПРАКТИКЕ</w:t>
      </w:r>
      <w:r w:rsidRPr="00436136">
        <w:rPr>
          <w:rFonts w:ascii="Times New Roman" w:eastAsia="Times New Roman" w:hAnsi="Times New Roman" w:cs="Times New Roman"/>
          <w:color w:val="000000" w:themeColor="text1"/>
          <w:kern w:val="0"/>
          <w:sz w:val="44"/>
          <w:szCs w:val="44"/>
          <w:lang w:eastAsia="ru-RU"/>
          <w14:ligatures w14:val="none"/>
        </w:rPr>
        <w:t xml:space="preserve"> (1 семестр)</w:t>
      </w:r>
    </w:p>
    <w:p w14:paraId="50464ED0" w14:textId="77777777" w:rsidR="00436136" w:rsidRPr="00436136" w:rsidRDefault="00436136" w:rsidP="00436136">
      <w:pPr>
        <w:suppressAutoHyphens w:val="0"/>
        <w:spacing w:before="240" w:after="0" w:line="240" w:lineRule="auto"/>
        <w:ind w:right="-74"/>
        <w:jc w:val="center"/>
        <w:rPr>
          <w:rFonts w:ascii="Times New Roman" w:eastAsia="Times New Roman" w:hAnsi="Times New Roman" w:cs="Times New Roman"/>
          <w:color w:val="000000" w:themeColor="text1"/>
          <w:kern w:val="0"/>
          <w:sz w:val="44"/>
          <w:szCs w:val="20"/>
          <w:lang w:eastAsia="ru-RU"/>
          <w14:ligatures w14:val="none"/>
        </w:rPr>
      </w:pPr>
    </w:p>
    <w:p w14:paraId="344A722E" w14:textId="77777777" w:rsidR="00436136" w:rsidRPr="00436136" w:rsidRDefault="00436136" w:rsidP="00436136">
      <w:pPr>
        <w:suppressAutoHyphens w:val="0"/>
        <w:spacing w:before="240" w:after="0" w:line="240" w:lineRule="auto"/>
        <w:ind w:right="-74"/>
        <w:jc w:val="center"/>
        <w:rPr>
          <w:rFonts w:ascii="Times New Roman" w:eastAsia="Times New Roman" w:hAnsi="Times New Roman" w:cs="Times New Roman"/>
          <w:color w:val="000000" w:themeColor="text1"/>
          <w:kern w:val="0"/>
          <w:sz w:val="44"/>
          <w:szCs w:val="20"/>
          <w:lang w:eastAsia="ru-RU"/>
          <w14:ligatures w14:val="none"/>
        </w:rPr>
      </w:pPr>
    </w:p>
    <w:p w14:paraId="221B176B" w14:textId="77777777" w:rsidR="00436136" w:rsidRPr="00436136" w:rsidRDefault="00436136" w:rsidP="00436136">
      <w:pPr>
        <w:suppressAutoHyphens w:val="0"/>
        <w:spacing w:before="240" w:after="0" w:line="240" w:lineRule="auto"/>
        <w:ind w:right="-74"/>
        <w:jc w:val="center"/>
        <w:rPr>
          <w:rFonts w:ascii="Times New Roman" w:eastAsia="Times New Roman" w:hAnsi="Times New Roman" w:cs="Times New Roman"/>
          <w:color w:val="000000" w:themeColor="text1"/>
          <w:kern w:val="0"/>
          <w:sz w:val="44"/>
          <w:szCs w:val="20"/>
          <w:lang w:eastAsia="ru-RU"/>
          <w14:ligatures w14:val="none"/>
        </w:rPr>
      </w:pPr>
    </w:p>
    <w:p w14:paraId="270B28C7" w14:textId="77777777" w:rsidR="00436136" w:rsidRPr="00436136" w:rsidRDefault="00436136" w:rsidP="00436136">
      <w:pPr>
        <w:suppressAutoHyphens w:val="0"/>
        <w:spacing w:before="240" w:after="0" w:line="240" w:lineRule="auto"/>
        <w:ind w:right="-74"/>
        <w:jc w:val="center"/>
        <w:rPr>
          <w:rFonts w:ascii="Times New Roman" w:eastAsia="Times New Roman" w:hAnsi="Times New Roman" w:cs="Times New Roman"/>
          <w:color w:val="000000" w:themeColor="text1"/>
          <w:kern w:val="0"/>
          <w:sz w:val="44"/>
          <w:szCs w:val="20"/>
          <w:lang w:eastAsia="ru-RU"/>
          <w14:ligatures w14:val="none"/>
        </w:rPr>
      </w:pPr>
    </w:p>
    <w:tbl>
      <w:tblPr>
        <w:tblW w:w="9690" w:type="dxa"/>
        <w:tblLayout w:type="fixed"/>
        <w:tblLook w:val="04A0" w:firstRow="1" w:lastRow="0" w:firstColumn="1" w:lastColumn="0" w:noHBand="0" w:noVBand="1"/>
      </w:tblPr>
      <w:tblGrid>
        <w:gridCol w:w="3971"/>
        <w:gridCol w:w="2491"/>
        <w:gridCol w:w="3228"/>
      </w:tblGrid>
      <w:tr w:rsidR="00436136" w:rsidRPr="00436136" w14:paraId="21C3AAEC" w14:textId="77777777">
        <w:tc>
          <w:tcPr>
            <w:tcW w:w="3972" w:type="dxa"/>
            <w:hideMark/>
          </w:tcPr>
          <w:p w14:paraId="72281A81" w14:textId="77777777" w:rsidR="00436136" w:rsidRPr="00436136" w:rsidRDefault="00436136" w:rsidP="00436136">
            <w:pPr>
              <w:suppressAutoHyphens w:val="0"/>
              <w:spacing w:after="0" w:line="240" w:lineRule="auto"/>
              <w:ind w:right="963"/>
              <w:jc w:val="both"/>
              <w:rPr>
                <w:rFonts w:ascii="Times New Roman" w:eastAsia="Times New Roman" w:hAnsi="Times New Roman" w:cs="Times New Roman"/>
                <w:color w:val="000000" w:themeColor="text1"/>
                <w:kern w:val="0"/>
                <w:sz w:val="28"/>
                <w:szCs w:val="28"/>
                <w:lang w:eastAsia="ru-RU"/>
                <w14:ligatures w14:val="none"/>
              </w:rPr>
            </w:pPr>
            <w:r w:rsidRPr="00436136">
              <w:rPr>
                <w:rFonts w:ascii="Times New Roman" w:eastAsia="Times New Roman" w:hAnsi="Times New Roman" w:cs="Times New Roman"/>
                <w:color w:val="000000" w:themeColor="text1"/>
                <w:kern w:val="0"/>
                <w:sz w:val="28"/>
                <w:szCs w:val="28"/>
                <w:lang w:eastAsia="ru-RU"/>
                <w14:ligatures w14:val="none"/>
              </w:rPr>
              <w:t>Студент</w:t>
            </w:r>
          </w:p>
        </w:tc>
        <w:tc>
          <w:tcPr>
            <w:tcW w:w="2491" w:type="dxa"/>
            <w:hideMark/>
          </w:tcPr>
          <w:p w14:paraId="078DBA42" w14:textId="77777777" w:rsidR="00436136" w:rsidRPr="00436136" w:rsidRDefault="00436136" w:rsidP="00436136">
            <w:pPr>
              <w:suppressAutoHyphens w:val="0"/>
              <w:spacing w:after="0" w:line="240" w:lineRule="auto"/>
              <w:ind w:right="144"/>
              <w:jc w:val="both"/>
              <w:rPr>
                <w:rFonts w:ascii="Times New Roman" w:eastAsia="Times New Roman" w:hAnsi="Times New Roman" w:cs="Times New Roman"/>
                <w:color w:val="000000" w:themeColor="text1"/>
                <w:kern w:val="0"/>
                <w:sz w:val="28"/>
                <w:szCs w:val="28"/>
                <w:lang w:eastAsia="ru-RU"/>
                <w14:ligatures w14:val="none"/>
              </w:rPr>
            </w:pPr>
            <w:r w:rsidRPr="00436136">
              <w:rPr>
                <w:rFonts w:ascii="Times New Roman" w:eastAsia="Times New Roman" w:hAnsi="Times New Roman" w:cs="Times New Roman"/>
                <w:color w:val="000000" w:themeColor="text1"/>
                <w:kern w:val="0"/>
                <w:sz w:val="28"/>
                <w:szCs w:val="28"/>
                <w:lang w:eastAsia="ru-RU"/>
                <w14:ligatures w14:val="none"/>
              </w:rPr>
              <w:t>______________</w:t>
            </w:r>
          </w:p>
        </w:tc>
        <w:tc>
          <w:tcPr>
            <w:tcW w:w="3228" w:type="dxa"/>
            <w:hideMark/>
          </w:tcPr>
          <w:p w14:paraId="632F1EF6" w14:textId="1E20FA34" w:rsidR="00436136" w:rsidRPr="00436136" w:rsidRDefault="00436136" w:rsidP="00436136">
            <w:pPr>
              <w:suppressAutoHyphens w:val="0"/>
              <w:spacing w:after="0" w:line="240" w:lineRule="auto"/>
              <w:jc w:val="both"/>
              <w:rPr>
                <w:rFonts w:ascii="Times New Roman" w:eastAsia="Times New Roman" w:hAnsi="Times New Roman" w:cs="Times New Roman"/>
                <w:color w:val="000000" w:themeColor="text1"/>
                <w:kern w:val="0"/>
                <w:sz w:val="28"/>
                <w:szCs w:val="28"/>
                <w:lang w:eastAsia="ru-RU"/>
                <w14:ligatures w14:val="none"/>
              </w:rPr>
            </w:pPr>
            <w:r w:rsidRPr="00436136">
              <w:rPr>
                <w:rFonts w:ascii="Times New Roman" w:eastAsia="Times New Roman" w:hAnsi="Times New Roman" w:cs="Times New Roman"/>
                <w:color w:val="000000" w:themeColor="text1"/>
                <w:kern w:val="0"/>
                <w:sz w:val="28"/>
                <w:szCs w:val="28"/>
                <w:lang w:eastAsia="ru-RU"/>
                <w14:ligatures w14:val="none"/>
              </w:rPr>
              <w:t>В</w:t>
            </w:r>
            <w:r w:rsidRPr="00436136">
              <w:rPr>
                <w:rFonts w:ascii="Times New Roman" w:eastAsia="Times New Roman" w:hAnsi="Times New Roman" w:cs="Times New Roman"/>
                <w:color w:val="000000" w:themeColor="text1"/>
                <w:kern w:val="0"/>
                <w:sz w:val="28"/>
                <w:szCs w:val="28"/>
                <w:lang w:eastAsia="ru-RU"/>
                <w14:ligatures w14:val="none"/>
              </w:rPr>
              <w:t>.</w:t>
            </w:r>
            <w:r w:rsidRPr="00436136">
              <w:rPr>
                <w:rFonts w:ascii="Times New Roman" w:eastAsia="Times New Roman" w:hAnsi="Times New Roman" w:cs="Times New Roman"/>
                <w:color w:val="000000" w:themeColor="text1"/>
                <w:kern w:val="0"/>
                <w:sz w:val="28"/>
                <w:szCs w:val="28"/>
                <w:lang w:eastAsia="ru-RU"/>
                <w14:ligatures w14:val="none"/>
              </w:rPr>
              <w:t>Е</w:t>
            </w:r>
            <w:r w:rsidRPr="00436136">
              <w:rPr>
                <w:rFonts w:ascii="Times New Roman" w:eastAsia="Times New Roman" w:hAnsi="Times New Roman" w:cs="Times New Roman"/>
                <w:color w:val="000000" w:themeColor="text1"/>
                <w:kern w:val="0"/>
                <w:sz w:val="28"/>
                <w:szCs w:val="28"/>
                <w:lang w:eastAsia="ru-RU"/>
                <w14:ligatures w14:val="none"/>
              </w:rPr>
              <w:t xml:space="preserve">. </w:t>
            </w:r>
            <w:r w:rsidRPr="00436136">
              <w:rPr>
                <w:rFonts w:ascii="Times New Roman" w:eastAsia="Times New Roman" w:hAnsi="Times New Roman" w:cs="Times New Roman"/>
                <w:color w:val="000000" w:themeColor="text1"/>
                <w:kern w:val="0"/>
                <w:sz w:val="28"/>
                <w:szCs w:val="28"/>
                <w:lang w:eastAsia="ru-RU"/>
                <w14:ligatures w14:val="none"/>
              </w:rPr>
              <w:t>Епифанова</w:t>
            </w:r>
          </w:p>
        </w:tc>
      </w:tr>
      <w:tr w:rsidR="00436136" w:rsidRPr="00436136" w14:paraId="5B61EE91" w14:textId="77777777">
        <w:tc>
          <w:tcPr>
            <w:tcW w:w="3972" w:type="dxa"/>
            <w:hideMark/>
          </w:tcPr>
          <w:p w14:paraId="6A80D442" w14:textId="524FBDAA" w:rsidR="00436136" w:rsidRPr="00436136" w:rsidRDefault="00436136" w:rsidP="00436136">
            <w:pPr>
              <w:suppressAutoHyphens w:val="0"/>
              <w:spacing w:after="0" w:line="240" w:lineRule="auto"/>
              <w:ind w:right="963"/>
              <w:jc w:val="both"/>
              <w:rPr>
                <w:rFonts w:ascii="Times New Roman" w:eastAsia="Times New Roman" w:hAnsi="Times New Roman" w:cs="Times New Roman"/>
                <w:color w:val="000000" w:themeColor="text1"/>
                <w:kern w:val="0"/>
                <w:sz w:val="28"/>
                <w:szCs w:val="28"/>
                <w:lang w:val="en-US" w:eastAsia="ru-RU"/>
                <w14:ligatures w14:val="none"/>
              </w:rPr>
            </w:pPr>
            <w:r w:rsidRPr="00436136">
              <w:rPr>
                <w:rFonts w:ascii="Times New Roman" w:eastAsia="Times New Roman" w:hAnsi="Times New Roman" w:cs="Times New Roman"/>
                <w:color w:val="000000" w:themeColor="text1"/>
                <w:kern w:val="0"/>
                <w:sz w:val="28"/>
                <w:szCs w:val="28"/>
                <w:lang w:eastAsia="ru-RU"/>
                <w14:ligatures w14:val="none"/>
              </w:rPr>
              <w:t>группы ММН-25-СУ1</w:t>
            </w:r>
          </w:p>
        </w:tc>
        <w:tc>
          <w:tcPr>
            <w:tcW w:w="2491" w:type="dxa"/>
          </w:tcPr>
          <w:p w14:paraId="6B5BCE7A" w14:textId="77777777" w:rsidR="00436136" w:rsidRPr="00436136" w:rsidRDefault="00436136" w:rsidP="00436136">
            <w:pPr>
              <w:suppressAutoHyphens w:val="0"/>
              <w:spacing w:after="0" w:line="240" w:lineRule="auto"/>
              <w:ind w:right="144"/>
              <w:jc w:val="both"/>
              <w:rPr>
                <w:rFonts w:ascii="Times New Roman" w:eastAsia="Times New Roman" w:hAnsi="Times New Roman" w:cs="Times New Roman"/>
                <w:color w:val="000000" w:themeColor="text1"/>
                <w:kern w:val="0"/>
                <w:sz w:val="28"/>
                <w:szCs w:val="28"/>
                <w:lang w:eastAsia="ru-RU"/>
                <w14:ligatures w14:val="none"/>
              </w:rPr>
            </w:pPr>
          </w:p>
        </w:tc>
        <w:tc>
          <w:tcPr>
            <w:tcW w:w="3228" w:type="dxa"/>
          </w:tcPr>
          <w:p w14:paraId="3C0D0ABE" w14:textId="77777777" w:rsidR="00436136" w:rsidRPr="00436136" w:rsidRDefault="00436136" w:rsidP="00436136">
            <w:pPr>
              <w:suppressAutoHyphens w:val="0"/>
              <w:spacing w:after="0" w:line="240" w:lineRule="auto"/>
              <w:jc w:val="both"/>
              <w:rPr>
                <w:rFonts w:ascii="Times New Roman" w:eastAsia="Times New Roman" w:hAnsi="Times New Roman" w:cs="Times New Roman"/>
                <w:color w:val="000000" w:themeColor="text1"/>
                <w:kern w:val="0"/>
                <w:sz w:val="28"/>
                <w:szCs w:val="28"/>
                <w:lang w:eastAsia="ru-RU"/>
                <w14:ligatures w14:val="none"/>
              </w:rPr>
            </w:pPr>
          </w:p>
        </w:tc>
      </w:tr>
      <w:tr w:rsidR="00436136" w:rsidRPr="00436136" w14:paraId="127604A8" w14:textId="77777777">
        <w:tc>
          <w:tcPr>
            <w:tcW w:w="3972" w:type="dxa"/>
          </w:tcPr>
          <w:p w14:paraId="570A1ED2" w14:textId="77777777" w:rsidR="00436136" w:rsidRPr="00436136" w:rsidRDefault="00436136" w:rsidP="00436136">
            <w:pPr>
              <w:suppressAutoHyphens w:val="0"/>
              <w:spacing w:after="0" w:line="240" w:lineRule="auto"/>
              <w:ind w:right="963"/>
              <w:jc w:val="both"/>
              <w:rPr>
                <w:rFonts w:ascii="Times New Roman" w:eastAsia="Times New Roman" w:hAnsi="Times New Roman" w:cs="Times New Roman"/>
                <w:color w:val="000000" w:themeColor="text1"/>
                <w:kern w:val="0"/>
                <w:sz w:val="28"/>
                <w:szCs w:val="28"/>
                <w:lang w:eastAsia="ru-RU"/>
                <w14:ligatures w14:val="none"/>
              </w:rPr>
            </w:pPr>
          </w:p>
          <w:p w14:paraId="3A4D3894" w14:textId="77777777" w:rsidR="00436136" w:rsidRPr="00436136" w:rsidRDefault="00436136" w:rsidP="00436136">
            <w:pPr>
              <w:suppressAutoHyphens w:val="0"/>
              <w:spacing w:after="0" w:line="240" w:lineRule="auto"/>
              <w:ind w:right="963"/>
              <w:jc w:val="both"/>
              <w:rPr>
                <w:rFonts w:ascii="Times New Roman" w:eastAsia="Times New Roman" w:hAnsi="Times New Roman" w:cs="Times New Roman"/>
                <w:color w:val="000000" w:themeColor="text1"/>
                <w:kern w:val="0"/>
                <w:sz w:val="28"/>
                <w:szCs w:val="28"/>
                <w:lang w:eastAsia="ru-RU"/>
                <w14:ligatures w14:val="none"/>
              </w:rPr>
            </w:pPr>
            <w:r w:rsidRPr="00436136">
              <w:rPr>
                <w:rFonts w:ascii="Times New Roman" w:eastAsia="Times New Roman" w:hAnsi="Times New Roman" w:cs="Times New Roman"/>
                <w:color w:val="000000" w:themeColor="text1"/>
                <w:kern w:val="0"/>
                <w:sz w:val="28"/>
                <w:szCs w:val="28"/>
                <w:lang w:eastAsia="ru-RU"/>
                <w14:ligatures w14:val="none"/>
              </w:rPr>
              <w:t>Руководитель</w:t>
            </w:r>
          </w:p>
          <w:p w14:paraId="3F805AE2" w14:textId="77777777" w:rsidR="00436136" w:rsidRPr="00436136" w:rsidRDefault="00436136" w:rsidP="00436136">
            <w:pPr>
              <w:suppressAutoHyphens w:val="0"/>
              <w:spacing w:after="0" w:line="240" w:lineRule="auto"/>
              <w:ind w:right="963"/>
              <w:rPr>
                <w:rFonts w:ascii="Times New Roman" w:eastAsia="Times New Roman" w:hAnsi="Times New Roman" w:cs="Times New Roman"/>
                <w:color w:val="000000" w:themeColor="text1"/>
                <w:kern w:val="0"/>
                <w:sz w:val="28"/>
                <w:szCs w:val="28"/>
                <w:lang w:eastAsia="ru-RU"/>
                <w14:ligatures w14:val="none"/>
              </w:rPr>
            </w:pPr>
            <w:r w:rsidRPr="00436136">
              <w:rPr>
                <w:rFonts w:ascii="Times New Roman" w:eastAsia="Times New Roman" w:hAnsi="Times New Roman" w:cs="Times New Roman"/>
                <w:color w:val="000000" w:themeColor="text1"/>
                <w:kern w:val="0"/>
                <w:sz w:val="28"/>
                <w:szCs w:val="28"/>
                <w:lang w:eastAsia="ru-RU"/>
                <w14:ligatures w14:val="none"/>
              </w:rPr>
              <w:t>канд. экон. наук. доцент</w:t>
            </w:r>
          </w:p>
        </w:tc>
        <w:tc>
          <w:tcPr>
            <w:tcW w:w="2491" w:type="dxa"/>
          </w:tcPr>
          <w:p w14:paraId="3A2B7721" w14:textId="77777777" w:rsidR="00436136" w:rsidRPr="00436136" w:rsidRDefault="00436136" w:rsidP="00436136">
            <w:pPr>
              <w:suppressAutoHyphens w:val="0"/>
              <w:spacing w:after="0" w:line="240" w:lineRule="auto"/>
              <w:ind w:right="144"/>
              <w:jc w:val="both"/>
              <w:rPr>
                <w:rFonts w:ascii="Times New Roman" w:eastAsia="Times New Roman" w:hAnsi="Times New Roman" w:cs="Times New Roman"/>
                <w:color w:val="000000" w:themeColor="text1"/>
                <w:kern w:val="0"/>
                <w:sz w:val="28"/>
                <w:szCs w:val="28"/>
                <w:lang w:eastAsia="ru-RU"/>
                <w14:ligatures w14:val="none"/>
              </w:rPr>
            </w:pPr>
          </w:p>
          <w:p w14:paraId="3085FD76" w14:textId="77777777" w:rsidR="00436136" w:rsidRPr="00436136" w:rsidRDefault="00436136" w:rsidP="00436136">
            <w:pPr>
              <w:suppressAutoHyphens w:val="0"/>
              <w:spacing w:after="0" w:line="240" w:lineRule="auto"/>
              <w:ind w:right="144"/>
              <w:jc w:val="both"/>
              <w:rPr>
                <w:rFonts w:ascii="Times New Roman" w:eastAsia="Times New Roman" w:hAnsi="Times New Roman" w:cs="Times New Roman"/>
                <w:color w:val="000000" w:themeColor="text1"/>
                <w:kern w:val="0"/>
                <w:sz w:val="28"/>
                <w:szCs w:val="28"/>
                <w:lang w:eastAsia="ru-RU"/>
                <w14:ligatures w14:val="none"/>
              </w:rPr>
            </w:pPr>
            <w:r w:rsidRPr="00436136">
              <w:rPr>
                <w:rFonts w:ascii="Times New Roman" w:eastAsia="Times New Roman" w:hAnsi="Times New Roman" w:cs="Times New Roman"/>
                <w:color w:val="000000" w:themeColor="text1"/>
                <w:kern w:val="0"/>
                <w:sz w:val="28"/>
                <w:szCs w:val="28"/>
                <w:lang w:eastAsia="ru-RU"/>
                <w14:ligatures w14:val="none"/>
              </w:rPr>
              <w:t>______________</w:t>
            </w:r>
          </w:p>
        </w:tc>
        <w:tc>
          <w:tcPr>
            <w:tcW w:w="3228" w:type="dxa"/>
          </w:tcPr>
          <w:p w14:paraId="1F5974DB" w14:textId="77777777" w:rsidR="00436136" w:rsidRPr="00436136" w:rsidRDefault="00436136" w:rsidP="00436136">
            <w:pPr>
              <w:suppressAutoHyphens w:val="0"/>
              <w:spacing w:after="0" w:line="240" w:lineRule="auto"/>
              <w:jc w:val="both"/>
              <w:rPr>
                <w:rFonts w:ascii="Times New Roman" w:eastAsia="Times New Roman" w:hAnsi="Times New Roman" w:cs="Times New Roman"/>
                <w:color w:val="000000" w:themeColor="text1"/>
                <w:kern w:val="0"/>
                <w:sz w:val="28"/>
                <w:szCs w:val="28"/>
                <w:lang w:eastAsia="ru-RU"/>
                <w14:ligatures w14:val="none"/>
              </w:rPr>
            </w:pPr>
          </w:p>
          <w:p w14:paraId="45E4B8FE" w14:textId="661C8839" w:rsidR="00436136" w:rsidRPr="00436136" w:rsidRDefault="00436136" w:rsidP="00436136">
            <w:pPr>
              <w:suppressAutoHyphens w:val="0"/>
              <w:spacing w:after="0" w:line="240" w:lineRule="auto"/>
              <w:jc w:val="both"/>
              <w:rPr>
                <w:rFonts w:ascii="Times New Roman" w:eastAsia="Times New Roman" w:hAnsi="Times New Roman" w:cs="Times New Roman"/>
                <w:color w:val="000000" w:themeColor="text1"/>
                <w:kern w:val="0"/>
                <w:sz w:val="28"/>
                <w:szCs w:val="28"/>
                <w:lang w:eastAsia="ru-RU"/>
                <w14:ligatures w14:val="none"/>
              </w:rPr>
            </w:pPr>
            <w:r w:rsidRPr="00436136">
              <w:rPr>
                <w:rFonts w:ascii="Times New Roman" w:eastAsia="Times New Roman" w:hAnsi="Times New Roman" w:cs="Times New Roman"/>
                <w:color w:val="000000" w:themeColor="text1"/>
                <w:kern w:val="0"/>
                <w:sz w:val="28"/>
                <w:szCs w:val="28"/>
                <w:lang w:eastAsia="ru-RU"/>
                <w14:ligatures w14:val="none"/>
              </w:rPr>
              <w:t>И</w:t>
            </w:r>
            <w:r w:rsidRPr="00436136">
              <w:rPr>
                <w:rFonts w:ascii="Times New Roman" w:eastAsia="Times New Roman" w:hAnsi="Times New Roman" w:cs="Times New Roman"/>
                <w:color w:val="000000" w:themeColor="text1"/>
                <w:kern w:val="0"/>
                <w:sz w:val="28"/>
                <w:szCs w:val="28"/>
                <w:lang w:eastAsia="ru-RU"/>
                <w14:ligatures w14:val="none"/>
              </w:rPr>
              <w:t>.</w:t>
            </w:r>
            <w:r w:rsidRPr="00436136">
              <w:rPr>
                <w:rFonts w:ascii="Times New Roman" w:eastAsia="Times New Roman" w:hAnsi="Times New Roman" w:cs="Times New Roman"/>
                <w:color w:val="000000" w:themeColor="text1"/>
                <w:kern w:val="0"/>
                <w:sz w:val="28"/>
                <w:szCs w:val="28"/>
                <w:lang w:eastAsia="ru-RU"/>
                <w14:ligatures w14:val="none"/>
              </w:rPr>
              <w:t xml:space="preserve"> В</w:t>
            </w:r>
            <w:r w:rsidRPr="00436136">
              <w:rPr>
                <w:rFonts w:ascii="Times New Roman" w:eastAsia="Times New Roman" w:hAnsi="Times New Roman" w:cs="Times New Roman"/>
                <w:color w:val="000000" w:themeColor="text1"/>
                <w:kern w:val="0"/>
                <w:sz w:val="28"/>
                <w:szCs w:val="28"/>
                <w:lang w:eastAsia="ru-RU"/>
                <w14:ligatures w14:val="none"/>
              </w:rPr>
              <w:t xml:space="preserve">. </w:t>
            </w:r>
            <w:r w:rsidRPr="00436136">
              <w:rPr>
                <w:rFonts w:ascii="Times New Roman" w:eastAsia="Times New Roman" w:hAnsi="Times New Roman" w:cs="Times New Roman"/>
                <w:color w:val="000000" w:themeColor="text1"/>
                <w:kern w:val="0"/>
                <w:sz w:val="28"/>
                <w:szCs w:val="28"/>
                <w:lang w:eastAsia="ru-RU"/>
                <w14:ligatures w14:val="none"/>
              </w:rPr>
              <w:t>Попова</w:t>
            </w:r>
          </w:p>
          <w:p w14:paraId="7299D464" w14:textId="77777777" w:rsidR="00436136" w:rsidRPr="00436136" w:rsidRDefault="00436136" w:rsidP="00436136">
            <w:pPr>
              <w:suppressAutoHyphens w:val="0"/>
              <w:spacing w:after="0" w:line="240" w:lineRule="auto"/>
              <w:jc w:val="both"/>
              <w:rPr>
                <w:rFonts w:ascii="Times New Roman" w:eastAsia="Times New Roman" w:hAnsi="Times New Roman" w:cs="Times New Roman"/>
                <w:color w:val="000000" w:themeColor="text1"/>
                <w:kern w:val="0"/>
                <w:sz w:val="28"/>
                <w:szCs w:val="28"/>
                <w:lang w:eastAsia="ru-RU"/>
                <w14:ligatures w14:val="none"/>
              </w:rPr>
            </w:pPr>
          </w:p>
        </w:tc>
      </w:tr>
    </w:tbl>
    <w:p w14:paraId="549D4C1D" w14:textId="77777777" w:rsidR="00436136" w:rsidRPr="00436136" w:rsidRDefault="00436136" w:rsidP="00436136">
      <w:pPr>
        <w:suppressAutoHyphens w:val="0"/>
        <w:spacing w:after="0" w:line="240" w:lineRule="auto"/>
        <w:ind w:right="963"/>
        <w:jc w:val="center"/>
        <w:rPr>
          <w:rFonts w:ascii="Times New Roman" w:eastAsia="Times New Roman" w:hAnsi="Times New Roman" w:cs="Times New Roman"/>
          <w:color w:val="000000" w:themeColor="text1"/>
          <w:kern w:val="0"/>
          <w:sz w:val="32"/>
          <w:szCs w:val="20"/>
          <w:lang w:eastAsia="ru-RU"/>
          <w14:ligatures w14:val="none"/>
        </w:rPr>
      </w:pPr>
    </w:p>
    <w:p w14:paraId="317DDF62" w14:textId="77777777" w:rsidR="00436136" w:rsidRPr="00436136" w:rsidRDefault="00436136" w:rsidP="00436136">
      <w:pPr>
        <w:suppressAutoHyphens w:val="0"/>
        <w:spacing w:after="0" w:line="240" w:lineRule="auto"/>
        <w:ind w:right="963"/>
        <w:jc w:val="center"/>
        <w:rPr>
          <w:rFonts w:ascii="Times New Roman" w:eastAsia="Times New Roman" w:hAnsi="Times New Roman" w:cs="Times New Roman"/>
          <w:color w:val="000000" w:themeColor="text1"/>
          <w:kern w:val="0"/>
          <w:sz w:val="32"/>
          <w:szCs w:val="20"/>
          <w:lang w:eastAsia="ru-RU"/>
          <w14:ligatures w14:val="none"/>
        </w:rPr>
      </w:pPr>
    </w:p>
    <w:p w14:paraId="44EF8D31" w14:textId="77777777" w:rsidR="00436136" w:rsidRPr="00436136" w:rsidRDefault="00436136" w:rsidP="00436136">
      <w:pPr>
        <w:suppressAutoHyphens w:val="0"/>
        <w:spacing w:after="0" w:line="240" w:lineRule="auto"/>
        <w:ind w:right="963"/>
        <w:jc w:val="center"/>
        <w:rPr>
          <w:rFonts w:ascii="Times New Roman" w:eastAsia="Times New Roman" w:hAnsi="Times New Roman" w:cs="Times New Roman"/>
          <w:color w:val="000000" w:themeColor="text1"/>
          <w:kern w:val="0"/>
          <w:sz w:val="32"/>
          <w:szCs w:val="20"/>
          <w:lang w:eastAsia="ru-RU"/>
          <w14:ligatures w14:val="none"/>
        </w:rPr>
      </w:pPr>
    </w:p>
    <w:p w14:paraId="35085B6E" w14:textId="77777777" w:rsidR="00436136" w:rsidRPr="00436136" w:rsidRDefault="00436136" w:rsidP="00436136">
      <w:pPr>
        <w:suppressAutoHyphens w:val="0"/>
        <w:spacing w:after="0" w:line="240" w:lineRule="auto"/>
        <w:ind w:right="963"/>
        <w:jc w:val="center"/>
        <w:rPr>
          <w:rFonts w:ascii="Times New Roman" w:eastAsia="Times New Roman" w:hAnsi="Times New Roman" w:cs="Times New Roman"/>
          <w:color w:val="000000" w:themeColor="text1"/>
          <w:kern w:val="0"/>
          <w:sz w:val="32"/>
          <w:szCs w:val="20"/>
          <w:lang w:eastAsia="ru-RU"/>
          <w14:ligatures w14:val="none"/>
        </w:rPr>
      </w:pPr>
    </w:p>
    <w:p w14:paraId="1CA86181" w14:textId="77777777" w:rsidR="00436136" w:rsidRPr="00436136" w:rsidRDefault="00436136" w:rsidP="00436136">
      <w:pPr>
        <w:suppressAutoHyphens w:val="0"/>
        <w:spacing w:after="0" w:line="240" w:lineRule="auto"/>
        <w:ind w:right="963"/>
        <w:jc w:val="center"/>
        <w:rPr>
          <w:rFonts w:ascii="Times New Roman" w:eastAsia="Times New Roman" w:hAnsi="Times New Roman" w:cs="Times New Roman"/>
          <w:color w:val="000000" w:themeColor="text1"/>
          <w:kern w:val="0"/>
          <w:sz w:val="32"/>
          <w:szCs w:val="20"/>
          <w:lang w:eastAsia="ru-RU"/>
          <w14:ligatures w14:val="none"/>
        </w:rPr>
      </w:pPr>
    </w:p>
    <w:p w14:paraId="02B163D7" w14:textId="77777777" w:rsidR="00436136" w:rsidRPr="00436136" w:rsidRDefault="00436136" w:rsidP="00436136">
      <w:pPr>
        <w:suppressAutoHyphens w:val="0"/>
        <w:spacing w:after="0" w:line="240" w:lineRule="auto"/>
        <w:ind w:right="963"/>
        <w:jc w:val="center"/>
        <w:rPr>
          <w:rFonts w:ascii="Times New Roman" w:eastAsia="Times New Roman" w:hAnsi="Times New Roman" w:cs="Times New Roman"/>
          <w:color w:val="000000" w:themeColor="text1"/>
          <w:kern w:val="0"/>
          <w:sz w:val="32"/>
          <w:szCs w:val="20"/>
          <w:lang w:eastAsia="ru-RU"/>
          <w14:ligatures w14:val="none"/>
        </w:rPr>
      </w:pPr>
    </w:p>
    <w:p w14:paraId="6A4FD7A4" w14:textId="70F72B9F" w:rsidR="00436136" w:rsidRPr="00436136" w:rsidRDefault="00436136" w:rsidP="00436136">
      <w:pPr>
        <w:suppressAutoHyphens w:val="0"/>
        <w:spacing w:after="0" w:line="240" w:lineRule="auto"/>
        <w:jc w:val="center"/>
        <w:rPr>
          <w:rFonts w:ascii="Times New Roman" w:eastAsia="Times New Roman" w:hAnsi="Times New Roman" w:cs="Times New Roman"/>
          <w:color w:val="000000" w:themeColor="text1"/>
          <w:kern w:val="0"/>
          <w:sz w:val="28"/>
          <w:szCs w:val="28"/>
          <w:lang w:eastAsia="ar-SA"/>
          <w14:ligatures w14:val="none"/>
        </w:rPr>
      </w:pPr>
      <w:r w:rsidRPr="00436136">
        <w:rPr>
          <w:rFonts w:ascii="Times New Roman" w:eastAsia="Times New Roman" w:hAnsi="Times New Roman" w:cs="Times New Roman"/>
          <w:color w:val="000000" w:themeColor="text1"/>
          <w:kern w:val="0"/>
          <w:sz w:val="28"/>
          <w:szCs w:val="28"/>
          <w:lang w:eastAsia="ru-RU"/>
          <w14:ligatures w14:val="none"/>
        </w:rPr>
        <w:t xml:space="preserve">Владивосток </w:t>
      </w:r>
      <w:r w:rsidRPr="00436136">
        <w:rPr>
          <w:rFonts w:ascii="Times New Roman" w:eastAsia="Times New Roman" w:hAnsi="Times New Roman" w:cs="Times New Roman"/>
          <w:color w:val="000000" w:themeColor="text1"/>
          <w:kern w:val="0"/>
          <w:sz w:val="28"/>
          <w:szCs w:val="28"/>
          <w:lang w:val="en-US" w:eastAsia="ru-RU"/>
          <w14:ligatures w14:val="none"/>
        </w:rPr>
        <w:t>202</w:t>
      </w:r>
      <w:r w:rsidRPr="00436136">
        <w:rPr>
          <w:rFonts w:ascii="Times New Roman" w:eastAsia="Times New Roman" w:hAnsi="Times New Roman" w:cs="Times New Roman"/>
          <w:color w:val="000000" w:themeColor="text1"/>
          <w:kern w:val="0"/>
          <w:sz w:val="28"/>
          <w:szCs w:val="28"/>
          <w:lang w:eastAsia="ru-RU"/>
          <w14:ligatures w14:val="none"/>
        </w:rPr>
        <w:t>6</w:t>
      </w:r>
    </w:p>
    <w:p w14:paraId="06445EF2" w14:textId="141092B0" w:rsidR="00436136" w:rsidRDefault="00436136">
      <w:pPr>
        <w:spacing w:after="0" w:line="240" w:lineRule="auto"/>
        <w:rPr>
          <w:rFonts w:ascii="Arial CYR" w:hAnsi="Arial CYR" w:cs="Times New Roman"/>
          <w:sz w:val="30"/>
          <w:szCs w:val="30"/>
        </w:rPr>
      </w:pPr>
    </w:p>
    <w:p w14:paraId="0DF2CCF1" w14:textId="6850FE9B" w:rsidR="0087425C" w:rsidRDefault="0087425C" w:rsidP="0087425C">
      <w:pPr>
        <w:spacing w:after="0" w:line="240" w:lineRule="auto"/>
        <w:jc w:val="center"/>
        <w:rPr>
          <w:rFonts w:ascii="Arial CYR" w:hAnsi="Arial CYR" w:cs="Times New Roman"/>
          <w:sz w:val="30"/>
          <w:szCs w:val="30"/>
        </w:rPr>
      </w:pPr>
      <w:r>
        <w:rPr>
          <w:rFonts w:ascii="Arial CYR" w:hAnsi="Arial CYR" w:cs="Times New Roman"/>
          <w:sz w:val="30"/>
          <w:szCs w:val="30"/>
        </w:rPr>
        <w:t>Содержание</w:t>
      </w:r>
    </w:p>
    <w:p w14:paraId="075146E2" w14:textId="38E64B33" w:rsidR="00AF39D9" w:rsidRDefault="00AF39D9">
      <w:pPr>
        <w:spacing w:after="0" w:line="240" w:lineRule="auto"/>
        <w:rPr>
          <w:noProof/>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TOC \o "1-3" \h \z \u </w:instrText>
      </w:r>
      <w:r>
        <w:rPr>
          <w:rFonts w:ascii="Times New Roman" w:hAnsi="Times New Roman" w:cs="Times New Roman"/>
          <w:sz w:val="28"/>
          <w:szCs w:val="28"/>
        </w:rPr>
        <w:fldChar w:fldCharType="separate"/>
      </w:r>
    </w:p>
    <w:p w14:paraId="54190FFC" w14:textId="2DC2E8AE" w:rsidR="00AF39D9" w:rsidRPr="00AF39D9" w:rsidRDefault="00AF39D9">
      <w:pPr>
        <w:pStyle w:val="11"/>
        <w:tabs>
          <w:tab w:val="right" w:pos="9345"/>
        </w:tabs>
        <w:rPr>
          <w:rFonts w:ascii="Times New Roman" w:eastAsiaTheme="minorEastAsia" w:hAnsi="Times New Roman" w:cs="Times New Roman"/>
          <w:b w:val="0"/>
          <w:bCs w:val="0"/>
          <w:caps w:val="0"/>
          <w:noProof/>
          <w:sz w:val="28"/>
          <w:szCs w:val="28"/>
          <w:lang w:eastAsia="ru-RU"/>
        </w:rPr>
      </w:pPr>
      <w:r w:rsidRPr="00AF39D9">
        <w:rPr>
          <w:rStyle w:val="af9"/>
          <w:rFonts w:ascii="Times New Roman" w:hAnsi="Times New Roman" w:cs="Times New Roman"/>
          <w:b w:val="0"/>
          <w:bCs w:val="0"/>
          <w:noProof/>
          <w:sz w:val="28"/>
          <w:szCs w:val="28"/>
          <w:u w:val="none"/>
        </w:rPr>
        <w:t xml:space="preserve">    </w:t>
      </w:r>
      <w:hyperlink w:anchor="_Toc219409921" w:history="1">
        <w:r w:rsidRPr="00AF39D9">
          <w:rPr>
            <w:rStyle w:val="af9"/>
            <w:rFonts w:ascii="Times New Roman" w:hAnsi="Times New Roman" w:cs="Times New Roman"/>
            <w:b w:val="0"/>
            <w:bCs w:val="0"/>
            <w:noProof/>
            <w:sz w:val="28"/>
            <w:szCs w:val="28"/>
          </w:rPr>
          <w:t>Введение</w:t>
        </w:r>
        <w:r w:rsidRPr="00AF39D9">
          <w:rPr>
            <w:rFonts w:ascii="Times New Roman" w:hAnsi="Times New Roman" w:cs="Times New Roman"/>
            <w:b w:val="0"/>
            <w:bCs w:val="0"/>
            <w:noProof/>
            <w:webHidden/>
            <w:sz w:val="28"/>
            <w:szCs w:val="28"/>
          </w:rPr>
          <w:tab/>
        </w:r>
        <w:r w:rsidRPr="00AF39D9">
          <w:rPr>
            <w:rFonts w:ascii="Times New Roman" w:hAnsi="Times New Roman" w:cs="Times New Roman"/>
            <w:b w:val="0"/>
            <w:bCs w:val="0"/>
            <w:noProof/>
            <w:webHidden/>
            <w:sz w:val="28"/>
            <w:szCs w:val="28"/>
          </w:rPr>
          <w:fldChar w:fldCharType="begin"/>
        </w:r>
        <w:r w:rsidRPr="00AF39D9">
          <w:rPr>
            <w:rFonts w:ascii="Times New Roman" w:hAnsi="Times New Roman" w:cs="Times New Roman"/>
            <w:b w:val="0"/>
            <w:bCs w:val="0"/>
            <w:noProof/>
            <w:webHidden/>
            <w:sz w:val="28"/>
            <w:szCs w:val="28"/>
          </w:rPr>
          <w:instrText xml:space="preserve"> PAGEREF _Toc219409921 \h </w:instrText>
        </w:r>
        <w:r w:rsidRPr="00AF39D9">
          <w:rPr>
            <w:rFonts w:ascii="Times New Roman" w:hAnsi="Times New Roman" w:cs="Times New Roman"/>
            <w:b w:val="0"/>
            <w:bCs w:val="0"/>
            <w:noProof/>
            <w:webHidden/>
            <w:sz w:val="28"/>
            <w:szCs w:val="28"/>
          </w:rPr>
        </w:r>
        <w:r w:rsidRPr="00AF39D9">
          <w:rPr>
            <w:rFonts w:ascii="Times New Roman" w:hAnsi="Times New Roman" w:cs="Times New Roman"/>
            <w:b w:val="0"/>
            <w:bCs w:val="0"/>
            <w:noProof/>
            <w:webHidden/>
            <w:sz w:val="28"/>
            <w:szCs w:val="28"/>
          </w:rPr>
          <w:fldChar w:fldCharType="separate"/>
        </w:r>
        <w:r w:rsidR="00436136">
          <w:rPr>
            <w:rFonts w:ascii="Times New Roman" w:hAnsi="Times New Roman" w:cs="Times New Roman"/>
            <w:b w:val="0"/>
            <w:bCs w:val="0"/>
            <w:noProof/>
            <w:webHidden/>
            <w:sz w:val="28"/>
            <w:szCs w:val="28"/>
          </w:rPr>
          <w:t>3</w:t>
        </w:r>
        <w:r w:rsidRPr="00AF39D9">
          <w:rPr>
            <w:rFonts w:ascii="Times New Roman" w:hAnsi="Times New Roman" w:cs="Times New Roman"/>
            <w:b w:val="0"/>
            <w:bCs w:val="0"/>
            <w:noProof/>
            <w:webHidden/>
            <w:sz w:val="28"/>
            <w:szCs w:val="28"/>
          </w:rPr>
          <w:fldChar w:fldCharType="end"/>
        </w:r>
      </w:hyperlink>
    </w:p>
    <w:p w14:paraId="6087261D" w14:textId="280D83CA" w:rsidR="00AF39D9" w:rsidRPr="00AF39D9" w:rsidRDefault="00AF39D9" w:rsidP="00AF39D9">
      <w:pPr>
        <w:pStyle w:val="23"/>
        <w:rPr>
          <w:rFonts w:eastAsiaTheme="minorEastAsia"/>
          <w:lang w:eastAsia="ru-RU"/>
        </w:rPr>
      </w:pPr>
      <w:hyperlink w:anchor="_Toc219409922" w:history="1">
        <w:r w:rsidRPr="00AF39D9">
          <w:rPr>
            <w:rStyle w:val="af9"/>
          </w:rPr>
          <w:t>1. Теоретические аспекты научной основы методического инструментария разработки стратегических управленческих решений</w:t>
        </w:r>
        <w:r w:rsidRPr="00AF39D9">
          <w:rPr>
            <w:webHidden/>
          </w:rPr>
          <w:tab/>
        </w:r>
        <w:r w:rsidRPr="00AF39D9">
          <w:rPr>
            <w:webHidden/>
          </w:rPr>
          <w:fldChar w:fldCharType="begin"/>
        </w:r>
        <w:r w:rsidRPr="00AF39D9">
          <w:rPr>
            <w:webHidden/>
          </w:rPr>
          <w:instrText xml:space="preserve"> PAGEREF _Toc219409922 \h </w:instrText>
        </w:r>
        <w:r w:rsidRPr="00AF39D9">
          <w:rPr>
            <w:webHidden/>
          </w:rPr>
        </w:r>
        <w:r w:rsidRPr="00AF39D9">
          <w:rPr>
            <w:webHidden/>
          </w:rPr>
          <w:fldChar w:fldCharType="separate"/>
        </w:r>
        <w:r w:rsidR="00436136">
          <w:rPr>
            <w:webHidden/>
          </w:rPr>
          <w:t>6</w:t>
        </w:r>
        <w:r w:rsidRPr="00AF39D9">
          <w:rPr>
            <w:webHidden/>
          </w:rPr>
          <w:fldChar w:fldCharType="end"/>
        </w:r>
      </w:hyperlink>
    </w:p>
    <w:p w14:paraId="3BCE1222" w14:textId="0542CD35" w:rsidR="00AF39D9" w:rsidRPr="00AF39D9" w:rsidRDefault="00AF39D9" w:rsidP="00AF39D9">
      <w:pPr>
        <w:pStyle w:val="31"/>
        <w:tabs>
          <w:tab w:val="right" w:pos="9345"/>
        </w:tabs>
        <w:spacing w:after="120"/>
        <w:ind w:left="221"/>
        <w:rPr>
          <w:rFonts w:ascii="Times New Roman" w:eastAsiaTheme="minorEastAsia" w:hAnsi="Times New Roman" w:cs="Times New Roman"/>
          <w:noProof/>
          <w:sz w:val="28"/>
          <w:szCs w:val="28"/>
          <w:lang w:eastAsia="ru-RU"/>
        </w:rPr>
      </w:pPr>
      <w:hyperlink w:anchor="_Toc219409923" w:history="1">
        <w:r w:rsidRPr="00AF39D9">
          <w:rPr>
            <w:rStyle w:val="af9"/>
            <w:rFonts w:ascii="Times New Roman" w:hAnsi="Times New Roman" w:cs="Times New Roman"/>
            <w:noProof/>
            <w:sz w:val="28"/>
            <w:szCs w:val="28"/>
          </w:rPr>
          <w:t>1.1 Обоснование актуальности исследования и обозначение «проблемного поля»</w:t>
        </w:r>
        <w:r w:rsidRPr="00AF39D9">
          <w:rPr>
            <w:rFonts w:ascii="Times New Roman" w:hAnsi="Times New Roman" w:cs="Times New Roman"/>
            <w:noProof/>
            <w:webHidden/>
            <w:sz w:val="28"/>
            <w:szCs w:val="28"/>
          </w:rPr>
          <w:tab/>
        </w:r>
        <w:r w:rsidRPr="00AF39D9">
          <w:rPr>
            <w:rFonts w:ascii="Times New Roman" w:hAnsi="Times New Roman" w:cs="Times New Roman"/>
            <w:noProof/>
            <w:webHidden/>
            <w:sz w:val="28"/>
            <w:szCs w:val="28"/>
          </w:rPr>
          <w:fldChar w:fldCharType="begin"/>
        </w:r>
        <w:r w:rsidRPr="00AF39D9">
          <w:rPr>
            <w:rFonts w:ascii="Times New Roman" w:hAnsi="Times New Roman" w:cs="Times New Roman"/>
            <w:noProof/>
            <w:webHidden/>
            <w:sz w:val="28"/>
            <w:szCs w:val="28"/>
          </w:rPr>
          <w:instrText xml:space="preserve"> PAGEREF _Toc219409923 \h </w:instrText>
        </w:r>
        <w:r w:rsidRPr="00AF39D9">
          <w:rPr>
            <w:rFonts w:ascii="Times New Roman" w:hAnsi="Times New Roman" w:cs="Times New Roman"/>
            <w:noProof/>
            <w:webHidden/>
            <w:sz w:val="28"/>
            <w:szCs w:val="28"/>
          </w:rPr>
        </w:r>
        <w:r w:rsidRPr="00AF39D9">
          <w:rPr>
            <w:rFonts w:ascii="Times New Roman" w:hAnsi="Times New Roman" w:cs="Times New Roman"/>
            <w:noProof/>
            <w:webHidden/>
            <w:sz w:val="28"/>
            <w:szCs w:val="28"/>
          </w:rPr>
          <w:fldChar w:fldCharType="separate"/>
        </w:r>
        <w:r w:rsidR="00436136">
          <w:rPr>
            <w:rFonts w:ascii="Times New Roman" w:hAnsi="Times New Roman" w:cs="Times New Roman"/>
            <w:noProof/>
            <w:webHidden/>
            <w:sz w:val="28"/>
            <w:szCs w:val="28"/>
          </w:rPr>
          <w:t>6</w:t>
        </w:r>
        <w:r w:rsidRPr="00AF39D9">
          <w:rPr>
            <w:rFonts w:ascii="Times New Roman" w:hAnsi="Times New Roman" w:cs="Times New Roman"/>
            <w:noProof/>
            <w:webHidden/>
            <w:sz w:val="28"/>
            <w:szCs w:val="28"/>
          </w:rPr>
          <w:fldChar w:fldCharType="end"/>
        </w:r>
      </w:hyperlink>
    </w:p>
    <w:p w14:paraId="6B9A75E5" w14:textId="68FA3306" w:rsidR="00AF39D9" w:rsidRPr="00AF39D9" w:rsidRDefault="00AF39D9" w:rsidP="00AF39D9">
      <w:pPr>
        <w:pStyle w:val="31"/>
        <w:tabs>
          <w:tab w:val="right" w:pos="9345"/>
        </w:tabs>
        <w:spacing w:after="120"/>
        <w:ind w:left="221"/>
        <w:rPr>
          <w:rFonts w:ascii="Times New Roman" w:eastAsiaTheme="minorEastAsia" w:hAnsi="Times New Roman" w:cs="Times New Roman"/>
          <w:noProof/>
          <w:sz w:val="28"/>
          <w:szCs w:val="28"/>
          <w:lang w:eastAsia="ru-RU"/>
        </w:rPr>
      </w:pPr>
      <w:hyperlink w:anchor="_Toc219409924" w:history="1">
        <w:r w:rsidRPr="00AF39D9">
          <w:rPr>
            <w:rStyle w:val="af9"/>
            <w:rFonts w:ascii="Times New Roman" w:hAnsi="Times New Roman" w:cs="Times New Roman"/>
            <w:noProof/>
            <w:sz w:val="28"/>
            <w:szCs w:val="28"/>
          </w:rPr>
          <w:t>1.2 Уровень разра</w:t>
        </w:r>
        <w:r w:rsidRPr="00AF39D9">
          <w:rPr>
            <w:rStyle w:val="af9"/>
            <w:rFonts w:ascii="Times New Roman" w:hAnsi="Times New Roman" w:cs="Times New Roman"/>
            <w:noProof/>
            <w:sz w:val="28"/>
            <w:szCs w:val="28"/>
          </w:rPr>
          <w:t>ботанности проблемы «проблемного поля» исследования и его влияние на роль, место и состояние предмета исследования и практическая значимость исследования</w:t>
        </w:r>
        <w:r w:rsidRPr="00AF39D9">
          <w:rPr>
            <w:rFonts w:ascii="Times New Roman" w:hAnsi="Times New Roman" w:cs="Times New Roman"/>
            <w:noProof/>
            <w:webHidden/>
            <w:sz w:val="28"/>
            <w:szCs w:val="28"/>
          </w:rPr>
          <w:tab/>
        </w:r>
        <w:r w:rsidRPr="00AF39D9">
          <w:rPr>
            <w:rFonts w:ascii="Times New Roman" w:hAnsi="Times New Roman" w:cs="Times New Roman"/>
            <w:noProof/>
            <w:webHidden/>
            <w:sz w:val="28"/>
            <w:szCs w:val="28"/>
          </w:rPr>
          <w:fldChar w:fldCharType="begin"/>
        </w:r>
        <w:r w:rsidRPr="00AF39D9">
          <w:rPr>
            <w:rFonts w:ascii="Times New Roman" w:hAnsi="Times New Roman" w:cs="Times New Roman"/>
            <w:noProof/>
            <w:webHidden/>
            <w:sz w:val="28"/>
            <w:szCs w:val="28"/>
          </w:rPr>
          <w:instrText xml:space="preserve"> PAGEREF _Toc219409924 \h </w:instrText>
        </w:r>
        <w:r w:rsidRPr="00AF39D9">
          <w:rPr>
            <w:rFonts w:ascii="Times New Roman" w:hAnsi="Times New Roman" w:cs="Times New Roman"/>
            <w:noProof/>
            <w:webHidden/>
            <w:sz w:val="28"/>
            <w:szCs w:val="28"/>
          </w:rPr>
        </w:r>
        <w:r w:rsidRPr="00AF39D9">
          <w:rPr>
            <w:rFonts w:ascii="Times New Roman" w:hAnsi="Times New Roman" w:cs="Times New Roman"/>
            <w:noProof/>
            <w:webHidden/>
            <w:sz w:val="28"/>
            <w:szCs w:val="28"/>
          </w:rPr>
          <w:fldChar w:fldCharType="separate"/>
        </w:r>
        <w:r w:rsidR="00436136">
          <w:rPr>
            <w:rFonts w:ascii="Times New Roman" w:hAnsi="Times New Roman" w:cs="Times New Roman"/>
            <w:noProof/>
            <w:webHidden/>
            <w:sz w:val="28"/>
            <w:szCs w:val="28"/>
          </w:rPr>
          <w:t>8</w:t>
        </w:r>
        <w:r w:rsidRPr="00AF39D9">
          <w:rPr>
            <w:rFonts w:ascii="Times New Roman" w:hAnsi="Times New Roman" w:cs="Times New Roman"/>
            <w:noProof/>
            <w:webHidden/>
            <w:sz w:val="28"/>
            <w:szCs w:val="28"/>
          </w:rPr>
          <w:fldChar w:fldCharType="end"/>
        </w:r>
      </w:hyperlink>
    </w:p>
    <w:p w14:paraId="1FA9C057" w14:textId="2EBBAD6A" w:rsidR="00AF39D9" w:rsidRPr="00AF39D9" w:rsidRDefault="00AF39D9" w:rsidP="00AF39D9">
      <w:pPr>
        <w:pStyle w:val="31"/>
        <w:tabs>
          <w:tab w:val="right" w:pos="9345"/>
        </w:tabs>
        <w:spacing w:after="120"/>
        <w:ind w:left="221"/>
        <w:rPr>
          <w:rFonts w:ascii="Times New Roman" w:eastAsiaTheme="minorEastAsia" w:hAnsi="Times New Roman" w:cs="Times New Roman"/>
          <w:noProof/>
          <w:sz w:val="28"/>
          <w:szCs w:val="28"/>
          <w:lang w:eastAsia="ru-RU"/>
        </w:rPr>
      </w:pPr>
      <w:hyperlink w:anchor="_Toc219409925" w:history="1">
        <w:r w:rsidRPr="00AF39D9">
          <w:rPr>
            <w:rStyle w:val="af9"/>
            <w:rFonts w:ascii="Times New Roman" w:hAnsi="Times New Roman" w:cs="Times New Roman"/>
            <w:noProof/>
            <w:sz w:val="28"/>
            <w:szCs w:val="28"/>
          </w:rPr>
          <w:t>1.3 Научно-методические подходы к исследованию проблемы и обоснование выбора</w:t>
        </w:r>
        <w:r w:rsidRPr="00AF39D9">
          <w:rPr>
            <w:rFonts w:ascii="Times New Roman" w:hAnsi="Times New Roman" w:cs="Times New Roman"/>
            <w:noProof/>
            <w:webHidden/>
            <w:sz w:val="28"/>
            <w:szCs w:val="28"/>
          </w:rPr>
          <w:tab/>
        </w:r>
        <w:r w:rsidRPr="00AF39D9">
          <w:rPr>
            <w:rFonts w:ascii="Times New Roman" w:hAnsi="Times New Roman" w:cs="Times New Roman"/>
            <w:noProof/>
            <w:webHidden/>
            <w:sz w:val="28"/>
            <w:szCs w:val="28"/>
          </w:rPr>
          <w:fldChar w:fldCharType="begin"/>
        </w:r>
        <w:r w:rsidRPr="00AF39D9">
          <w:rPr>
            <w:rFonts w:ascii="Times New Roman" w:hAnsi="Times New Roman" w:cs="Times New Roman"/>
            <w:noProof/>
            <w:webHidden/>
            <w:sz w:val="28"/>
            <w:szCs w:val="28"/>
          </w:rPr>
          <w:instrText xml:space="preserve"> PAGEREF _Toc219409925 \h </w:instrText>
        </w:r>
        <w:r w:rsidRPr="00AF39D9">
          <w:rPr>
            <w:rFonts w:ascii="Times New Roman" w:hAnsi="Times New Roman" w:cs="Times New Roman"/>
            <w:noProof/>
            <w:webHidden/>
            <w:sz w:val="28"/>
            <w:szCs w:val="28"/>
          </w:rPr>
        </w:r>
        <w:r w:rsidRPr="00AF39D9">
          <w:rPr>
            <w:rFonts w:ascii="Times New Roman" w:hAnsi="Times New Roman" w:cs="Times New Roman"/>
            <w:noProof/>
            <w:webHidden/>
            <w:sz w:val="28"/>
            <w:szCs w:val="28"/>
          </w:rPr>
          <w:fldChar w:fldCharType="separate"/>
        </w:r>
        <w:r w:rsidR="00436136">
          <w:rPr>
            <w:rFonts w:ascii="Times New Roman" w:hAnsi="Times New Roman" w:cs="Times New Roman"/>
            <w:noProof/>
            <w:webHidden/>
            <w:sz w:val="28"/>
            <w:szCs w:val="28"/>
          </w:rPr>
          <w:t>11</w:t>
        </w:r>
        <w:r w:rsidRPr="00AF39D9">
          <w:rPr>
            <w:rFonts w:ascii="Times New Roman" w:hAnsi="Times New Roman" w:cs="Times New Roman"/>
            <w:noProof/>
            <w:webHidden/>
            <w:sz w:val="28"/>
            <w:szCs w:val="28"/>
          </w:rPr>
          <w:fldChar w:fldCharType="end"/>
        </w:r>
      </w:hyperlink>
    </w:p>
    <w:p w14:paraId="4E447DAE" w14:textId="0ADF9082" w:rsidR="00AF39D9" w:rsidRPr="00AF39D9" w:rsidRDefault="00AF39D9" w:rsidP="00AF39D9">
      <w:pPr>
        <w:pStyle w:val="23"/>
        <w:rPr>
          <w:rFonts w:eastAsiaTheme="minorEastAsia"/>
          <w:lang w:eastAsia="ru-RU"/>
        </w:rPr>
      </w:pPr>
      <w:hyperlink w:anchor="_Toc219409926" w:history="1">
        <w:r w:rsidRPr="00AF39D9">
          <w:rPr>
            <w:rStyle w:val="af9"/>
          </w:rPr>
          <w:t>2. Синтезирующие аспекты методического инструментария разработки стратегических управленческих решений</w:t>
        </w:r>
        <w:r w:rsidRPr="00AF39D9">
          <w:rPr>
            <w:webHidden/>
          </w:rPr>
          <w:tab/>
        </w:r>
        <w:r w:rsidRPr="00AF39D9">
          <w:rPr>
            <w:webHidden/>
          </w:rPr>
          <w:fldChar w:fldCharType="begin"/>
        </w:r>
        <w:r w:rsidRPr="00AF39D9">
          <w:rPr>
            <w:webHidden/>
          </w:rPr>
          <w:instrText xml:space="preserve"> PAGEREF _Toc219409926 \h </w:instrText>
        </w:r>
        <w:r w:rsidRPr="00AF39D9">
          <w:rPr>
            <w:webHidden/>
          </w:rPr>
        </w:r>
        <w:r w:rsidRPr="00AF39D9">
          <w:rPr>
            <w:webHidden/>
          </w:rPr>
          <w:fldChar w:fldCharType="separate"/>
        </w:r>
        <w:r w:rsidR="00436136">
          <w:rPr>
            <w:webHidden/>
          </w:rPr>
          <w:t>14</w:t>
        </w:r>
        <w:r w:rsidRPr="00AF39D9">
          <w:rPr>
            <w:webHidden/>
          </w:rPr>
          <w:fldChar w:fldCharType="end"/>
        </w:r>
      </w:hyperlink>
    </w:p>
    <w:p w14:paraId="34965F44" w14:textId="44C68294" w:rsidR="00AF39D9" w:rsidRPr="00AF39D9" w:rsidRDefault="00AF39D9" w:rsidP="00AF39D9">
      <w:pPr>
        <w:pStyle w:val="31"/>
        <w:tabs>
          <w:tab w:val="right" w:pos="9345"/>
        </w:tabs>
        <w:spacing w:after="120"/>
        <w:ind w:left="221"/>
        <w:rPr>
          <w:rFonts w:ascii="Times New Roman" w:eastAsiaTheme="minorEastAsia" w:hAnsi="Times New Roman" w:cs="Times New Roman"/>
          <w:noProof/>
          <w:sz w:val="28"/>
          <w:szCs w:val="28"/>
          <w:lang w:eastAsia="ru-RU"/>
        </w:rPr>
      </w:pPr>
      <w:hyperlink w:anchor="_Toc219409927" w:history="1">
        <w:r w:rsidRPr="00AF39D9">
          <w:rPr>
            <w:rStyle w:val="af9"/>
            <w:rFonts w:ascii="Times New Roman" w:hAnsi="Times New Roman" w:cs="Times New Roman"/>
            <w:noProof/>
            <w:sz w:val="28"/>
            <w:szCs w:val="28"/>
          </w:rPr>
          <w:t>2.1 Анализ основных результатов научных исследований и формирование научного словаря</w:t>
        </w:r>
        <w:r w:rsidRPr="00AF39D9">
          <w:rPr>
            <w:rFonts w:ascii="Times New Roman" w:hAnsi="Times New Roman" w:cs="Times New Roman"/>
            <w:noProof/>
            <w:webHidden/>
            <w:sz w:val="28"/>
            <w:szCs w:val="28"/>
          </w:rPr>
          <w:tab/>
        </w:r>
        <w:r w:rsidRPr="00AF39D9">
          <w:rPr>
            <w:rFonts w:ascii="Times New Roman" w:hAnsi="Times New Roman" w:cs="Times New Roman"/>
            <w:noProof/>
            <w:webHidden/>
            <w:sz w:val="28"/>
            <w:szCs w:val="28"/>
          </w:rPr>
          <w:fldChar w:fldCharType="begin"/>
        </w:r>
        <w:r w:rsidRPr="00AF39D9">
          <w:rPr>
            <w:rFonts w:ascii="Times New Roman" w:hAnsi="Times New Roman" w:cs="Times New Roman"/>
            <w:noProof/>
            <w:webHidden/>
            <w:sz w:val="28"/>
            <w:szCs w:val="28"/>
          </w:rPr>
          <w:instrText xml:space="preserve"> PAGEREF _Toc219409927 \h </w:instrText>
        </w:r>
        <w:r w:rsidRPr="00AF39D9">
          <w:rPr>
            <w:rFonts w:ascii="Times New Roman" w:hAnsi="Times New Roman" w:cs="Times New Roman"/>
            <w:noProof/>
            <w:webHidden/>
            <w:sz w:val="28"/>
            <w:szCs w:val="28"/>
          </w:rPr>
        </w:r>
        <w:r w:rsidRPr="00AF39D9">
          <w:rPr>
            <w:rFonts w:ascii="Times New Roman" w:hAnsi="Times New Roman" w:cs="Times New Roman"/>
            <w:noProof/>
            <w:webHidden/>
            <w:sz w:val="28"/>
            <w:szCs w:val="28"/>
          </w:rPr>
          <w:fldChar w:fldCharType="separate"/>
        </w:r>
        <w:r w:rsidR="00436136">
          <w:rPr>
            <w:rFonts w:ascii="Times New Roman" w:hAnsi="Times New Roman" w:cs="Times New Roman"/>
            <w:noProof/>
            <w:webHidden/>
            <w:sz w:val="28"/>
            <w:szCs w:val="28"/>
          </w:rPr>
          <w:t>14</w:t>
        </w:r>
        <w:r w:rsidRPr="00AF39D9">
          <w:rPr>
            <w:rFonts w:ascii="Times New Roman" w:hAnsi="Times New Roman" w:cs="Times New Roman"/>
            <w:noProof/>
            <w:webHidden/>
            <w:sz w:val="28"/>
            <w:szCs w:val="28"/>
          </w:rPr>
          <w:fldChar w:fldCharType="end"/>
        </w:r>
      </w:hyperlink>
    </w:p>
    <w:p w14:paraId="07D1927E" w14:textId="357E6BD4" w:rsidR="00AF39D9" w:rsidRPr="00AF39D9" w:rsidRDefault="00AF39D9" w:rsidP="00AF39D9">
      <w:pPr>
        <w:pStyle w:val="31"/>
        <w:tabs>
          <w:tab w:val="right" w:pos="9345"/>
        </w:tabs>
        <w:spacing w:after="120"/>
        <w:ind w:left="221"/>
        <w:rPr>
          <w:rFonts w:ascii="Times New Roman" w:eastAsiaTheme="minorEastAsia" w:hAnsi="Times New Roman" w:cs="Times New Roman"/>
          <w:noProof/>
          <w:sz w:val="28"/>
          <w:szCs w:val="28"/>
          <w:lang w:eastAsia="ru-RU"/>
        </w:rPr>
      </w:pPr>
      <w:hyperlink w:anchor="_Toc219409928" w:history="1">
        <w:r w:rsidRPr="00AF39D9">
          <w:rPr>
            <w:rStyle w:val="af9"/>
            <w:rFonts w:ascii="Times New Roman" w:hAnsi="Times New Roman" w:cs="Times New Roman"/>
            <w:noProof/>
            <w:sz w:val="28"/>
            <w:szCs w:val="28"/>
          </w:rPr>
          <w:t>2.2 Мониторинг нормативно-правовых актов РФ, регулирующих проблемное поле</w:t>
        </w:r>
        <w:r w:rsidRPr="00AF39D9">
          <w:rPr>
            <w:rFonts w:ascii="Times New Roman" w:hAnsi="Times New Roman" w:cs="Times New Roman"/>
            <w:noProof/>
            <w:webHidden/>
            <w:sz w:val="28"/>
            <w:szCs w:val="28"/>
          </w:rPr>
          <w:tab/>
        </w:r>
        <w:r w:rsidRPr="00AF39D9">
          <w:rPr>
            <w:rFonts w:ascii="Times New Roman" w:hAnsi="Times New Roman" w:cs="Times New Roman"/>
            <w:noProof/>
            <w:webHidden/>
            <w:sz w:val="28"/>
            <w:szCs w:val="28"/>
          </w:rPr>
          <w:fldChar w:fldCharType="begin"/>
        </w:r>
        <w:r w:rsidRPr="00AF39D9">
          <w:rPr>
            <w:rFonts w:ascii="Times New Roman" w:hAnsi="Times New Roman" w:cs="Times New Roman"/>
            <w:noProof/>
            <w:webHidden/>
            <w:sz w:val="28"/>
            <w:szCs w:val="28"/>
          </w:rPr>
          <w:instrText xml:space="preserve"> PAGEREF _Toc219409928 \h </w:instrText>
        </w:r>
        <w:r w:rsidRPr="00AF39D9">
          <w:rPr>
            <w:rFonts w:ascii="Times New Roman" w:hAnsi="Times New Roman" w:cs="Times New Roman"/>
            <w:noProof/>
            <w:webHidden/>
            <w:sz w:val="28"/>
            <w:szCs w:val="28"/>
          </w:rPr>
        </w:r>
        <w:r w:rsidRPr="00AF39D9">
          <w:rPr>
            <w:rFonts w:ascii="Times New Roman" w:hAnsi="Times New Roman" w:cs="Times New Roman"/>
            <w:noProof/>
            <w:webHidden/>
            <w:sz w:val="28"/>
            <w:szCs w:val="28"/>
          </w:rPr>
          <w:fldChar w:fldCharType="separate"/>
        </w:r>
        <w:r w:rsidR="00436136">
          <w:rPr>
            <w:rFonts w:ascii="Times New Roman" w:hAnsi="Times New Roman" w:cs="Times New Roman"/>
            <w:noProof/>
            <w:webHidden/>
            <w:sz w:val="28"/>
            <w:szCs w:val="28"/>
          </w:rPr>
          <w:t>16</w:t>
        </w:r>
        <w:r w:rsidRPr="00AF39D9">
          <w:rPr>
            <w:rFonts w:ascii="Times New Roman" w:hAnsi="Times New Roman" w:cs="Times New Roman"/>
            <w:noProof/>
            <w:webHidden/>
            <w:sz w:val="28"/>
            <w:szCs w:val="28"/>
          </w:rPr>
          <w:fldChar w:fldCharType="end"/>
        </w:r>
      </w:hyperlink>
    </w:p>
    <w:p w14:paraId="0DED96A3" w14:textId="405DB72B" w:rsidR="00AF39D9" w:rsidRPr="00AF39D9" w:rsidRDefault="00AF39D9" w:rsidP="00AF39D9">
      <w:pPr>
        <w:pStyle w:val="31"/>
        <w:tabs>
          <w:tab w:val="right" w:pos="9345"/>
        </w:tabs>
        <w:spacing w:after="120"/>
        <w:ind w:left="221"/>
        <w:rPr>
          <w:rFonts w:ascii="Times New Roman" w:eastAsiaTheme="minorEastAsia" w:hAnsi="Times New Roman" w:cs="Times New Roman"/>
          <w:noProof/>
          <w:sz w:val="28"/>
          <w:szCs w:val="28"/>
          <w:lang w:eastAsia="ru-RU"/>
        </w:rPr>
      </w:pPr>
      <w:hyperlink w:anchor="_Toc219409929" w:history="1">
        <w:r w:rsidRPr="00AF39D9">
          <w:rPr>
            <w:rStyle w:val="af9"/>
            <w:rFonts w:ascii="Times New Roman" w:hAnsi="Times New Roman" w:cs="Times New Roman"/>
            <w:noProof/>
            <w:sz w:val="28"/>
            <w:szCs w:val="28"/>
          </w:rPr>
          <w:t>2.3 Инструменты институциональной поддержки и механизм государственного регулирования</w:t>
        </w:r>
        <w:r w:rsidRPr="00AF39D9">
          <w:rPr>
            <w:rFonts w:ascii="Times New Roman" w:hAnsi="Times New Roman" w:cs="Times New Roman"/>
            <w:noProof/>
            <w:webHidden/>
            <w:sz w:val="28"/>
            <w:szCs w:val="28"/>
          </w:rPr>
          <w:tab/>
        </w:r>
        <w:r w:rsidRPr="00AF39D9">
          <w:rPr>
            <w:rFonts w:ascii="Times New Roman" w:hAnsi="Times New Roman" w:cs="Times New Roman"/>
            <w:noProof/>
            <w:webHidden/>
            <w:sz w:val="28"/>
            <w:szCs w:val="28"/>
          </w:rPr>
          <w:fldChar w:fldCharType="begin"/>
        </w:r>
        <w:r w:rsidRPr="00AF39D9">
          <w:rPr>
            <w:rFonts w:ascii="Times New Roman" w:hAnsi="Times New Roman" w:cs="Times New Roman"/>
            <w:noProof/>
            <w:webHidden/>
            <w:sz w:val="28"/>
            <w:szCs w:val="28"/>
          </w:rPr>
          <w:instrText xml:space="preserve"> PAGEREF _Toc219409929 \h </w:instrText>
        </w:r>
        <w:r w:rsidRPr="00AF39D9">
          <w:rPr>
            <w:rFonts w:ascii="Times New Roman" w:hAnsi="Times New Roman" w:cs="Times New Roman"/>
            <w:noProof/>
            <w:webHidden/>
            <w:sz w:val="28"/>
            <w:szCs w:val="28"/>
          </w:rPr>
        </w:r>
        <w:r w:rsidRPr="00AF39D9">
          <w:rPr>
            <w:rFonts w:ascii="Times New Roman" w:hAnsi="Times New Roman" w:cs="Times New Roman"/>
            <w:noProof/>
            <w:webHidden/>
            <w:sz w:val="28"/>
            <w:szCs w:val="28"/>
          </w:rPr>
          <w:fldChar w:fldCharType="separate"/>
        </w:r>
        <w:r w:rsidR="00436136">
          <w:rPr>
            <w:rFonts w:ascii="Times New Roman" w:hAnsi="Times New Roman" w:cs="Times New Roman"/>
            <w:noProof/>
            <w:webHidden/>
            <w:sz w:val="28"/>
            <w:szCs w:val="28"/>
          </w:rPr>
          <w:t>19</w:t>
        </w:r>
        <w:r w:rsidRPr="00AF39D9">
          <w:rPr>
            <w:rFonts w:ascii="Times New Roman" w:hAnsi="Times New Roman" w:cs="Times New Roman"/>
            <w:noProof/>
            <w:webHidden/>
            <w:sz w:val="28"/>
            <w:szCs w:val="28"/>
          </w:rPr>
          <w:fldChar w:fldCharType="end"/>
        </w:r>
      </w:hyperlink>
    </w:p>
    <w:p w14:paraId="6EB89ACB" w14:textId="0EF2C590" w:rsidR="00AF39D9" w:rsidRPr="00AF39D9" w:rsidRDefault="00AF39D9" w:rsidP="00AF39D9">
      <w:pPr>
        <w:pStyle w:val="23"/>
        <w:rPr>
          <w:rFonts w:eastAsiaTheme="minorEastAsia"/>
          <w:lang w:eastAsia="ru-RU"/>
        </w:rPr>
      </w:pPr>
      <w:hyperlink w:anchor="_Toc219409930" w:history="1">
        <w:r w:rsidRPr="00AF39D9">
          <w:rPr>
            <w:rStyle w:val="af9"/>
          </w:rPr>
          <w:t>3. Структурирующие аспекты методического инструментария разработки стратегических управленческих решений</w:t>
        </w:r>
        <w:r w:rsidRPr="00AF39D9">
          <w:rPr>
            <w:webHidden/>
          </w:rPr>
          <w:tab/>
        </w:r>
        <w:r w:rsidRPr="00AF39D9">
          <w:rPr>
            <w:webHidden/>
          </w:rPr>
          <w:fldChar w:fldCharType="begin"/>
        </w:r>
        <w:r w:rsidRPr="00AF39D9">
          <w:rPr>
            <w:webHidden/>
          </w:rPr>
          <w:instrText xml:space="preserve"> PAGEREF _Toc219409930 \h </w:instrText>
        </w:r>
        <w:r w:rsidRPr="00AF39D9">
          <w:rPr>
            <w:webHidden/>
          </w:rPr>
        </w:r>
        <w:r w:rsidRPr="00AF39D9">
          <w:rPr>
            <w:webHidden/>
          </w:rPr>
          <w:fldChar w:fldCharType="separate"/>
        </w:r>
        <w:r w:rsidR="00436136">
          <w:rPr>
            <w:webHidden/>
          </w:rPr>
          <w:t>22</w:t>
        </w:r>
        <w:r w:rsidRPr="00AF39D9">
          <w:rPr>
            <w:webHidden/>
          </w:rPr>
          <w:fldChar w:fldCharType="end"/>
        </w:r>
      </w:hyperlink>
    </w:p>
    <w:p w14:paraId="3B1744B3" w14:textId="00D787D1" w:rsidR="00AF39D9" w:rsidRPr="00AF39D9" w:rsidRDefault="00AF39D9" w:rsidP="00AF39D9">
      <w:pPr>
        <w:pStyle w:val="31"/>
        <w:tabs>
          <w:tab w:val="right" w:pos="9345"/>
        </w:tabs>
        <w:spacing w:after="120"/>
        <w:ind w:left="221"/>
        <w:rPr>
          <w:rFonts w:ascii="Times New Roman" w:eastAsiaTheme="minorEastAsia" w:hAnsi="Times New Roman" w:cs="Times New Roman"/>
          <w:noProof/>
          <w:sz w:val="28"/>
          <w:szCs w:val="28"/>
          <w:lang w:eastAsia="ru-RU"/>
        </w:rPr>
      </w:pPr>
      <w:hyperlink w:anchor="_Toc219409931" w:history="1">
        <w:r w:rsidRPr="00AF39D9">
          <w:rPr>
            <w:rStyle w:val="af9"/>
            <w:rFonts w:ascii="Times New Roman" w:hAnsi="Times New Roman" w:cs="Times New Roman"/>
            <w:noProof/>
            <w:sz w:val="28"/>
            <w:szCs w:val="28"/>
          </w:rPr>
          <w:t>3.1 Авторская аналитическо-исследовательская модель и критическая оценка научных направлений</w:t>
        </w:r>
        <w:r w:rsidRPr="00AF39D9">
          <w:rPr>
            <w:rFonts w:ascii="Times New Roman" w:hAnsi="Times New Roman" w:cs="Times New Roman"/>
            <w:noProof/>
            <w:webHidden/>
            <w:sz w:val="28"/>
            <w:szCs w:val="28"/>
          </w:rPr>
          <w:tab/>
        </w:r>
        <w:r w:rsidRPr="00AF39D9">
          <w:rPr>
            <w:rFonts w:ascii="Times New Roman" w:hAnsi="Times New Roman" w:cs="Times New Roman"/>
            <w:noProof/>
            <w:webHidden/>
            <w:sz w:val="28"/>
            <w:szCs w:val="28"/>
          </w:rPr>
          <w:fldChar w:fldCharType="begin"/>
        </w:r>
        <w:r w:rsidRPr="00AF39D9">
          <w:rPr>
            <w:rFonts w:ascii="Times New Roman" w:hAnsi="Times New Roman" w:cs="Times New Roman"/>
            <w:noProof/>
            <w:webHidden/>
            <w:sz w:val="28"/>
            <w:szCs w:val="28"/>
          </w:rPr>
          <w:instrText xml:space="preserve"> PAGEREF _Toc219409931 \h </w:instrText>
        </w:r>
        <w:r w:rsidRPr="00AF39D9">
          <w:rPr>
            <w:rFonts w:ascii="Times New Roman" w:hAnsi="Times New Roman" w:cs="Times New Roman"/>
            <w:noProof/>
            <w:webHidden/>
            <w:sz w:val="28"/>
            <w:szCs w:val="28"/>
          </w:rPr>
        </w:r>
        <w:r w:rsidRPr="00AF39D9">
          <w:rPr>
            <w:rFonts w:ascii="Times New Roman" w:hAnsi="Times New Roman" w:cs="Times New Roman"/>
            <w:noProof/>
            <w:webHidden/>
            <w:sz w:val="28"/>
            <w:szCs w:val="28"/>
          </w:rPr>
          <w:fldChar w:fldCharType="separate"/>
        </w:r>
        <w:r w:rsidR="00436136">
          <w:rPr>
            <w:rFonts w:ascii="Times New Roman" w:hAnsi="Times New Roman" w:cs="Times New Roman"/>
            <w:noProof/>
            <w:webHidden/>
            <w:sz w:val="28"/>
            <w:szCs w:val="28"/>
          </w:rPr>
          <w:t>22</w:t>
        </w:r>
        <w:r w:rsidRPr="00AF39D9">
          <w:rPr>
            <w:rFonts w:ascii="Times New Roman" w:hAnsi="Times New Roman" w:cs="Times New Roman"/>
            <w:noProof/>
            <w:webHidden/>
            <w:sz w:val="28"/>
            <w:szCs w:val="28"/>
          </w:rPr>
          <w:fldChar w:fldCharType="end"/>
        </w:r>
      </w:hyperlink>
    </w:p>
    <w:p w14:paraId="06B350B0" w14:textId="0393D2E8" w:rsidR="00AF39D9" w:rsidRPr="00AF39D9" w:rsidRDefault="00AF39D9" w:rsidP="00AF39D9">
      <w:pPr>
        <w:pStyle w:val="31"/>
        <w:tabs>
          <w:tab w:val="right" w:pos="9345"/>
        </w:tabs>
        <w:spacing w:after="120"/>
        <w:ind w:left="221"/>
        <w:rPr>
          <w:rFonts w:ascii="Times New Roman" w:eastAsiaTheme="minorEastAsia" w:hAnsi="Times New Roman" w:cs="Times New Roman"/>
          <w:noProof/>
          <w:sz w:val="28"/>
          <w:szCs w:val="28"/>
          <w:lang w:eastAsia="ru-RU"/>
        </w:rPr>
      </w:pPr>
      <w:hyperlink w:anchor="_Toc219409932" w:history="1">
        <w:r w:rsidRPr="00AF39D9">
          <w:rPr>
            <w:rStyle w:val="af9"/>
            <w:rFonts w:ascii="Times New Roman" w:hAnsi="Times New Roman" w:cs="Times New Roman"/>
            <w:noProof/>
            <w:sz w:val="28"/>
            <w:szCs w:val="28"/>
          </w:rPr>
          <w:t>3.2 Критический обзор научных взглядов в табличной форме</w:t>
        </w:r>
        <w:r w:rsidRPr="00AF39D9">
          <w:rPr>
            <w:rFonts w:ascii="Times New Roman" w:hAnsi="Times New Roman" w:cs="Times New Roman"/>
            <w:noProof/>
            <w:webHidden/>
            <w:sz w:val="28"/>
            <w:szCs w:val="28"/>
          </w:rPr>
          <w:tab/>
        </w:r>
        <w:r w:rsidRPr="00AF39D9">
          <w:rPr>
            <w:rFonts w:ascii="Times New Roman" w:hAnsi="Times New Roman" w:cs="Times New Roman"/>
            <w:noProof/>
            <w:webHidden/>
            <w:sz w:val="28"/>
            <w:szCs w:val="28"/>
          </w:rPr>
          <w:fldChar w:fldCharType="begin"/>
        </w:r>
        <w:r w:rsidRPr="00AF39D9">
          <w:rPr>
            <w:rFonts w:ascii="Times New Roman" w:hAnsi="Times New Roman" w:cs="Times New Roman"/>
            <w:noProof/>
            <w:webHidden/>
            <w:sz w:val="28"/>
            <w:szCs w:val="28"/>
          </w:rPr>
          <w:instrText xml:space="preserve"> PAGEREF _Toc219409932 \h </w:instrText>
        </w:r>
        <w:r w:rsidRPr="00AF39D9">
          <w:rPr>
            <w:rFonts w:ascii="Times New Roman" w:hAnsi="Times New Roman" w:cs="Times New Roman"/>
            <w:noProof/>
            <w:webHidden/>
            <w:sz w:val="28"/>
            <w:szCs w:val="28"/>
          </w:rPr>
        </w:r>
        <w:r w:rsidRPr="00AF39D9">
          <w:rPr>
            <w:rFonts w:ascii="Times New Roman" w:hAnsi="Times New Roman" w:cs="Times New Roman"/>
            <w:noProof/>
            <w:webHidden/>
            <w:sz w:val="28"/>
            <w:szCs w:val="28"/>
          </w:rPr>
          <w:fldChar w:fldCharType="separate"/>
        </w:r>
        <w:r w:rsidR="00436136">
          <w:rPr>
            <w:rFonts w:ascii="Times New Roman" w:hAnsi="Times New Roman" w:cs="Times New Roman"/>
            <w:noProof/>
            <w:webHidden/>
            <w:sz w:val="28"/>
            <w:szCs w:val="28"/>
          </w:rPr>
          <w:t>23</w:t>
        </w:r>
        <w:r w:rsidRPr="00AF39D9">
          <w:rPr>
            <w:rFonts w:ascii="Times New Roman" w:hAnsi="Times New Roman" w:cs="Times New Roman"/>
            <w:noProof/>
            <w:webHidden/>
            <w:sz w:val="28"/>
            <w:szCs w:val="28"/>
          </w:rPr>
          <w:fldChar w:fldCharType="end"/>
        </w:r>
      </w:hyperlink>
    </w:p>
    <w:p w14:paraId="282B1242" w14:textId="24F86EFD" w:rsidR="00AF39D9" w:rsidRPr="00AF39D9" w:rsidRDefault="00AF39D9" w:rsidP="00AF39D9">
      <w:pPr>
        <w:pStyle w:val="31"/>
        <w:tabs>
          <w:tab w:val="right" w:pos="9345"/>
        </w:tabs>
        <w:spacing w:after="120"/>
        <w:ind w:left="221"/>
        <w:rPr>
          <w:rFonts w:ascii="Times New Roman" w:eastAsiaTheme="minorEastAsia" w:hAnsi="Times New Roman" w:cs="Times New Roman"/>
          <w:noProof/>
          <w:sz w:val="28"/>
          <w:szCs w:val="28"/>
          <w:lang w:eastAsia="ru-RU"/>
        </w:rPr>
      </w:pPr>
      <w:hyperlink w:anchor="_Toc219409933" w:history="1">
        <w:r w:rsidRPr="00AF39D9">
          <w:rPr>
            <w:rStyle w:val="af9"/>
            <w:rFonts w:ascii="Times New Roman" w:hAnsi="Times New Roman" w:cs="Times New Roman"/>
            <w:noProof/>
            <w:sz w:val="28"/>
            <w:szCs w:val="28"/>
          </w:rPr>
          <w:t>3.3 План магистерской диссертации</w:t>
        </w:r>
        <w:r w:rsidRPr="00AF39D9">
          <w:rPr>
            <w:rFonts w:ascii="Times New Roman" w:hAnsi="Times New Roman" w:cs="Times New Roman"/>
            <w:noProof/>
            <w:webHidden/>
            <w:sz w:val="28"/>
            <w:szCs w:val="28"/>
          </w:rPr>
          <w:tab/>
        </w:r>
        <w:r w:rsidRPr="00AF39D9">
          <w:rPr>
            <w:rFonts w:ascii="Times New Roman" w:hAnsi="Times New Roman" w:cs="Times New Roman"/>
            <w:noProof/>
            <w:webHidden/>
            <w:sz w:val="28"/>
            <w:szCs w:val="28"/>
          </w:rPr>
          <w:fldChar w:fldCharType="begin"/>
        </w:r>
        <w:r w:rsidRPr="00AF39D9">
          <w:rPr>
            <w:rFonts w:ascii="Times New Roman" w:hAnsi="Times New Roman" w:cs="Times New Roman"/>
            <w:noProof/>
            <w:webHidden/>
            <w:sz w:val="28"/>
            <w:szCs w:val="28"/>
          </w:rPr>
          <w:instrText xml:space="preserve"> PAGEREF _Toc219409933 \h </w:instrText>
        </w:r>
        <w:r w:rsidRPr="00AF39D9">
          <w:rPr>
            <w:rFonts w:ascii="Times New Roman" w:hAnsi="Times New Roman" w:cs="Times New Roman"/>
            <w:noProof/>
            <w:webHidden/>
            <w:sz w:val="28"/>
            <w:szCs w:val="28"/>
          </w:rPr>
        </w:r>
        <w:r w:rsidRPr="00AF39D9">
          <w:rPr>
            <w:rFonts w:ascii="Times New Roman" w:hAnsi="Times New Roman" w:cs="Times New Roman"/>
            <w:noProof/>
            <w:webHidden/>
            <w:sz w:val="28"/>
            <w:szCs w:val="28"/>
          </w:rPr>
          <w:fldChar w:fldCharType="separate"/>
        </w:r>
        <w:r w:rsidR="00436136">
          <w:rPr>
            <w:rFonts w:ascii="Times New Roman" w:hAnsi="Times New Roman" w:cs="Times New Roman"/>
            <w:noProof/>
            <w:webHidden/>
            <w:sz w:val="28"/>
            <w:szCs w:val="28"/>
          </w:rPr>
          <w:t>26</w:t>
        </w:r>
        <w:r w:rsidRPr="00AF39D9">
          <w:rPr>
            <w:rFonts w:ascii="Times New Roman" w:hAnsi="Times New Roman" w:cs="Times New Roman"/>
            <w:noProof/>
            <w:webHidden/>
            <w:sz w:val="28"/>
            <w:szCs w:val="28"/>
          </w:rPr>
          <w:fldChar w:fldCharType="end"/>
        </w:r>
      </w:hyperlink>
    </w:p>
    <w:p w14:paraId="176828CC" w14:textId="04D70EB2" w:rsidR="00AF39D9" w:rsidRPr="00AF39D9" w:rsidRDefault="00AF39D9">
      <w:pPr>
        <w:pStyle w:val="11"/>
        <w:tabs>
          <w:tab w:val="right" w:pos="9345"/>
        </w:tabs>
        <w:rPr>
          <w:rFonts w:ascii="Times New Roman" w:eastAsiaTheme="minorEastAsia" w:hAnsi="Times New Roman" w:cs="Times New Roman"/>
          <w:b w:val="0"/>
          <w:bCs w:val="0"/>
          <w:caps w:val="0"/>
          <w:noProof/>
          <w:sz w:val="28"/>
          <w:szCs w:val="28"/>
          <w:lang w:eastAsia="ru-RU"/>
        </w:rPr>
      </w:pPr>
      <w:r w:rsidRPr="00AF39D9">
        <w:rPr>
          <w:rStyle w:val="af9"/>
          <w:rFonts w:ascii="Times New Roman" w:hAnsi="Times New Roman" w:cs="Times New Roman"/>
          <w:b w:val="0"/>
          <w:bCs w:val="0"/>
          <w:noProof/>
          <w:sz w:val="28"/>
          <w:szCs w:val="28"/>
          <w:u w:val="none"/>
        </w:rPr>
        <w:t xml:space="preserve">    </w:t>
      </w:r>
      <w:hyperlink w:anchor="_Toc219409934" w:history="1">
        <w:r w:rsidRPr="00AF39D9">
          <w:rPr>
            <w:rStyle w:val="af9"/>
            <w:rFonts w:ascii="Times New Roman" w:hAnsi="Times New Roman" w:cs="Times New Roman"/>
            <w:b w:val="0"/>
            <w:bCs w:val="0"/>
            <w:noProof/>
            <w:sz w:val="28"/>
            <w:szCs w:val="28"/>
          </w:rPr>
          <w:t>Заключение</w:t>
        </w:r>
        <w:r w:rsidRPr="00AF39D9">
          <w:rPr>
            <w:rFonts w:ascii="Times New Roman" w:hAnsi="Times New Roman" w:cs="Times New Roman"/>
            <w:b w:val="0"/>
            <w:bCs w:val="0"/>
            <w:noProof/>
            <w:webHidden/>
            <w:sz w:val="28"/>
            <w:szCs w:val="28"/>
          </w:rPr>
          <w:tab/>
        </w:r>
        <w:r w:rsidRPr="00AF39D9">
          <w:rPr>
            <w:rFonts w:ascii="Times New Roman" w:hAnsi="Times New Roman" w:cs="Times New Roman"/>
            <w:b w:val="0"/>
            <w:bCs w:val="0"/>
            <w:noProof/>
            <w:webHidden/>
            <w:sz w:val="28"/>
            <w:szCs w:val="28"/>
          </w:rPr>
          <w:fldChar w:fldCharType="begin"/>
        </w:r>
        <w:r w:rsidRPr="00AF39D9">
          <w:rPr>
            <w:rFonts w:ascii="Times New Roman" w:hAnsi="Times New Roman" w:cs="Times New Roman"/>
            <w:b w:val="0"/>
            <w:bCs w:val="0"/>
            <w:noProof/>
            <w:webHidden/>
            <w:sz w:val="28"/>
            <w:szCs w:val="28"/>
          </w:rPr>
          <w:instrText xml:space="preserve"> PAGEREF _Toc219409934 \h </w:instrText>
        </w:r>
        <w:r w:rsidRPr="00AF39D9">
          <w:rPr>
            <w:rFonts w:ascii="Times New Roman" w:hAnsi="Times New Roman" w:cs="Times New Roman"/>
            <w:b w:val="0"/>
            <w:bCs w:val="0"/>
            <w:noProof/>
            <w:webHidden/>
            <w:sz w:val="28"/>
            <w:szCs w:val="28"/>
          </w:rPr>
        </w:r>
        <w:r w:rsidRPr="00AF39D9">
          <w:rPr>
            <w:rFonts w:ascii="Times New Roman" w:hAnsi="Times New Roman" w:cs="Times New Roman"/>
            <w:b w:val="0"/>
            <w:bCs w:val="0"/>
            <w:noProof/>
            <w:webHidden/>
            <w:sz w:val="28"/>
            <w:szCs w:val="28"/>
          </w:rPr>
          <w:fldChar w:fldCharType="separate"/>
        </w:r>
        <w:r w:rsidR="00436136">
          <w:rPr>
            <w:rFonts w:ascii="Times New Roman" w:hAnsi="Times New Roman" w:cs="Times New Roman"/>
            <w:b w:val="0"/>
            <w:bCs w:val="0"/>
            <w:noProof/>
            <w:webHidden/>
            <w:sz w:val="28"/>
            <w:szCs w:val="28"/>
          </w:rPr>
          <w:t>30</w:t>
        </w:r>
        <w:r w:rsidRPr="00AF39D9">
          <w:rPr>
            <w:rFonts w:ascii="Times New Roman" w:hAnsi="Times New Roman" w:cs="Times New Roman"/>
            <w:b w:val="0"/>
            <w:bCs w:val="0"/>
            <w:noProof/>
            <w:webHidden/>
            <w:sz w:val="28"/>
            <w:szCs w:val="28"/>
          </w:rPr>
          <w:fldChar w:fldCharType="end"/>
        </w:r>
      </w:hyperlink>
    </w:p>
    <w:p w14:paraId="11F1E424" w14:textId="576DD69E" w:rsidR="00AF39D9" w:rsidRPr="00AF39D9" w:rsidRDefault="00AF39D9">
      <w:pPr>
        <w:pStyle w:val="11"/>
        <w:tabs>
          <w:tab w:val="right" w:pos="9345"/>
        </w:tabs>
        <w:rPr>
          <w:rFonts w:ascii="Times New Roman" w:eastAsiaTheme="minorEastAsia" w:hAnsi="Times New Roman" w:cs="Times New Roman"/>
          <w:b w:val="0"/>
          <w:bCs w:val="0"/>
          <w:caps w:val="0"/>
          <w:noProof/>
          <w:sz w:val="28"/>
          <w:szCs w:val="28"/>
          <w:lang w:eastAsia="ru-RU"/>
        </w:rPr>
      </w:pPr>
      <w:r w:rsidRPr="00AF39D9">
        <w:rPr>
          <w:rStyle w:val="af9"/>
          <w:rFonts w:ascii="Times New Roman" w:hAnsi="Times New Roman" w:cs="Times New Roman"/>
          <w:b w:val="0"/>
          <w:bCs w:val="0"/>
          <w:noProof/>
          <w:sz w:val="28"/>
          <w:szCs w:val="28"/>
          <w:u w:val="none"/>
        </w:rPr>
        <w:t xml:space="preserve">    </w:t>
      </w:r>
      <w:hyperlink w:anchor="_Toc219409935" w:history="1">
        <w:r w:rsidRPr="00AF39D9">
          <w:rPr>
            <w:rStyle w:val="af9"/>
            <w:rFonts w:ascii="Times New Roman" w:hAnsi="Times New Roman" w:cs="Times New Roman"/>
            <w:b w:val="0"/>
            <w:bCs w:val="0"/>
            <w:noProof/>
            <w:sz w:val="28"/>
            <w:szCs w:val="28"/>
          </w:rPr>
          <w:t>Список использованных источников</w:t>
        </w:r>
        <w:r w:rsidRPr="00AF39D9">
          <w:rPr>
            <w:rFonts w:ascii="Times New Roman" w:hAnsi="Times New Roman" w:cs="Times New Roman"/>
            <w:b w:val="0"/>
            <w:bCs w:val="0"/>
            <w:noProof/>
            <w:webHidden/>
            <w:sz w:val="28"/>
            <w:szCs w:val="28"/>
          </w:rPr>
          <w:tab/>
        </w:r>
        <w:r w:rsidRPr="00AF39D9">
          <w:rPr>
            <w:rFonts w:ascii="Times New Roman" w:hAnsi="Times New Roman" w:cs="Times New Roman"/>
            <w:b w:val="0"/>
            <w:bCs w:val="0"/>
            <w:noProof/>
            <w:webHidden/>
            <w:sz w:val="28"/>
            <w:szCs w:val="28"/>
          </w:rPr>
          <w:fldChar w:fldCharType="begin"/>
        </w:r>
        <w:r w:rsidRPr="00AF39D9">
          <w:rPr>
            <w:rFonts w:ascii="Times New Roman" w:hAnsi="Times New Roman" w:cs="Times New Roman"/>
            <w:b w:val="0"/>
            <w:bCs w:val="0"/>
            <w:noProof/>
            <w:webHidden/>
            <w:sz w:val="28"/>
            <w:szCs w:val="28"/>
          </w:rPr>
          <w:instrText xml:space="preserve"> PAGEREF _Toc219409935 \h </w:instrText>
        </w:r>
        <w:r w:rsidRPr="00AF39D9">
          <w:rPr>
            <w:rFonts w:ascii="Times New Roman" w:hAnsi="Times New Roman" w:cs="Times New Roman"/>
            <w:b w:val="0"/>
            <w:bCs w:val="0"/>
            <w:noProof/>
            <w:webHidden/>
            <w:sz w:val="28"/>
            <w:szCs w:val="28"/>
          </w:rPr>
        </w:r>
        <w:r w:rsidRPr="00AF39D9">
          <w:rPr>
            <w:rFonts w:ascii="Times New Roman" w:hAnsi="Times New Roman" w:cs="Times New Roman"/>
            <w:b w:val="0"/>
            <w:bCs w:val="0"/>
            <w:noProof/>
            <w:webHidden/>
            <w:sz w:val="28"/>
            <w:szCs w:val="28"/>
          </w:rPr>
          <w:fldChar w:fldCharType="separate"/>
        </w:r>
        <w:r w:rsidR="00436136">
          <w:rPr>
            <w:rFonts w:ascii="Times New Roman" w:hAnsi="Times New Roman" w:cs="Times New Roman"/>
            <w:b w:val="0"/>
            <w:bCs w:val="0"/>
            <w:noProof/>
            <w:webHidden/>
            <w:sz w:val="28"/>
            <w:szCs w:val="28"/>
          </w:rPr>
          <w:t>33</w:t>
        </w:r>
        <w:r w:rsidRPr="00AF39D9">
          <w:rPr>
            <w:rFonts w:ascii="Times New Roman" w:hAnsi="Times New Roman" w:cs="Times New Roman"/>
            <w:b w:val="0"/>
            <w:bCs w:val="0"/>
            <w:noProof/>
            <w:webHidden/>
            <w:sz w:val="28"/>
            <w:szCs w:val="28"/>
          </w:rPr>
          <w:fldChar w:fldCharType="end"/>
        </w:r>
      </w:hyperlink>
    </w:p>
    <w:p w14:paraId="3EEC4984" w14:textId="5124AEC3" w:rsidR="00AF39D9" w:rsidRDefault="00AF39D9">
      <w:pPr>
        <w:spacing w:after="0" w:line="240" w:lineRule="auto"/>
        <w:rPr>
          <w:rFonts w:ascii="Times New Roman" w:hAnsi="Times New Roman" w:cs="Times New Roman"/>
          <w:sz w:val="28"/>
          <w:szCs w:val="28"/>
        </w:rPr>
      </w:pPr>
      <w:r>
        <w:rPr>
          <w:rFonts w:ascii="Times New Roman" w:hAnsi="Times New Roman" w:cs="Times New Roman"/>
          <w:sz w:val="28"/>
          <w:szCs w:val="28"/>
        </w:rPr>
        <w:fldChar w:fldCharType="end"/>
      </w:r>
    </w:p>
    <w:p w14:paraId="31FA0FE8" w14:textId="285E5AB4" w:rsidR="0087425C" w:rsidRPr="0087425C" w:rsidRDefault="0087425C" w:rsidP="0087425C">
      <w:pPr>
        <w:spacing w:after="0" w:line="360" w:lineRule="auto"/>
        <w:jc w:val="both"/>
        <w:rPr>
          <w:rFonts w:ascii="Times New Roman" w:hAnsi="Times New Roman" w:cs="Times New Roman"/>
          <w:sz w:val="28"/>
          <w:szCs w:val="28"/>
        </w:rPr>
      </w:pPr>
    </w:p>
    <w:p w14:paraId="4FD2BD1E" w14:textId="77777777" w:rsidR="0087425C" w:rsidRDefault="0087425C" w:rsidP="0087425C">
      <w:pPr>
        <w:spacing w:after="0" w:line="240" w:lineRule="auto"/>
        <w:ind w:left="709"/>
        <w:jc w:val="both"/>
        <w:rPr>
          <w:rFonts w:ascii="Arial CYR" w:hAnsi="Arial CYR" w:cs="Times New Roman"/>
          <w:sz w:val="28"/>
          <w:szCs w:val="28"/>
        </w:rPr>
      </w:pPr>
    </w:p>
    <w:p w14:paraId="39581DC2" w14:textId="77777777" w:rsidR="0087425C" w:rsidRPr="0087425C" w:rsidRDefault="0087425C" w:rsidP="0087425C">
      <w:pPr>
        <w:spacing w:after="0" w:line="240" w:lineRule="auto"/>
        <w:rPr>
          <w:rFonts w:ascii="Arial CYR" w:hAnsi="Arial CYR"/>
          <w:sz w:val="24"/>
          <w:szCs w:val="24"/>
        </w:rPr>
      </w:pPr>
    </w:p>
    <w:p w14:paraId="050574ED" w14:textId="492C3E3D" w:rsidR="00495387" w:rsidRPr="00AF39D9" w:rsidRDefault="00ED7F9A" w:rsidP="00AF39D9">
      <w:pPr>
        <w:spacing w:after="0" w:line="240" w:lineRule="auto"/>
        <w:jc w:val="center"/>
        <w:rPr>
          <w:rFonts w:ascii="Arial CYR" w:hAnsi="Arial CYR"/>
          <w:color w:val="000000" w:themeColor="text1"/>
          <w:sz w:val="30"/>
          <w:szCs w:val="30"/>
        </w:rPr>
      </w:pPr>
      <w:r>
        <w:rPr>
          <w:rFonts w:ascii="Arial CYR" w:hAnsi="Arial CYR" w:cs="Times New Roman"/>
          <w:sz w:val="30"/>
          <w:szCs w:val="30"/>
        </w:rPr>
        <w:br w:type="page"/>
      </w:r>
      <w:bookmarkStart w:id="0" w:name="_Toc219409921"/>
      <w:r w:rsidR="00000000" w:rsidRPr="00AF39D9">
        <w:rPr>
          <w:rFonts w:ascii="Arial CYR" w:hAnsi="Arial CYR" w:cs="Times New Roman"/>
          <w:color w:val="000000" w:themeColor="text1"/>
          <w:sz w:val="30"/>
          <w:szCs w:val="30"/>
        </w:rPr>
        <w:lastRenderedPageBreak/>
        <w:t>Введение</w:t>
      </w:r>
      <w:bookmarkEnd w:id="0"/>
    </w:p>
    <w:p w14:paraId="3D634878" w14:textId="77777777" w:rsidR="00495387" w:rsidRDefault="00495387">
      <w:pPr>
        <w:spacing w:after="0" w:line="240" w:lineRule="auto"/>
        <w:ind w:firstLine="709"/>
        <w:jc w:val="center"/>
        <w:rPr>
          <w:rFonts w:cs="Times New Roman"/>
        </w:rPr>
      </w:pPr>
    </w:p>
    <w:p w14:paraId="24DFE90E"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Актуальность темы исследования обусловлена критической зависимостью качества государственного управления от обоснованности стратегических решений, принимаемых на всех уровнях власти. В условиях растущей турбулентности внешней среды, цифровой трансформации и геополитической нестабильности, органы государственной власти сталкиваются с принципиально новыми вызовами, требующими нестандартных подходов к анализу и прогнозированию. Несмотря на то, что в теории стратегического менеджмента сформирован обширный набор методов и инструментов, их практическое применение в российском государственном секторе остается фрагментарным, зачастую формальным и неэффективным. Сложилось острое противоречие между объективной потребностью в современных, адаптивных и комплексных методических решениях для разработки стратегий и программ и реальным состоянием инструментария, характеризующимся теоретической неоднозначностью, практической разрозненностью и подчиненностью жестким бюрократическим регламентам, вытесняющим содержательную аналитическую работу. Преодоление этого противоречия имеет высокую научную и практическую значимость для повышения эффективности управления региональным развитием.</w:t>
      </w:r>
    </w:p>
    <w:p w14:paraId="3CFC802C"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Целью исследования является разработка предложений по совершенствованию методического инструментария разработки стратегических управленческих решений в органах государственной власти на примере Министерства экономического развития Приморского края.</w:t>
      </w:r>
    </w:p>
    <w:p w14:paraId="3DCDF9C4"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Для достижения поставленной цели необходимо решить следующие задачи:</w:t>
      </w:r>
    </w:p>
    <w:p w14:paraId="21F3AF9E" w14:textId="77777777" w:rsidR="00495387" w:rsidRDefault="00000000">
      <w:pPr>
        <w:pStyle w:val="af"/>
        <w:numPr>
          <w:ilvl w:val="0"/>
          <w:numId w:val="2"/>
        </w:numPr>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t>систематизировать теоретические и методологические подходы к формированию и применению методического инструментария стратегического управления в публичном секторе.</w:t>
      </w:r>
    </w:p>
    <w:p w14:paraId="1CA50AF4" w14:textId="77777777" w:rsidR="00495387" w:rsidRDefault="00495387">
      <w:pPr>
        <w:spacing w:after="0" w:line="360" w:lineRule="auto"/>
        <w:ind w:firstLine="709"/>
        <w:jc w:val="both"/>
        <w:rPr>
          <w:rFonts w:ascii="Times New Roman" w:hAnsi="Times New Roman" w:cs="Times New Roman"/>
          <w:sz w:val="28"/>
          <w:szCs w:val="28"/>
        </w:rPr>
      </w:pPr>
    </w:p>
    <w:p w14:paraId="02A20238" w14:textId="77777777" w:rsidR="00495387" w:rsidRDefault="00000000">
      <w:pPr>
        <w:pStyle w:val="af"/>
        <w:numPr>
          <w:ilvl w:val="0"/>
          <w:numId w:val="2"/>
        </w:numPr>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lastRenderedPageBreak/>
        <w:t>провести критический анализ нормативно-правовой базы и инструментов институциональной поддержки, определяющих контекст использования стратегического инструментария.</w:t>
      </w:r>
    </w:p>
    <w:p w14:paraId="1C3BCE13" w14:textId="77777777" w:rsidR="00495387" w:rsidRDefault="00000000">
      <w:pPr>
        <w:pStyle w:val="af"/>
        <w:numPr>
          <w:ilvl w:val="0"/>
          <w:numId w:val="2"/>
        </w:numPr>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t>диагностировать состояние и выявить проблемные зоны применения методического инструментария в практической деятельности Министерства экономического развития Приморского края.</w:t>
      </w:r>
    </w:p>
    <w:p w14:paraId="3D5D7D6E" w14:textId="77777777" w:rsidR="00495387" w:rsidRDefault="00000000">
      <w:pPr>
        <w:pStyle w:val="af"/>
        <w:numPr>
          <w:ilvl w:val="0"/>
          <w:numId w:val="2"/>
        </w:numPr>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t>на основе проведенного анализа разработать практические рекомендации и модель (дорожную карту) по внедрению усовершенствованного методического инструментария.</w:t>
      </w:r>
    </w:p>
    <w:p w14:paraId="46A1BD3A"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Объект исследования - система разработки стратегических управленческих решений в органах государственной власти субъектов Российской Федерации.</w:t>
      </w:r>
    </w:p>
    <w:p w14:paraId="45E532DC"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Предмет исследования – организационно-управленческие отношения и методические практики, складывающиеся в процессе выбора, адаптации и применения инструментария для разработки стратегических решений в государственном органе на примере Министерства экономического развития Приморского края.</w:t>
      </w:r>
    </w:p>
    <w:p w14:paraId="04DD0522"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Теоретическую базу исследования составили работы ведущих отечественных и зарубежных ученых, анализирующих различные аспекты проблемного поля. Классические и современные модели стратегического планирования в публичном секторе представлены в трудах Дж. М. Брайсона [4] и Т. Х. Пойстера [5]. Концепция эмерджентной стратегии и критический взгляд на формальное планирование отражены в работах Г. Минцберга [16]. Контекстуальный подход к стратегированию и адаптации инструментов развивается в исследованиях Ю. В. Кузнецова [6] и А. С. Федорова [12]. Социальную природу использования инструментария (стратегизацию) раскрывают работы А. А. Захарова [13]. Проблемы внедрения и институциональные барьеры в российской практике детально исследованы А. В. Петровым [1] и С. К. Ивановой [2]. Вопросы цифровизации инструментария рассматривают Е. А. Смирнов [7] и М. Д. Ковалева [11]. </w:t>
      </w:r>
      <w:r>
        <w:rPr>
          <w:rFonts w:ascii="Times New Roman" w:hAnsi="Times New Roman" w:cs="Times New Roman"/>
          <w:sz w:val="28"/>
          <w:szCs w:val="28"/>
        </w:rPr>
        <w:lastRenderedPageBreak/>
        <w:t>Методологические основы обеспечивают системный [8], процессный [9] и институциональный [15] подходы.</w:t>
      </w:r>
    </w:p>
    <w:p w14:paraId="2E1A8959"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Научная проблема исследования - несоответствие между потенциальными возможностями современного методического инструментария стратегического управления и реальной эффективностью его применения в деятельности региональных органов исполнительной власти, обусловленное институциональными, организационными и кадровыми ограничениями.</w:t>
      </w:r>
    </w:p>
    <w:p w14:paraId="4B13E450"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Рабочая гипотеза исследования - повышение эффективности стратегических управленческих решений в органах государственной власти может быть достигнуто за счет внедрения систематизированного, контекстуально-ориентированного и процессно-интегрированного методического инструментария, учитывающего как формальные регламенты, так и реальные организационные практики и компетенции сотрудников.</w:t>
      </w:r>
    </w:p>
    <w:p w14:paraId="552AA7C1"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Методика исследования носит комплексный характер и основана на сочетании общенаучных и специальных методов:</w:t>
      </w:r>
    </w:p>
    <w:p w14:paraId="60727705"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Теоретические методы - анализ научной литературы, систематизация, сравнительный анализ, моделирование.</w:t>
      </w:r>
    </w:p>
    <w:p w14:paraId="224CE7D7"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Эмпирические методы - качественные методы, включая кейс-стади (на примере Министерства), полуструктурированные интервью с руководителями и специалистами, контент-анализ внутренних и публичных документов (стратегий, программ, отчетов).</w:t>
      </w:r>
    </w:p>
    <w:p w14:paraId="7B66E198"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Методы обработки данных - качественный тематический анализ текстовой информации, методы визуализации (построение блок-схем, моделей).</w:t>
      </w:r>
    </w:p>
    <w:p w14:paraId="34E970CA" w14:textId="521B02B9"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Исследование состоит из введения, трех глав, заключения, списка использованных источников. Общий объем работы составляет 31 страниц</w:t>
      </w:r>
      <w:r w:rsidR="00D267AD">
        <w:rPr>
          <w:rFonts w:ascii="Times New Roman" w:hAnsi="Times New Roman" w:cs="Times New Roman"/>
          <w:sz w:val="28"/>
          <w:szCs w:val="28"/>
        </w:rPr>
        <w:t>а</w:t>
      </w:r>
      <w:r>
        <w:rPr>
          <w:rFonts w:ascii="Times New Roman" w:hAnsi="Times New Roman" w:cs="Times New Roman"/>
          <w:sz w:val="28"/>
          <w:szCs w:val="28"/>
        </w:rPr>
        <w:t>.</w:t>
      </w:r>
    </w:p>
    <w:p w14:paraId="7A98D6DC" w14:textId="77777777" w:rsidR="00495387" w:rsidRDefault="00000000">
      <w:pPr>
        <w:rPr>
          <w:rFonts w:ascii="Times New Roman" w:hAnsi="Times New Roman" w:cs="Times New Roman"/>
          <w:sz w:val="28"/>
          <w:szCs w:val="28"/>
        </w:rPr>
      </w:pPr>
      <w:r>
        <w:br w:type="page"/>
      </w:r>
    </w:p>
    <w:p w14:paraId="5477C230" w14:textId="77777777" w:rsidR="00495387" w:rsidRPr="00AF39D9" w:rsidRDefault="00000000" w:rsidP="00AF39D9">
      <w:pPr>
        <w:pStyle w:val="2"/>
        <w:spacing w:before="0" w:after="0" w:line="240" w:lineRule="auto"/>
        <w:ind w:left="709"/>
        <w:rPr>
          <w:rFonts w:ascii="Arial CYR" w:hAnsi="Arial CYR" w:cs="Times New Roman"/>
          <w:color w:val="auto"/>
          <w:sz w:val="30"/>
          <w:szCs w:val="30"/>
        </w:rPr>
      </w:pPr>
      <w:bookmarkStart w:id="1" w:name="_Toc219409922"/>
      <w:r w:rsidRPr="00AF39D9">
        <w:rPr>
          <w:rFonts w:ascii="Arial CYR" w:hAnsi="Arial CYR" w:cs="Times New Roman"/>
          <w:color w:val="auto"/>
          <w:sz w:val="30"/>
          <w:szCs w:val="30"/>
        </w:rPr>
        <w:lastRenderedPageBreak/>
        <w:t>1. Теоретические аспекты научной основы методического инструментария разработки стратегических управленческих решений</w:t>
      </w:r>
      <w:bookmarkEnd w:id="1"/>
    </w:p>
    <w:p w14:paraId="1161867B" w14:textId="77777777" w:rsidR="00495387" w:rsidRPr="00AF39D9" w:rsidRDefault="00495387">
      <w:pPr>
        <w:spacing w:after="0" w:line="240" w:lineRule="auto"/>
        <w:ind w:firstLine="709"/>
        <w:rPr>
          <w:rFonts w:ascii="Arial CYR" w:hAnsi="Arial CYR" w:cs="Times New Roman"/>
          <w:sz w:val="24"/>
          <w:szCs w:val="24"/>
        </w:rPr>
      </w:pPr>
    </w:p>
    <w:p w14:paraId="6570C465" w14:textId="77777777" w:rsidR="00495387" w:rsidRPr="00AF39D9" w:rsidRDefault="00000000" w:rsidP="00AF39D9">
      <w:pPr>
        <w:pStyle w:val="3"/>
        <w:spacing w:before="0" w:after="0" w:line="360" w:lineRule="auto"/>
        <w:ind w:left="709"/>
        <w:rPr>
          <w:color w:val="000000" w:themeColor="text1"/>
        </w:rPr>
      </w:pPr>
      <w:bookmarkStart w:id="2" w:name="_Toc219409923"/>
      <w:r w:rsidRPr="00AF39D9">
        <w:rPr>
          <w:rFonts w:ascii="Arial CYR" w:hAnsi="Arial CYR" w:cs="Times New Roman"/>
          <w:color w:val="000000" w:themeColor="text1"/>
        </w:rPr>
        <w:t>1.1 Обоснование актуальности исследования и обозначение «проблемного поля»</w:t>
      </w:r>
      <w:bookmarkEnd w:id="2"/>
    </w:p>
    <w:p w14:paraId="322B3ADF" w14:textId="77777777" w:rsidR="00495387" w:rsidRDefault="00495387">
      <w:pPr>
        <w:spacing w:after="0" w:line="240" w:lineRule="auto"/>
        <w:ind w:left="709"/>
        <w:rPr>
          <w:rFonts w:ascii="Arial CYR" w:hAnsi="Arial CYR" w:cs="Times New Roman"/>
        </w:rPr>
      </w:pPr>
    </w:p>
    <w:p w14:paraId="3F7E513B"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Актуальность темы исследования обусловлена комплексом научных, практических и методических противоречий, образующих обширное «проблемное поле» в сфере стратегического управления в государственном секторе.</w:t>
      </w:r>
    </w:p>
    <w:p w14:paraId="6BFF2490"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 научной точки зрения, актуальность проявляется в спорности и фрагментарности теоретических подходов к структурированию инструментария стратегического управления применительно к специфике публичного администрирования. Если в «бизнесе» сформировался обширный набор методов (от классического SWOT-анализа до современных agile-подходов и data-driven анализа), то их адаптация и системное применение в государственных организациях изучены недостаточно. Как отмечает        Петров А.В. (2022), существует разрыв между теоретическими моделями стратегирования и реальными управленческими практиками в государственных организациях, где доминируют традиционные, зачастую формализованные процедуры [1].</w:t>
      </w:r>
    </w:p>
    <w:p w14:paraId="362AAA3D"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 практической точки зрения, актуальность подтверждается нарастающими требованиями к эффективности и прозрачности государственного управления. Внедрение проектного управления, национальных целей развития и программно-целевого подхода требует от органов власти более сложных аналитических и прогностических процедур. Однако, как показывают исследования Ивановой С.К. (2023), инструментарий, применяемый в ряде региональных органов исполнительной власти, часто ограничивается набором стандартных методов, слабо интегрирован в бизнес-процессы и не обеспечивает должного уровня межфункционального взаимодействия [2]. Это приводит к разработке </w:t>
      </w:r>
      <w:r>
        <w:rPr>
          <w:rFonts w:ascii="Times New Roman" w:hAnsi="Times New Roman" w:cs="Times New Roman"/>
          <w:sz w:val="28"/>
          <w:szCs w:val="28"/>
        </w:rPr>
        <w:lastRenderedPageBreak/>
        <w:t>стратегий, оторванных от реальных возможностей и потребностей, а также к сложностям в мониторинге их исполнения.</w:t>
      </w:r>
    </w:p>
    <w:p w14:paraId="1DD1BECE"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Углубляя анализ практических противоречий, важно отметить, что современная парадигма «государства-платформы» и «цифрового правительства» предъявляет новые требования к скорости и аналитической глубине стратегических решений. Внедрение сквозных цифровых платформ создает техническую возможность для сбора и анализа больших массивов данных в реальном времени. Однако, как справедливо отмечает Ковалева М.Д. (2023), сам по себе технологический потенциал не приводит к прорыву в качестве управления — ключевым становится наличие методик, позволяющих трансформировать данные в стратегические инсайты и конкретные управленческие действия [11]. Возникает новое измерение проблемы: разрыв между технологической возможностью и методической готовностью.</w:t>
      </w:r>
    </w:p>
    <w:p w14:paraId="129193BF"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Кроме того, в условиях санкционного давления и необходимости обеспечения экономического суверенитета резко возрастает значимость стратегических решений в сфере промышленной, инвестиционной и научно-технической политики. Такие решения требуют нестандартных инструментов оценки рисков, сценарного моделирования в условиях высокой неопределенности и многокритериального выбора в условиях дефицита ресурсов. Традиционный аппарат, ориентированный на стабильные условия, зачастую не справляется с этими задачами, что подтверждается исследованиями практики антикризисного управления в ряде регионов [12]. Таким образом, актуальность исследования усиливается необходимостью адаптации и разработки специализированного методического инструментария для новых классов стратегических вызовов, стоящих перед государственным сектором.</w:t>
      </w:r>
    </w:p>
    <w:p w14:paraId="75DDAE9F"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 методической точки зрения, актуальность заключается в отсутствии унифицированных, но гибких рамок (фреймворков) для подбора и комбинирования инструментов в зависимости от типа решаемой </w:t>
      </w:r>
      <w:r>
        <w:rPr>
          <w:rFonts w:ascii="Times New Roman" w:hAnsi="Times New Roman" w:cs="Times New Roman"/>
          <w:sz w:val="28"/>
          <w:szCs w:val="28"/>
        </w:rPr>
        <w:lastRenderedPageBreak/>
        <w:t>стратегической задачи (разработка отраслевой программы, инвестиционная политика, антикризисное управление). Методические рекомендации федерального уровня часто носят общий характер, в то время как на региональном и муниципальном уровнях ощущается дефицит практических «дорожных карт» по применению конкретных инструментов. Сидоров Н.П. подчеркивает, что успех стратегического решения зависит не столько от отдельного метода, сколько от грамотной «сборки» методического конструктора под конкретный контекст [3].</w:t>
      </w:r>
    </w:p>
    <w:p w14:paraId="5480F85B"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Таким образом, «проблемное поле» исследования можно сформулировать как противоречие между объективной потребностью органов государственной власти в эффективном, системном и адаптивном методическом инструментарии для разработки стратегических решений и существующим состоянием его теоретической неоднозначности, практической фрагментарности и методической неразработанности применительно к специфике публичного сектора.</w:t>
      </w:r>
    </w:p>
    <w:p w14:paraId="72C498CB" w14:textId="77777777" w:rsidR="00495387" w:rsidRDefault="00495387">
      <w:pPr>
        <w:spacing w:after="0" w:line="360" w:lineRule="auto"/>
        <w:ind w:firstLine="709"/>
        <w:jc w:val="both"/>
        <w:rPr>
          <w:sz w:val="12"/>
          <w:szCs w:val="12"/>
        </w:rPr>
      </w:pPr>
    </w:p>
    <w:p w14:paraId="7B268680" w14:textId="77777777" w:rsidR="00495387" w:rsidRPr="00AF39D9" w:rsidRDefault="00000000" w:rsidP="00AF39D9">
      <w:pPr>
        <w:pStyle w:val="3"/>
        <w:spacing w:before="0" w:after="0" w:line="240" w:lineRule="auto"/>
        <w:ind w:left="709"/>
        <w:rPr>
          <w:color w:val="000000" w:themeColor="text1"/>
          <w:sz w:val="30"/>
          <w:szCs w:val="30"/>
        </w:rPr>
      </w:pPr>
      <w:bookmarkStart w:id="3" w:name="_Toc219409924"/>
      <w:r w:rsidRPr="00AF39D9">
        <w:rPr>
          <w:rFonts w:ascii="Times New Roman" w:hAnsi="Times New Roman" w:cs="Times New Roman"/>
          <w:color w:val="000000" w:themeColor="text1"/>
          <w:sz w:val="30"/>
          <w:szCs w:val="30"/>
        </w:rPr>
        <w:t>1.2 Уровень разработанности проблемы «проблемного поля» исследования и его влияние на роль, место и состояние предмета исследования и практическая значимость исследования</w:t>
      </w:r>
      <w:bookmarkEnd w:id="3"/>
    </w:p>
    <w:p w14:paraId="1002C5ED" w14:textId="77777777" w:rsidR="00495387" w:rsidRDefault="00495387">
      <w:pPr>
        <w:spacing w:after="0" w:line="240" w:lineRule="auto"/>
        <w:ind w:left="709"/>
        <w:jc w:val="both"/>
        <w:rPr>
          <w:rFonts w:ascii="Times New Roman" w:hAnsi="Times New Roman" w:cs="Times New Roman"/>
        </w:rPr>
      </w:pPr>
    </w:p>
    <w:p w14:paraId="556FDE74"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Проблематика методического инструментария стратегического управления находится на стыке нескольких научных направлений: общего стратегического менеджмента, публичного администрирования, теории принятия решений и управленческого консалтинга.</w:t>
      </w:r>
    </w:p>
    <w:p w14:paraId="3FB5DB50"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зарубежной литературе вопросам инструментария стратегического менеджмента в государственном секторе уделяется значительное внимание. Работы таких авторов, как Брайсон Дж. М., акцентируют роль стратегического планирования как циклического процесса, для каждого этапа которого (анализ среды, формулировка стратегии, реализация, оценка) необходимы свои инструменты, от анализа стейкхолдеров до сбалансированной системы показателей (BSC) [4]. Исследование Пойстер Т. Х. демонстрирует эволюцию от жесткого долгосрочного планирования к </w:t>
      </w:r>
      <w:r>
        <w:rPr>
          <w:rFonts w:ascii="Times New Roman" w:hAnsi="Times New Roman" w:cs="Times New Roman"/>
          <w:sz w:val="28"/>
          <w:szCs w:val="28"/>
        </w:rPr>
        <w:lastRenderedPageBreak/>
        <w:t>более гибким и адаптивным подходам, интегрирующим элементы Agile и сценарного планирования в государственные процессы [5].</w:t>
      </w:r>
    </w:p>
    <w:p w14:paraId="3EAB575E"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отечественной науке интерес к данной теме также высок. Современные исследователи, такие как Кузнецов Ю.В., изучают особенности стратегирования на региональном уровне, выделяя специфические инструменты пространственного анализа и оценки кластерного потенциала [6]. Важным направлением является цифровизация инструментария. Смирнов Е.А. анализирует возможности применения big data и систем бизнес-аналитики (BI) для поддержки стратегических решений в государственном управлении, что открывает новые горизонты для повышения их обоснованности [7].</w:t>
      </w:r>
    </w:p>
    <w:p w14:paraId="4E4379AE"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Анализ последних публикаций позволяет выявить еще одну важную тенденцию в изучении проблематики — смещение фокуса с инструментов-артефактов (шаблонов, матриц, алгоритмов) на инструменты-практики, то есть на социотехнические комплексы, включающие в себя не только формальные методы, но и навыки сотрудников, корпоративную культуру, коммуникационные процедуры и поддерживающее программное обеспечение. Работы в рамках теории «стратегизации», например, исследования                  Захарова А.А., рассматривают инструментарий как часть повседневной управленческой деятельности, где методы SWOT или PEST-анализа становятся не просто аналитическими техниками, а ритуалами коммуникации и согласования позиций различных стейкхолдеров внутри и вне организации [13]. Этот взгляд позволяет по-новому оценить причины успеха или неудачи применения того или иного метода: проблема может крыться не в его содержательной слабости, а в том, как он встроен в процессы коллективной работы.</w:t>
      </w:r>
    </w:p>
    <w:p w14:paraId="0D9FDB76"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Однако, несмотря на значительный объем исследований, можно выделить ряд пробелов в научной разработанности:</w:t>
      </w:r>
    </w:p>
    <w:p w14:paraId="48B2E9C6"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преобладание общетеоретических или корпоративных моделей без глубокой адаптации к политико-административному контексту, бюджетным ограничениям и публичной ответственности госорганов.</w:t>
      </w:r>
    </w:p>
    <w:p w14:paraId="12BF3BB5"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недостаток комплексных эмпирических исследований, посвященных именно внутренним процессам выбора и применения инструментов внутри конкретных министерств и ведомств, а не только результатам их работы.</w:t>
      </w:r>
    </w:p>
    <w:p w14:paraId="4D623C03"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слабая проработка вопросов организационного внедрения и «культуры использования» инструментария, включая сопротивление изменениям, потребности в обучении и мотивации сотрудников.</w:t>
      </w:r>
    </w:p>
    <w:p w14:paraId="4CA50DD7"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Практическая значимость данного исследования заключается в его направленности на решение конкретных организационно-управленческих проблем:</w:t>
      </w:r>
    </w:p>
    <w:p w14:paraId="7310C745"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для министерства экономического развития Приморского края (объекта апробации) результаты работы позволят систематизировать внутренние методические практики, выявить точки роста и «узкие места», а также получить готовые рекомендации по оптимизации процесса разработки краевых стратегий и госпрограмм. Это напрямую влияет на качество управленческих решений и, как следствие, на социально-экономические результаты региона.</w:t>
      </w:r>
    </w:p>
    <w:p w14:paraId="65B99DEC"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для системы государственного управления в целом разработанные классификация и модель могут служить шаблоном для других региональных и муниципальных органов власти, стремящихся к модернизации своих процессов стратегического планирования. Исследование вносит вклад в повышение профессиональных стандартов управленческой деятельности в публичном секторе.</w:t>
      </w:r>
    </w:p>
    <w:p w14:paraId="1CEC4A51"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контексте практической значимости данное исследование также направлено на решение кадрово-образовательной проблемы. Разработанный классификатор и модель могут лечь в основу программ повышения квалификации и тренингов для государственных служащих, занятых в стратегическом планировании. Систематизация инструментов по этапам </w:t>
      </w:r>
      <w:r>
        <w:rPr>
          <w:rFonts w:ascii="Times New Roman" w:hAnsi="Times New Roman" w:cs="Times New Roman"/>
          <w:sz w:val="28"/>
          <w:szCs w:val="28"/>
        </w:rPr>
        <w:lastRenderedPageBreak/>
        <w:t>процесса и типам задач создает четкую и понятную навигационную карту для практиков, снижая порог входа в использование современных методик. Как показывает опыт внедрения подобных систем в корпоративном секторе, это способствует формированию единого понятийного аппарата в команде и повышению зрелости управленческих процессов [14].</w:t>
      </w:r>
    </w:p>
    <w:p w14:paraId="2FEBC843" w14:textId="77777777" w:rsidR="00495387" w:rsidRDefault="00495387">
      <w:pPr>
        <w:spacing w:after="0" w:line="360" w:lineRule="auto"/>
        <w:ind w:firstLine="709"/>
        <w:jc w:val="both"/>
        <w:rPr>
          <w:sz w:val="12"/>
          <w:szCs w:val="12"/>
        </w:rPr>
      </w:pPr>
    </w:p>
    <w:p w14:paraId="036E8D15" w14:textId="77777777" w:rsidR="00495387" w:rsidRPr="00AF39D9" w:rsidRDefault="00000000" w:rsidP="00AF39D9">
      <w:pPr>
        <w:pStyle w:val="3"/>
        <w:spacing w:before="0" w:after="0" w:line="240" w:lineRule="auto"/>
        <w:ind w:left="709"/>
        <w:rPr>
          <w:rFonts w:ascii="Times New Roman" w:hAnsi="Times New Roman" w:cs="Times New Roman"/>
          <w:color w:val="000000" w:themeColor="text1"/>
          <w:sz w:val="30"/>
          <w:szCs w:val="30"/>
        </w:rPr>
      </w:pPr>
      <w:bookmarkStart w:id="4" w:name="_Toc219409925"/>
      <w:r w:rsidRPr="00AF39D9">
        <w:rPr>
          <w:rFonts w:ascii="Times New Roman" w:hAnsi="Times New Roman" w:cs="Times New Roman"/>
          <w:color w:val="000000" w:themeColor="text1"/>
          <w:sz w:val="30"/>
          <w:szCs w:val="30"/>
        </w:rPr>
        <w:t>1.3 Научно-методические подходы к исследованию проблемы и обоснование выбора</w:t>
      </w:r>
      <w:bookmarkEnd w:id="4"/>
    </w:p>
    <w:p w14:paraId="432710D5" w14:textId="77777777" w:rsidR="00495387" w:rsidRDefault="00495387">
      <w:pPr>
        <w:spacing w:after="0" w:line="240" w:lineRule="auto"/>
        <w:ind w:left="709"/>
        <w:jc w:val="both"/>
        <w:rPr>
          <w:rFonts w:ascii="Times New Roman" w:hAnsi="Times New Roman" w:cs="Times New Roman"/>
          <w:sz w:val="12"/>
          <w:szCs w:val="12"/>
        </w:rPr>
      </w:pPr>
    </w:p>
    <w:p w14:paraId="4CBD89AE"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Для всестороннего изучения сформулированной проблемы целесообразно применение синтеза нескольких взаимодополняющих научно-методических подходов:</w:t>
      </w:r>
    </w:p>
    <w:p w14:paraId="1E57AAEF" w14:textId="77777777" w:rsidR="00495387" w:rsidRDefault="00000000">
      <w:pPr>
        <w:pStyle w:val="af"/>
        <w:numPr>
          <w:ilvl w:val="0"/>
          <w:numId w:val="3"/>
        </w:numPr>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t>Системный подход. Он позволяет рассматривать методический инструментарий не как набор разрозненных методов, а как целостную систему, встроенную в более крупную систему стратегического управления организацией. В рамках этого подхода анализируются взаимосвязи между инструментами, этапами процесса и организационной структурой. Это ключевой подход для достижения цели разработки структурно-функциональной модели, что отражено в работах по теории систем [8].</w:t>
      </w:r>
    </w:p>
    <w:p w14:paraId="24455AAF" w14:textId="77777777" w:rsidR="00495387" w:rsidRDefault="00000000">
      <w:pPr>
        <w:pStyle w:val="af"/>
        <w:numPr>
          <w:ilvl w:val="0"/>
          <w:numId w:val="3"/>
        </w:numPr>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t>Процессный подход. Акцентирует внимание на деятельности как на процессе – непрерывной цепи взаимосвязанных операций. Применительно к исследованию, это означает изучение процесса разработки стратегического решения от инициации до утверждения, с идентификацией на каждом этапе используемых (или потенциально необходимых) методических инструментов. Данный подход напрямую связан с задачами анализа практик в конкретном министерстве и является стандартом для моделирования бизнес-процессов [9].</w:t>
      </w:r>
    </w:p>
    <w:p w14:paraId="13B4A679" w14:textId="77777777" w:rsidR="00495387" w:rsidRDefault="00000000">
      <w:pPr>
        <w:pStyle w:val="af"/>
        <w:numPr>
          <w:ilvl w:val="0"/>
          <w:numId w:val="3"/>
        </w:numPr>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t xml:space="preserve">Контекстуальный (ситуационный) подход. Исходит из предпосылки, что не существует универсального «лучшего» набора инструментов. Их эффективность зависит от конкретных условий (контекста): типа стратегической задачи, отраслевой специфики, организационной культуры, ресурсного обеспечения. Этот подход обосновывает необходимость </w:t>
      </w:r>
      <w:r>
        <w:rPr>
          <w:rFonts w:ascii="Times New Roman" w:hAnsi="Times New Roman" w:cs="Times New Roman"/>
          <w:sz w:val="28"/>
          <w:szCs w:val="28"/>
        </w:rPr>
        <w:lastRenderedPageBreak/>
        <w:t>адаптации инструментария и разработки гибких рекомендаций, а не жестких предписаний, и находит свое отражение в современных исследованиях экономической динамики [10].</w:t>
      </w:r>
    </w:p>
    <w:p w14:paraId="14631A98" w14:textId="77777777" w:rsidR="00495387" w:rsidRDefault="00000000">
      <w:pPr>
        <w:pStyle w:val="af"/>
        <w:numPr>
          <w:ilvl w:val="0"/>
          <w:numId w:val="3"/>
        </w:numPr>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t>Институциональный подход. Помогает понять, как формальные правила (законы, регламенты, стандарты) и неформальные нормы (сложившиеся традиции, «правила игры») внутри государственного органа влияют на выбор, применение и восприятие методических инструментов. Это важно для анализа барьеров на пути внедрения новых практик, что подробно изучается в социологических исследованиях публичного сектора [15].</w:t>
      </w:r>
    </w:p>
    <w:p w14:paraId="38FFFA42"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Для реализации интегрального взгляда, составляющего авторскую позицию, необходимо также задействовать сравнительный подход. Он будет применен на двух уровнях: во-первых, для сопоставления теоретических моделей инструментария из разных научных школ, и, во-вторых, для эмпирического сравнения практик использования инструментов в различных структурных подразделениях объекта исследования. Такой анализ позволит выявить не только общие закономерности, но и ситуационные различия, обусловленные спецификой задач подразделений, что напрямую связано с контекстуальным подходом.</w:t>
      </w:r>
    </w:p>
    <w:p w14:paraId="4F3082ED"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Кроме того, для анализа собранных качественных данных (текстов интервью, документов) будет активно использоваться метод качественного контент-анализа, основанный на процедурах кодирования и тематического анализа. Это позволит перейти от простого перечисления упоминаемых в интервью методов к выявлению глубинных смыслов, которые вкладывают в их использование респонденты. Именно на этом уровне наиболее продуктивно работает институциональный подход, помогая расшифровать влияние неформальных норм и сложившихся рутин на управленческое поведение [15].</w:t>
      </w:r>
    </w:p>
    <w:p w14:paraId="131BACD8"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Авторская точка зрения заключается в необходимости интеграции этих подходов. Системный и процессный подходы задают структурно-функциональный «каркас» исследования, позволяя описать объект. </w:t>
      </w:r>
      <w:r>
        <w:rPr>
          <w:rFonts w:ascii="Times New Roman" w:hAnsi="Times New Roman" w:cs="Times New Roman"/>
          <w:sz w:val="28"/>
          <w:szCs w:val="28"/>
        </w:rPr>
        <w:lastRenderedPageBreak/>
        <w:t>Контекстуальный и сравнительный подходы наполняют этот каркас конкретным содержанием, связывая выбор инструментов с реальными ситуациями и выявляя вариативность практик. Институциональный подход и качественные методы анализа дают ключ к пониманию причин текущего состояния и возможных путей трансформации практик, раскрывая человеческое измерение управления. Такой комплексный взгляд позволяет не только диагностировать проблему, но и предложить реалистичные и обоснованные пути ее решения, учитывающие как технологическую (инструменты), так и человеческую (культура, нормы) составляющие управления.</w:t>
      </w:r>
    </w:p>
    <w:p w14:paraId="27C29FC7"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Таким образом, теоретический анализ подтверждает высокую актуальность и практическую востребованность исследования, выявляет недостаточно изученные аспекты проблемы и обосновывает выбор методологического аппарата для ее глубокого изучения в последующих разделах работы.</w:t>
      </w:r>
    </w:p>
    <w:p w14:paraId="70786FCE" w14:textId="77777777" w:rsidR="00495387" w:rsidRDefault="00000000">
      <w:pPr>
        <w:spacing w:after="0" w:line="360" w:lineRule="auto"/>
        <w:ind w:firstLine="709"/>
        <w:jc w:val="both"/>
        <w:rPr>
          <w:rFonts w:ascii="Times New Roman" w:hAnsi="Times New Roman" w:cs="Times New Roman"/>
          <w:sz w:val="28"/>
          <w:szCs w:val="28"/>
        </w:rPr>
      </w:pPr>
      <w:r>
        <w:br w:type="page"/>
      </w:r>
    </w:p>
    <w:p w14:paraId="57661BDC" w14:textId="77777777" w:rsidR="00495387" w:rsidRPr="00AF39D9" w:rsidRDefault="00000000" w:rsidP="00AF39D9">
      <w:pPr>
        <w:pStyle w:val="2"/>
        <w:spacing w:before="0" w:after="0" w:line="360" w:lineRule="auto"/>
        <w:ind w:left="709"/>
        <w:rPr>
          <w:rFonts w:ascii="Arial CYR" w:hAnsi="Arial CYR" w:cs="Times New Roman"/>
          <w:color w:val="000000" w:themeColor="text1"/>
          <w:sz w:val="30"/>
          <w:szCs w:val="30"/>
        </w:rPr>
      </w:pPr>
      <w:bookmarkStart w:id="5" w:name="_Toc219409926"/>
      <w:r w:rsidRPr="00AF39D9">
        <w:rPr>
          <w:rFonts w:ascii="Arial CYR" w:hAnsi="Arial CYR" w:cs="Times New Roman"/>
          <w:color w:val="000000" w:themeColor="text1"/>
          <w:sz w:val="30"/>
          <w:szCs w:val="30"/>
        </w:rPr>
        <w:lastRenderedPageBreak/>
        <w:t>2. Синтезирующие аспекты методического инструментария разработки стратегических управленческих решений</w:t>
      </w:r>
      <w:bookmarkEnd w:id="5"/>
    </w:p>
    <w:p w14:paraId="0347A1AA" w14:textId="77777777" w:rsidR="00495387" w:rsidRDefault="00495387">
      <w:pPr>
        <w:spacing w:after="0" w:line="240" w:lineRule="auto"/>
        <w:ind w:left="709"/>
        <w:rPr>
          <w:rFonts w:ascii="Times New Roman" w:hAnsi="Times New Roman" w:cs="Times New Roman"/>
        </w:rPr>
      </w:pPr>
    </w:p>
    <w:p w14:paraId="6E11A8F5" w14:textId="77777777" w:rsidR="00495387" w:rsidRPr="00AF39D9" w:rsidRDefault="00000000" w:rsidP="00AF39D9">
      <w:pPr>
        <w:pStyle w:val="3"/>
        <w:spacing w:before="0" w:after="0" w:line="240" w:lineRule="auto"/>
        <w:ind w:left="709"/>
        <w:rPr>
          <w:color w:val="000000" w:themeColor="text1"/>
        </w:rPr>
      </w:pPr>
      <w:bookmarkStart w:id="6" w:name="_Toc219409927"/>
      <w:r w:rsidRPr="00AF39D9">
        <w:rPr>
          <w:rFonts w:ascii="Arial CYR" w:hAnsi="Arial CYR" w:cs="Times New Roman"/>
          <w:color w:val="000000" w:themeColor="text1"/>
        </w:rPr>
        <w:t>2.1 Анализ основных результатов научных исследований и формирование научного словаря</w:t>
      </w:r>
      <w:bookmarkEnd w:id="6"/>
    </w:p>
    <w:p w14:paraId="368BB3AC" w14:textId="77777777" w:rsidR="00495387" w:rsidRDefault="00495387">
      <w:pPr>
        <w:spacing w:after="0" w:line="240" w:lineRule="auto"/>
        <w:ind w:left="709"/>
        <w:rPr>
          <w:rFonts w:ascii="Arial CYR" w:hAnsi="Arial CYR" w:cs="Times New Roman"/>
        </w:rPr>
      </w:pPr>
    </w:p>
    <w:p w14:paraId="287890D9"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Позиция автора в отношении проблемы исследования сформирована под влиянием синтеза взглядов ведущих отечественных и зарубежных ученых и практиков. Их вклад представлен в алфавитном порядке с ретроспективным комментарием о развитии идей.</w:t>
      </w:r>
    </w:p>
    <w:p w14:paraId="3459939F"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Брайсон Дж.М. (Bryson J.M.) – современный классик стратегического управления в публичном и некоммерческом секторе. Его фундаментальный вклад заключается в разработке циклической модели стратегического планирования, где каждому этапу (инициация, анализ заинтересованных сторон, формулировка стратегии, реализация, оценка) поставлен в соответствие конкретный методический инструментарий [4]. Его работы задают стандарт системного подхода к стратегированию в государственных организациях.</w:t>
      </w:r>
    </w:p>
    <w:p w14:paraId="6B811CD7"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Глазьев С.Ю. – вносит макроэкономический и долгосрочный контекст в проблему инструментария. Его подход связывает выбор стратегических методов с динамикой технологических укладов, обосновывая необходимость прогностических инструментов, ориентированных на структурные преобразования экономики, что актуально для органов экономического развития [10].</w:t>
      </w:r>
    </w:p>
    <w:p w14:paraId="533C5B64"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Захаров А.А. – представляет современную социологическую перспективу. Его исследования в области «стратегизации» смещают фокус с инструментов как артефактов на инструменты как социальные практики, подчеркивая их роль в коммуникации, согласовании интересов и организационном смыслообразовании [13]. Это позволяет критически оценить формальное применение методов.</w:t>
      </w:r>
    </w:p>
    <w:p w14:paraId="4D8AEBC3"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Кузнецов Ю.В. – вносит существенный вклад в адаптацию инструментария стратегического управления к региональному уровню. Его работы посвящены специфическим инструментам пространственного анализа, оценки кластерного потенциала и конкурентных преимуществ территорий, что напрямую соотносится с деятельностью региональных министерств экономики [6].</w:t>
      </w:r>
    </w:p>
    <w:p w14:paraId="658368E9"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Минцберг Г. (Mintzberg H.) – хотя его основные труды написаны ранее, современные интерпретации и критика «школы планирования» остаются крайне актуальными. Его идеи о том, что стратегия часто emerges (проявляется) в процессе деятельности, а не только планируется формально, предостерегают от фетишизации инструментов и указывают на важность анализа неформальных процессов в организации [16].</w:t>
      </w:r>
    </w:p>
    <w:p w14:paraId="7D5CA103"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Пойстер Т.Х. (Poister T.H.) – его современные мета-анализы эффективности стратегического управления в госсекторе предоставляют эмпирическую базу для оценки результативности различных методик. Он демонстрирует связь между системным использованием инструментов (например, сбалансированной системы показателей) и улучшением организационных результатов [5].</w:t>
      </w:r>
    </w:p>
    <w:p w14:paraId="6599DF48"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Петров А.В. – конкретизирует проблему применительно к российской практике государственного управления. Его работы четко фиксируют разрыв между теорией и практикой, бюрократические барьеры на пути внедрения современных инструментов и доминирование формальных процедур над содержательным анализом [1].</w:t>
      </w:r>
    </w:p>
    <w:p w14:paraId="5B17BC46"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Сидоров Н.П. – предлагает практико-ориентированный взгляд, акцентирующий внимание на «методическом конструкторе». Его вклад – в продвижении идеи ситуационного комбинирования инструментов в зависимости от задачи, а не следования жестким шаблонам [3].</w:t>
      </w:r>
    </w:p>
    <w:p w14:paraId="389EB195"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Теплова Т.В. – в контексте данного исследования важны ее работы, касающиеся зрелости бизнес-процессов и управленческих инноваций. Она показывает, что успех внедрения любого инструментария зависит от уровня </w:t>
      </w:r>
      <w:r>
        <w:rPr>
          <w:rFonts w:ascii="Times New Roman" w:hAnsi="Times New Roman" w:cs="Times New Roman"/>
          <w:sz w:val="28"/>
          <w:szCs w:val="28"/>
        </w:rPr>
        <w:lastRenderedPageBreak/>
        <w:t>организационного развития, что позволяет диагностировать готовность организации к изменениям [14].</w:t>
      </w:r>
    </w:p>
    <w:p w14:paraId="3B0F670A"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Федоров А.С. – фокусируется на нишевом, но критически важном сегменте инструментария – антикризисном стратегическом управлении. Его анализ выявляет дефицит адаптированных методов для работы в условиях турбулентности и санкций, что дополняет общую картину проблемного поля [12].</w:t>
      </w:r>
    </w:p>
    <w:p w14:paraId="58F0B02A"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Научный словарь терминов «проблемного поля» исследований:</w:t>
      </w:r>
    </w:p>
    <w:p w14:paraId="24A32AAE"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Методический инструментарий -система методов, техник, моделей и шаблонов, используемых для сбора информации, анализа, генерации, оценки и выбора стратегических альтернатив.</w:t>
      </w:r>
    </w:p>
    <w:p w14:paraId="22A90C83"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Стратегическое управленческое решение - обоснованный выбор долгосрочного направления развития организации, определяющий распределение ключевых ресурсов и сопряженный с высокой степенью неопределенности и риска.</w:t>
      </w:r>
    </w:p>
    <w:p w14:paraId="4A51B303"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Стратегизация (strategizing) - социальный процесс непрерывного формирования стратегии через повседневные управленческие практики, коммуникации и интерпретации, где формальные инструменты выступают артефактами этого процесса.</w:t>
      </w:r>
    </w:p>
    <w:p w14:paraId="3B4D677C"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Публичный сектор - совокупность организаций, находящихся в государственной собственности и/или управлении, чья деятельность направлена на предоставление общественных благ и реализацию государственной политики.</w:t>
      </w:r>
    </w:p>
    <w:p w14:paraId="2387E161"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Контекстуальный (ситуационный) подход -методологическая установка, предполагающая, что оптимальное управленческое решение и инструменты для его разработки зависят от конкретной совокупности внешних и внутренних обстоятельств (контекста).</w:t>
      </w:r>
    </w:p>
    <w:p w14:paraId="2EDE1E35" w14:textId="77777777" w:rsidR="00495387" w:rsidRDefault="00495387">
      <w:pPr>
        <w:spacing w:after="0" w:line="360" w:lineRule="auto"/>
        <w:ind w:firstLine="709"/>
        <w:jc w:val="both"/>
        <w:rPr>
          <w:sz w:val="12"/>
          <w:szCs w:val="12"/>
        </w:rPr>
      </w:pPr>
    </w:p>
    <w:p w14:paraId="1A39942C" w14:textId="77777777" w:rsidR="00495387" w:rsidRPr="00AF39D9" w:rsidRDefault="00000000" w:rsidP="00AF39D9">
      <w:pPr>
        <w:pStyle w:val="3"/>
        <w:spacing w:before="0" w:after="0" w:line="240" w:lineRule="auto"/>
        <w:ind w:left="709"/>
        <w:rPr>
          <w:rFonts w:ascii="Arial CYR" w:hAnsi="Arial CYR"/>
          <w:color w:val="000000" w:themeColor="text1"/>
        </w:rPr>
      </w:pPr>
      <w:bookmarkStart w:id="7" w:name="_Toc219409928"/>
      <w:r w:rsidRPr="00AF39D9">
        <w:rPr>
          <w:rFonts w:ascii="Arial CYR" w:hAnsi="Arial CYR" w:cs="Times New Roman"/>
          <w:color w:val="000000" w:themeColor="text1"/>
        </w:rPr>
        <w:t>2.2 Мониторинг нормативно-правовых актов РФ, регулирующих проблемное поле</w:t>
      </w:r>
      <w:bookmarkEnd w:id="7"/>
    </w:p>
    <w:p w14:paraId="2DF62950" w14:textId="77777777" w:rsidR="00495387" w:rsidRDefault="00495387">
      <w:pPr>
        <w:spacing w:after="0" w:line="240" w:lineRule="auto"/>
        <w:ind w:left="709"/>
        <w:jc w:val="both"/>
        <w:rPr>
          <w:rFonts w:cs="Times New Roman"/>
        </w:rPr>
      </w:pPr>
    </w:p>
    <w:p w14:paraId="579BA6EC"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Правовую основу для применения методического инструментария в государственном секторе формирует система законодательных и подзаконных актов. Их анализ позволяет выявить как стимулирующие, так и ограничивающие факторы. Анализ нормативно-правовых актов представлен в таблице 1.</w:t>
      </w:r>
    </w:p>
    <w:p w14:paraId="095F82CE" w14:textId="77777777" w:rsidR="00495387" w:rsidRDefault="00495387">
      <w:pPr>
        <w:spacing w:after="0" w:line="360" w:lineRule="auto"/>
        <w:ind w:firstLine="709"/>
        <w:jc w:val="both"/>
        <w:rPr>
          <w:sz w:val="24"/>
          <w:szCs w:val="24"/>
        </w:rPr>
      </w:pPr>
    </w:p>
    <w:p w14:paraId="3029CEDC" w14:textId="77777777" w:rsidR="00495387" w:rsidRDefault="00000000">
      <w:pPr>
        <w:spacing w:after="0" w:line="360" w:lineRule="auto"/>
        <w:ind w:firstLine="709"/>
      </w:pPr>
      <w:r>
        <w:rPr>
          <w:rFonts w:ascii="Times New Roman" w:hAnsi="Times New Roman" w:cs="Times New Roman"/>
          <w:sz w:val="28"/>
          <w:szCs w:val="28"/>
        </w:rPr>
        <w:t>Таблица 1 - Анализ нормативно - правовых актов</w:t>
      </w:r>
    </w:p>
    <w:p w14:paraId="4EF1A656" w14:textId="77777777" w:rsidR="00495387" w:rsidRDefault="00495387">
      <w:pPr>
        <w:spacing w:after="0" w:line="360" w:lineRule="auto"/>
        <w:ind w:firstLine="709"/>
        <w:rPr>
          <w:rFonts w:ascii="Times New Roman" w:hAnsi="Times New Roman" w:cs="Times New Roman"/>
        </w:rPr>
      </w:pPr>
    </w:p>
    <w:tbl>
      <w:tblPr>
        <w:tblStyle w:val="af3"/>
        <w:tblW w:w="9345" w:type="dxa"/>
        <w:tblLayout w:type="fixed"/>
        <w:tblLook w:val="04A0" w:firstRow="1" w:lastRow="0" w:firstColumn="1" w:lastColumn="0" w:noHBand="0" w:noVBand="1"/>
      </w:tblPr>
      <w:tblGrid>
        <w:gridCol w:w="2076"/>
        <w:gridCol w:w="700"/>
        <w:gridCol w:w="3175"/>
        <w:gridCol w:w="3394"/>
      </w:tblGrid>
      <w:tr w:rsidR="00495387" w14:paraId="143A8150" w14:textId="77777777">
        <w:trPr>
          <w:trHeight w:val="1075"/>
          <w:tblHeader/>
        </w:trPr>
        <w:tc>
          <w:tcPr>
            <w:tcW w:w="2075" w:type="dxa"/>
            <w:tcBorders>
              <w:right w:val="nil"/>
            </w:tcBorders>
            <w:vAlign w:val="center"/>
          </w:tcPr>
          <w:p w14:paraId="278717F8" w14:textId="77777777" w:rsidR="00495387" w:rsidRDefault="00000000">
            <w:pPr>
              <w:spacing w:after="0" w:line="360" w:lineRule="auto"/>
              <w:jc w:val="center"/>
              <w:rPr>
                <w:rFonts w:ascii="Aptos" w:eastAsia="Aptos" w:hAnsi="Aptos"/>
                <w:sz w:val="24"/>
                <w:szCs w:val="24"/>
              </w:rPr>
            </w:pPr>
            <w:r>
              <w:rPr>
                <w:rFonts w:ascii="Times New Roman" w:eastAsia="Aptos" w:hAnsi="Times New Roman" w:cs="Times New Roman"/>
                <w:b/>
                <w:bCs/>
                <w:sz w:val="24"/>
                <w:szCs w:val="24"/>
              </w:rPr>
              <w:t>Наименование акта</w:t>
            </w:r>
          </w:p>
        </w:tc>
        <w:tc>
          <w:tcPr>
            <w:tcW w:w="700" w:type="dxa"/>
            <w:tcBorders>
              <w:right w:val="nil"/>
            </w:tcBorders>
            <w:vAlign w:val="center"/>
          </w:tcPr>
          <w:p w14:paraId="04AF6010" w14:textId="77777777" w:rsidR="00495387" w:rsidRDefault="00000000">
            <w:pPr>
              <w:spacing w:after="0" w:line="360" w:lineRule="auto"/>
              <w:jc w:val="center"/>
              <w:rPr>
                <w:rFonts w:ascii="Aptos" w:eastAsia="Aptos" w:hAnsi="Aptos"/>
                <w:sz w:val="24"/>
                <w:szCs w:val="24"/>
              </w:rPr>
            </w:pPr>
            <w:r>
              <w:rPr>
                <w:rFonts w:ascii="Times New Roman" w:eastAsia="Aptos" w:hAnsi="Times New Roman" w:cs="Times New Roman"/>
                <w:b/>
                <w:bCs/>
                <w:sz w:val="24"/>
                <w:szCs w:val="24"/>
              </w:rPr>
              <w:t>Год</w:t>
            </w:r>
          </w:p>
        </w:tc>
        <w:tc>
          <w:tcPr>
            <w:tcW w:w="3175" w:type="dxa"/>
            <w:tcBorders>
              <w:right w:val="nil"/>
            </w:tcBorders>
            <w:vAlign w:val="center"/>
          </w:tcPr>
          <w:p w14:paraId="5704E68E" w14:textId="77777777" w:rsidR="00495387" w:rsidRDefault="00000000">
            <w:pPr>
              <w:spacing w:after="0" w:line="360" w:lineRule="auto"/>
              <w:jc w:val="center"/>
              <w:rPr>
                <w:rFonts w:ascii="Aptos" w:eastAsia="Aptos" w:hAnsi="Aptos"/>
                <w:sz w:val="24"/>
                <w:szCs w:val="24"/>
              </w:rPr>
            </w:pPr>
            <w:r>
              <w:rPr>
                <w:rFonts w:ascii="Times New Roman" w:eastAsia="Aptos" w:hAnsi="Times New Roman" w:cs="Times New Roman"/>
                <w:b/>
                <w:bCs/>
                <w:sz w:val="24"/>
                <w:szCs w:val="24"/>
              </w:rPr>
              <w:t>Основные положения, касающиеся инструментария</w:t>
            </w:r>
          </w:p>
        </w:tc>
        <w:tc>
          <w:tcPr>
            <w:tcW w:w="3394" w:type="dxa"/>
            <w:vAlign w:val="center"/>
          </w:tcPr>
          <w:p w14:paraId="720DBDE2" w14:textId="77777777" w:rsidR="00495387" w:rsidRDefault="00000000">
            <w:pPr>
              <w:spacing w:after="0" w:line="360" w:lineRule="auto"/>
              <w:jc w:val="center"/>
              <w:rPr>
                <w:rFonts w:ascii="Aptos" w:eastAsia="Aptos" w:hAnsi="Aptos"/>
                <w:sz w:val="24"/>
                <w:szCs w:val="24"/>
              </w:rPr>
            </w:pPr>
            <w:r>
              <w:rPr>
                <w:rFonts w:ascii="Times New Roman" w:eastAsia="Aptos" w:hAnsi="Times New Roman" w:cs="Times New Roman"/>
                <w:b/>
                <w:bCs/>
                <w:sz w:val="24"/>
                <w:szCs w:val="24"/>
              </w:rPr>
              <w:t>Влияние на проблемное поле (позитивное / негативное)</w:t>
            </w:r>
          </w:p>
        </w:tc>
      </w:tr>
      <w:tr w:rsidR="00495387" w14:paraId="67303F4E" w14:textId="77777777">
        <w:tc>
          <w:tcPr>
            <w:tcW w:w="2075" w:type="dxa"/>
          </w:tcPr>
          <w:p w14:paraId="237F976E"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Федеральный закон № 172-ФЗ «О стратегическом планировании в Российской Федерации»</w:t>
            </w:r>
          </w:p>
        </w:tc>
        <w:tc>
          <w:tcPr>
            <w:tcW w:w="700" w:type="dxa"/>
          </w:tcPr>
          <w:p w14:paraId="70E127BB"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2014</w:t>
            </w:r>
          </w:p>
        </w:tc>
        <w:tc>
          <w:tcPr>
            <w:tcW w:w="3175" w:type="dxa"/>
          </w:tcPr>
          <w:p w14:paraId="08BE29CC"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Устанавливает единую систему и обязательные процедуры стратегического планирования на всех уровнях власти. Определяет перечень документов (стратегии, программы, проекты), но не детализирует методики их разработки.</w:t>
            </w:r>
          </w:p>
        </w:tc>
        <w:tc>
          <w:tcPr>
            <w:tcW w:w="3394" w:type="dxa"/>
          </w:tcPr>
          <w:p w14:paraId="02562A24"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Позитивное: создает обязательные рамки для стратегической деятельности, повышает ее системность.</w:t>
            </w:r>
          </w:p>
          <w:p w14:paraId="3E9B4EF1"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Негативное: акцент на формальном соблюдении процедур и утверждении документов может вытеснять содержательную аналитическую работу с инструментарием.</w:t>
            </w:r>
          </w:p>
        </w:tc>
      </w:tr>
      <w:tr w:rsidR="00495387" w14:paraId="52C4F640" w14:textId="77777777">
        <w:tc>
          <w:tcPr>
            <w:tcW w:w="2075" w:type="dxa"/>
          </w:tcPr>
          <w:p w14:paraId="40F97651"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Постановление Правительства РФ № 1180 «О порядке разработки, реализации и оценки эффективности государственных программ РФ»</w:t>
            </w:r>
          </w:p>
        </w:tc>
        <w:tc>
          <w:tcPr>
            <w:tcW w:w="700" w:type="dxa"/>
          </w:tcPr>
          <w:p w14:paraId="3D3CD93E"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2020</w:t>
            </w:r>
          </w:p>
        </w:tc>
        <w:tc>
          <w:tcPr>
            <w:tcW w:w="3175" w:type="dxa"/>
          </w:tcPr>
          <w:p w14:paraId="6266F4DD"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Регламентирует использование логико-целевого подхода, требует формулировки целей, показателей, результатов. Фактически предписывает применение таких инструментов, как дерево целей и система показателей.</w:t>
            </w:r>
          </w:p>
        </w:tc>
        <w:tc>
          <w:tcPr>
            <w:tcW w:w="3394" w:type="dxa"/>
          </w:tcPr>
          <w:p w14:paraId="22CCBE38"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Позитивное: внедряет единые стандарты программирования, способствует дисциплине в использовании базовых инструментов планирования.</w:t>
            </w:r>
          </w:p>
          <w:p w14:paraId="23AA2E75"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Негативное: может приводить к шаблонному, бюрократическому заполнению форм без глубокого анализа.</w:t>
            </w:r>
          </w:p>
        </w:tc>
      </w:tr>
      <w:tr w:rsidR="00495387" w14:paraId="71C3340A" w14:textId="77777777">
        <w:tc>
          <w:tcPr>
            <w:tcW w:w="2075" w:type="dxa"/>
          </w:tcPr>
          <w:p w14:paraId="6927D47B"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 xml:space="preserve">Стандарт развития </w:t>
            </w:r>
            <w:r>
              <w:rPr>
                <w:rFonts w:ascii="Times New Roman" w:eastAsia="Aptos" w:hAnsi="Times New Roman" w:cs="Times New Roman"/>
                <w:sz w:val="24"/>
                <w:szCs w:val="24"/>
              </w:rPr>
              <w:lastRenderedPageBreak/>
              <w:t>конкуренции в субъектах РФ (утв. Распоряжением Правительства РФ)</w:t>
            </w:r>
          </w:p>
        </w:tc>
        <w:tc>
          <w:tcPr>
            <w:tcW w:w="700" w:type="dxa"/>
          </w:tcPr>
          <w:p w14:paraId="380F6DB7"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lastRenderedPageBreak/>
              <w:t>2019</w:t>
            </w:r>
          </w:p>
        </w:tc>
        <w:tc>
          <w:tcPr>
            <w:tcW w:w="3175" w:type="dxa"/>
          </w:tcPr>
          <w:p w14:paraId="42F0E90F"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 xml:space="preserve">Содержит рекомендации по проведению анализа </w:t>
            </w:r>
            <w:r>
              <w:rPr>
                <w:rFonts w:ascii="Times New Roman" w:eastAsia="Aptos" w:hAnsi="Times New Roman" w:cs="Times New Roman"/>
                <w:sz w:val="24"/>
                <w:szCs w:val="24"/>
              </w:rPr>
              <w:lastRenderedPageBreak/>
              <w:t>состояния конкуренции (в т.ч. с использованием benchmark-анализа), что подразумевает применение соответствующих аналитических инструментов региональными органами власти.</w:t>
            </w:r>
          </w:p>
        </w:tc>
        <w:tc>
          <w:tcPr>
            <w:tcW w:w="3394" w:type="dxa"/>
          </w:tcPr>
          <w:p w14:paraId="2F29CDA6"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lastRenderedPageBreak/>
              <w:t xml:space="preserve">Позитивное: стимулирует использование конкретного </w:t>
            </w:r>
            <w:r>
              <w:rPr>
                <w:rFonts w:ascii="Times New Roman" w:eastAsia="Aptos" w:hAnsi="Times New Roman" w:cs="Times New Roman"/>
                <w:sz w:val="24"/>
                <w:szCs w:val="24"/>
              </w:rPr>
              <w:lastRenderedPageBreak/>
              <w:t>сравнительного инструментария (бенчмаркинга) в аналитической работе органов власти.</w:t>
            </w:r>
          </w:p>
        </w:tc>
      </w:tr>
      <w:tr w:rsidR="00495387" w14:paraId="41E4C773" w14:textId="77777777">
        <w:tc>
          <w:tcPr>
            <w:tcW w:w="2075" w:type="dxa"/>
          </w:tcPr>
          <w:p w14:paraId="68B0628F"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Закон Приморского края «О стратегическом планировании в Приморском крае»</w:t>
            </w:r>
          </w:p>
        </w:tc>
        <w:tc>
          <w:tcPr>
            <w:tcW w:w="700" w:type="dxa"/>
          </w:tcPr>
          <w:p w14:paraId="51C1FCC3"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2015</w:t>
            </w:r>
          </w:p>
        </w:tc>
        <w:tc>
          <w:tcPr>
            <w:tcW w:w="3175" w:type="dxa"/>
          </w:tcPr>
          <w:p w14:paraId="1A0AA580"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Детализирует процедуры краевого уровня в рамках ФЗ-172. Может закреплять требования к проведению SWOT-анализа, оценке рисков при разработке стратегий социально-экономического развития.</w:t>
            </w:r>
          </w:p>
        </w:tc>
        <w:tc>
          <w:tcPr>
            <w:tcW w:w="3394" w:type="dxa"/>
          </w:tcPr>
          <w:p w14:paraId="257BDF1E"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Позитивное: адаптирует федеральные требования к региональному контексту, создает основу для формального закрепления инструментов.</w:t>
            </w:r>
          </w:p>
          <w:p w14:paraId="1C2B3D8B"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Негативное: как и на федеральном уровне, может ограничиваться общими формулировками, не способствуя инновациям в методиках.</w:t>
            </w:r>
          </w:p>
        </w:tc>
      </w:tr>
    </w:tbl>
    <w:p w14:paraId="00C46B56" w14:textId="77777777" w:rsidR="00495387" w:rsidRDefault="00495387">
      <w:pPr>
        <w:spacing w:after="0" w:line="360" w:lineRule="auto"/>
        <w:ind w:firstLine="709"/>
        <w:jc w:val="both"/>
        <w:rPr>
          <w:rFonts w:ascii="Times New Roman" w:hAnsi="Times New Roman" w:cs="Times New Roman"/>
          <w:sz w:val="12"/>
          <w:szCs w:val="12"/>
        </w:rPr>
      </w:pPr>
    </w:p>
    <w:p w14:paraId="0A566C95"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Критический анализ показывает, что нормативная база выполняет в основном рамочно-регламентирующую функцию, задавая обязательность стратегического планирования и минимальные стандарты (дерево целей, показатели). Однако она практически не регулирует содержательно-методическую сторону: выбор конкретных инструментов анализа, прогнозирования, оценки альтернатив остается на усмотрение исполнителей. Это создает правовое пространство для вариативности и инноваций, но также порождает риск упрощения и формализации процессов в условиях дефицита компетенций и времени.</w:t>
      </w:r>
    </w:p>
    <w:p w14:paraId="3090354C" w14:textId="77777777" w:rsidR="00495387" w:rsidRDefault="00495387">
      <w:pPr>
        <w:spacing w:after="0" w:line="360" w:lineRule="auto"/>
        <w:ind w:firstLine="709"/>
        <w:jc w:val="both"/>
        <w:rPr>
          <w:sz w:val="12"/>
          <w:szCs w:val="12"/>
        </w:rPr>
      </w:pPr>
    </w:p>
    <w:p w14:paraId="2759672F" w14:textId="77777777" w:rsidR="00495387" w:rsidRPr="00AF39D9" w:rsidRDefault="00000000" w:rsidP="00AF39D9">
      <w:pPr>
        <w:pStyle w:val="3"/>
        <w:spacing w:before="0" w:after="0" w:line="240" w:lineRule="auto"/>
        <w:ind w:left="709"/>
        <w:rPr>
          <w:rFonts w:ascii="Arial CYR" w:hAnsi="Arial CYR"/>
          <w:color w:val="000000" w:themeColor="text1"/>
        </w:rPr>
      </w:pPr>
      <w:bookmarkStart w:id="8" w:name="_Toc219409929"/>
      <w:r w:rsidRPr="00AF39D9">
        <w:rPr>
          <w:rFonts w:ascii="Arial CYR" w:hAnsi="Arial CYR" w:cs="Times New Roman"/>
          <w:color w:val="000000" w:themeColor="text1"/>
        </w:rPr>
        <w:t>2.3 Инструменты институциональной поддержки и механизм государственного регулирования</w:t>
      </w:r>
      <w:bookmarkEnd w:id="8"/>
    </w:p>
    <w:p w14:paraId="2BD84B9B" w14:textId="77777777" w:rsidR="00495387" w:rsidRDefault="00495387">
      <w:pPr>
        <w:spacing w:after="0" w:line="240" w:lineRule="auto"/>
        <w:ind w:left="709"/>
        <w:jc w:val="both"/>
        <w:rPr>
          <w:rFonts w:cs="Times New Roman"/>
        </w:rPr>
      </w:pPr>
    </w:p>
    <w:p w14:paraId="23D94D1E"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Ключевыми инструментами институциональной поддержки, непосредственно влияющими на среду применения методического инструментария, являются документы стратегического планирования высшего уровня.</w:t>
      </w:r>
    </w:p>
    <w:p w14:paraId="627044E3"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Национальные цели и национальные проекты задают макроэкономический и социальный вектор, в рамках которого формируются все региональные и отраслевые стратегии. Их наличие требует от органов власти использования инструментов каскадирования целей, обеспечения согласованности и сложных методов мониторинга с большим числом показателей [17].</w:t>
      </w:r>
    </w:p>
    <w:p w14:paraId="080F9784"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Государственная программа Приморского края «Экономическое развитие и инновационная экономика» является для министерства экономического развития Приморского края ключевым объектом приложения методического инструментария. Ее разработка, актуализация и мониторинг требуют комплексного использования инструментов анализа отраслевых рынков, оценки эффективности мер господдержки, прогнозирования доходов бюджета и т.д. [18].</w:t>
      </w:r>
    </w:p>
    <w:p w14:paraId="5934530E"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Стратегия социально-экономического развития Приморского края – это основополагающий документ, для создания которого необходимы наиболее сложные и комплексные методики: макроэкономическое и сценарное прогнозирование, пространственный анализ, анализ глобальных трендов (PEST-анализ на макромасштабе), оценка конкурентных преимуществ (анализ по М. Портеру) [19].</w:t>
      </w:r>
    </w:p>
    <w:p w14:paraId="47633174"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Блок-схема механизма государственного регулирования процессов в проблемном поле представлена на рисунке 1:</w:t>
      </w:r>
    </w:p>
    <w:tbl>
      <w:tblPr>
        <w:tblStyle w:val="af3"/>
        <w:tblW w:w="9345" w:type="dxa"/>
        <w:tblLayout w:type="fixed"/>
        <w:tblLook w:val="04A0" w:firstRow="1" w:lastRow="0" w:firstColumn="1" w:lastColumn="0" w:noHBand="0" w:noVBand="1"/>
      </w:tblPr>
      <w:tblGrid>
        <w:gridCol w:w="9345"/>
      </w:tblGrid>
      <w:tr w:rsidR="00495387" w14:paraId="47F8C2A0" w14:textId="77777777">
        <w:tc>
          <w:tcPr>
            <w:tcW w:w="9345" w:type="dxa"/>
          </w:tcPr>
          <w:p w14:paraId="436D0229" w14:textId="77777777" w:rsidR="00495387" w:rsidRDefault="00000000">
            <w:pPr>
              <w:spacing w:after="0" w:line="360" w:lineRule="auto"/>
              <w:jc w:val="both"/>
              <w:rPr>
                <w:rFonts w:ascii="Times New Roman" w:hAnsi="Times New Roman" w:cs="Times New Roman"/>
                <w:sz w:val="28"/>
                <w:szCs w:val="28"/>
              </w:rPr>
            </w:pPr>
            <w:r>
              <w:rPr>
                <w:rFonts w:ascii="Times New Roman" w:eastAsia="Aptos" w:hAnsi="Times New Roman" w:cs="Times New Roman"/>
                <w:sz w:val="28"/>
                <w:szCs w:val="28"/>
              </w:rPr>
              <w:t>Внешние вызовы и ограничения (санкции, кризисы)</w:t>
            </w:r>
          </w:p>
        </w:tc>
      </w:tr>
      <w:tr w:rsidR="00495387" w14:paraId="5512FE0D" w14:textId="77777777">
        <w:tc>
          <w:tcPr>
            <w:tcW w:w="9345" w:type="dxa"/>
            <w:tcBorders>
              <w:left w:val="nil"/>
              <w:right w:val="nil"/>
            </w:tcBorders>
          </w:tcPr>
          <w:p w14:paraId="2D4F44E6" w14:textId="065CEA2B" w:rsidR="00495387" w:rsidRPr="0087425C" w:rsidRDefault="000A76E0">
            <w:pPr>
              <w:spacing w:after="0" w:line="360" w:lineRule="auto"/>
              <w:jc w:val="both"/>
              <w:rPr>
                <w:rFonts w:ascii="Times New Roman" w:hAnsi="Times New Roman" w:cs="Times New Roman"/>
                <w:sz w:val="28"/>
                <w:szCs w:val="28"/>
              </w:rPr>
            </w:pPr>
            <w:r>
              <w:rPr>
                <w:noProof/>
              </w:rPr>
              <mc:AlternateContent>
                <mc:Choice Requires="wps">
                  <w:drawing>
                    <wp:anchor distT="0" distB="35560" distL="19050" distR="16510" simplePos="0" relativeHeight="2" behindDoc="0" locked="0" layoutInCell="1" allowOverlap="1" wp14:anchorId="7AE5EA27" wp14:editId="0F24805B">
                      <wp:simplePos x="0" y="0"/>
                      <wp:positionH relativeFrom="column">
                        <wp:posOffset>2385695</wp:posOffset>
                      </wp:positionH>
                      <wp:positionV relativeFrom="paragraph">
                        <wp:posOffset>27940</wp:posOffset>
                      </wp:positionV>
                      <wp:extent cx="326390" cy="250190"/>
                      <wp:effectExtent l="19050" t="0" r="0" b="16510"/>
                      <wp:wrapNone/>
                      <wp:docPr id="88827714" name="Стрелка: вниз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6390" cy="250190"/>
                              </a:xfrm>
                              <a:prstGeom prst="downArrow">
                                <a:avLst>
                                  <a:gd name="adj1" fmla="val 50000"/>
                                  <a:gd name="adj2" fmla="val 50000"/>
                                </a:avLst>
                              </a:prstGeom>
                              <a:solidFill>
                                <a:srgbClr val="FFFFFF"/>
                              </a:solidFill>
                              <a:ln>
                                <a:solidFill>
                                  <a:srgbClr val="000000"/>
                                </a:solidFill>
                              </a:ln>
                            </wps:spPr>
                            <wps:style>
                              <a:lnRef idx="2">
                                <a:schemeClr val="dk1"/>
                              </a:lnRef>
                              <a:fillRef idx="1">
                                <a:schemeClr val="lt1"/>
                              </a:fillRef>
                              <a:effectRef idx="0">
                                <a:schemeClr val="dk1"/>
                              </a:effectRef>
                              <a:fontRef idx="minor"/>
                            </wps:style>
                            <wps:bodyPr/>
                          </wps:wsp>
                        </a:graphicData>
                      </a:graphic>
                      <wp14:sizeRelH relativeFrom="page">
                        <wp14:pctWidth>0</wp14:pctWidth>
                      </wp14:sizeRelH>
                      <wp14:sizeRelV relativeFrom="page">
                        <wp14:pctHeight>0</wp14:pctHeight>
                      </wp14:sizeRelV>
                    </wp:anchor>
                  </w:drawing>
                </mc:Choice>
                <mc:Fallback>
                  <w:pict>
                    <v:shapetype w14:anchorId="11739ECA"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Стрелка: вниз 15" o:spid="_x0000_s1026" type="#_x0000_t67" style="position:absolute;margin-left:187.85pt;margin-top:2.2pt;width:25.7pt;height:19.7pt;z-index:2;visibility:visible;mso-wrap-style:square;mso-width-percent:0;mso-height-percent:0;mso-wrap-distance-left:1.5pt;mso-wrap-distance-top:0;mso-wrap-distance-right:1.3pt;mso-wrap-distance-bottom:2.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" adj="10800" strokeweight="1pt">
                      <v:path arrowok="t"/>
                    </v:shape>
                  </w:pict>
                </mc:Fallback>
              </mc:AlternateContent>
            </w:r>
          </w:p>
        </w:tc>
      </w:tr>
      <w:tr w:rsidR="00495387" w14:paraId="7525D0E3" w14:textId="77777777">
        <w:tc>
          <w:tcPr>
            <w:tcW w:w="9345" w:type="dxa"/>
          </w:tcPr>
          <w:p w14:paraId="54A91209" w14:textId="77777777" w:rsidR="00495387" w:rsidRDefault="00000000">
            <w:pPr>
              <w:spacing w:after="0" w:line="360" w:lineRule="auto"/>
              <w:jc w:val="both"/>
              <w:rPr>
                <w:rFonts w:ascii="Times New Roman" w:hAnsi="Times New Roman" w:cs="Times New Roman"/>
                <w:sz w:val="28"/>
                <w:szCs w:val="28"/>
              </w:rPr>
            </w:pPr>
            <w:r>
              <w:rPr>
                <w:rFonts w:ascii="Times New Roman" w:eastAsia="Aptos" w:hAnsi="Times New Roman" w:cs="Times New Roman"/>
                <w:sz w:val="28"/>
                <w:szCs w:val="28"/>
              </w:rPr>
              <w:lastRenderedPageBreak/>
              <w:t>Федеральное законодательство (ФЗ-172) и национальные цели / проекты (рамочное регулирование)</w:t>
            </w:r>
          </w:p>
        </w:tc>
      </w:tr>
      <w:tr w:rsidR="00495387" w14:paraId="0994E726" w14:textId="77777777">
        <w:tc>
          <w:tcPr>
            <w:tcW w:w="9345" w:type="dxa"/>
            <w:tcBorders>
              <w:left w:val="nil"/>
              <w:right w:val="nil"/>
            </w:tcBorders>
          </w:tcPr>
          <w:p w14:paraId="46CB8AB4" w14:textId="77777777" w:rsidR="00495387" w:rsidRDefault="00495387">
            <w:pPr>
              <w:spacing w:after="0" w:line="360" w:lineRule="auto"/>
              <w:jc w:val="both"/>
              <w:rPr>
                <w:rFonts w:ascii="Times New Roman" w:hAnsi="Times New Roman" w:cs="Times New Roman"/>
                <w:sz w:val="28"/>
                <w:szCs w:val="28"/>
              </w:rPr>
            </w:pPr>
          </w:p>
        </w:tc>
      </w:tr>
      <w:tr w:rsidR="00495387" w14:paraId="7724E3C0" w14:textId="77777777">
        <w:tc>
          <w:tcPr>
            <w:tcW w:w="9345" w:type="dxa"/>
          </w:tcPr>
          <w:p w14:paraId="3074426C" w14:textId="45E6BD59" w:rsidR="00495387" w:rsidRDefault="000A76E0">
            <w:pPr>
              <w:spacing w:after="0" w:line="360" w:lineRule="auto"/>
              <w:jc w:val="both"/>
              <w:rPr>
                <w:rFonts w:ascii="Times New Roman" w:hAnsi="Times New Roman" w:cs="Times New Roman"/>
                <w:sz w:val="28"/>
                <w:szCs w:val="28"/>
              </w:rPr>
            </w:pPr>
            <w:r>
              <w:rPr>
                <w:noProof/>
              </w:rPr>
              <mc:AlternateContent>
                <mc:Choice Requires="wps">
                  <w:drawing>
                    <wp:anchor distT="0" distB="35560" distL="19050" distR="16510" simplePos="0" relativeHeight="3" behindDoc="0" locked="0" layoutInCell="1" allowOverlap="1" wp14:anchorId="3285A138" wp14:editId="5B9D8AE8">
                      <wp:simplePos x="0" y="0"/>
                      <wp:positionH relativeFrom="column">
                        <wp:posOffset>2369820</wp:posOffset>
                      </wp:positionH>
                      <wp:positionV relativeFrom="paragraph">
                        <wp:posOffset>-275590</wp:posOffset>
                      </wp:positionV>
                      <wp:extent cx="326390" cy="250190"/>
                      <wp:effectExtent l="19050" t="0" r="0" b="16510"/>
                      <wp:wrapNone/>
                      <wp:docPr id="298349258" name="Стрелка: вниз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6390" cy="250190"/>
                              </a:xfrm>
                              <a:prstGeom prst="downArrow">
                                <a:avLst>
                                  <a:gd name="adj1" fmla="val 50000"/>
                                  <a:gd name="adj2" fmla="val 50000"/>
                                </a:avLst>
                              </a:prstGeom>
                              <a:solidFill>
                                <a:srgbClr val="FFFFFF"/>
                              </a:solidFill>
                              <a:ln>
                                <a:solidFill>
                                  <a:srgbClr val="000000"/>
                                </a:solidFill>
                              </a:ln>
                            </wps:spPr>
                            <wps:style>
                              <a:lnRef idx="2">
                                <a:schemeClr val="dk1"/>
                              </a:lnRef>
                              <a:fillRef idx="1">
                                <a:schemeClr val="lt1"/>
                              </a:fillRef>
                              <a:effectRef idx="0">
                                <a:schemeClr val="dk1"/>
                              </a:effectRef>
                              <a:fontRef idx="minor"/>
                            </wps:style>
                            <wps:bodyPr/>
                          </wps:wsp>
                        </a:graphicData>
                      </a:graphic>
                      <wp14:sizeRelH relativeFrom="page">
                        <wp14:pctWidth>0</wp14:pctWidth>
                      </wp14:sizeRelH>
                      <wp14:sizeRelV relativeFrom="page">
                        <wp14:pctHeight>0</wp14:pctHeight>
                      </wp14:sizeRelV>
                    </wp:anchor>
                  </w:drawing>
                </mc:Choice>
                <mc:Fallback>
                  <w:pict>
                    <v:shape w14:anchorId="3108F2A5" id="Стрелка: вниз 13" o:spid="_x0000_s1026" type="#_x0000_t67" style="position:absolute;margin-left:186.6pt;margin-top:-21.7pt;width:25.7pt;height:19.7pt;z-index:3;visibility:visible;mso-wrap-style:square;mso-width-percent:0;mso-height-percent:0;mso-wrap-distance-left:1.5pt;mso-wrap-distance-top:0;mso-wrap-distance-right:1.3pt;mso-wrap-distance-bottom:2.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" adj="10800" strokeweight="1pt">
                      <v:path arrowok="t"/>
                    </v:shape>
                  </w:pict>
                </mc:Fallback>
              </mc:AlternateContent>
            </w:r>
            <w:r w:rsidR="00ED7F9A">
              <w:rPr>
                <w:rFonts w:ascii="Times New Roman" w:eastAsia="Aptos" w:hAnsi="Times New Roman" w:cs="Times New Roman"/>
                <w:sz w:val="28"/>
                <w:szCs w:val="28"/>
              </w:rPr>
              <w:t>Региональное законодательство и программы (конкретизация задач и институциональная поддержка)</w:t>
            </w:r>
          </w:p>
        </w:tc>
      </w:tr>
      <w:tr w:rsidR="00495387" w14:paraId="505D177E" w14:textId="77777777">
        <w:tc>
          <w:tcPr>
            <w:tcW w:w="9345" w:type="dxa"/>
            <w:tcBorders>
              <w:left w:val="nil"/>
              <w:right w:val="nil"/>
            </w:tcBorders>
          </w:tcPr>
          <w:p w14:paraId="5D4237A2" w14:textId="77777777" w:rsidR="00495387" w:rsidRDefault="00495387">
            <w:pPr>
              <w:spacing w:after="0" w:line="360" w:lineRule="auto"/>
              <w:jc w:val="both"/>
              <w:rPr>
                <w:rFonts w:ascii="Times New Roman" w:hAnsi="Times New Roman" w:cs="Times New Roman"/>
                <w:sz w:val="28"/>
                <w:szCs w:val="28"/>
              </w:rPr>
            </w:pPr>
          </w:p>
        </w:tc>
      </w:tr>
      <w:tr w:rsidR="00495387" w14:paraId="2B08CDF9" w14:textId="77777777">
        <w:tc>
          <w:tcPr>
            <w:tcW w:w="9345" w:type="dxa"/>
          </w:tcPr>
          <w:p w14:paraId="1E5B2E38" w14:textId="28FB409D" w:rsidR="00495387" w:rsidRDefault="000A76E0">
            <w:pPr>
              <w:spacing w:after="0" w:line="360" w:lineRule="auto"/>
              <w:jc w:val="both"/>
              <w:rPr>
                <w:rFonts w:ascii="Times New Roman" w:hAnsi="Times New Roman" w:cs="Times New Roman"/>
                <w:sz w:val="28"/>
                <w:szCs w:val="28"/>
              </w:rPr>
            </w:pPr>
            <w:r>
              <w:rPr>
                <w:noProof/>
              </w:rPr>
              <mc:AlternateContent>
                <mc:Choice Requires="wps">
                  <w:drawing>
                    <wp:anchor distT="0" distB="35560" distL="19050" distR="16510" simplePos="0" relativeHeight="4" behindDoc="0" locked="0" layoutInCell="1" allowOverlap="1" wp14:anchorId="53824B04" wp14:editId="33AA57E8">
                      <wp:simplePos x="0" y="0"/>
                      <wp:positionH relativeFrom="column">
                        <wp:posOffset>2337435</wp:posOffset>
                      </wp:positionH>
                      <wp:positionV relativeFrom="paragraph">
                        <wp:posOffset>-283210</wp:posOffset>
                      </wp:positionV>
                      <wp:extent cx="326390" cy="250190"/>
                      <wp:effectExtent l="19050" t="0" r="0" b="16510"/>
                      <wp:wrapNone/>
                      <wp:docPr id="2088329580" name="Стрелка: вниз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6390" cy="250190"/>
                              </a:xfrm>
                              <a:prstGeom prst="downArrow">
                                <a:avLst>
                                  <a:gd name="adj1" fmla="val 50000"/>
                                  <a:gd name="adj2" fmla="val 50000"/>
                                </a:avLst>
                              </a:prstGeom>
                              <a:solidFill>
                                <a:srgbClr val="FFFFFF"/>
                              </a:solidFill>
                              <a:ln>
                                <a:solidFill>
                                  <a:srgbClr val="000000"/>
                                </a:solidFill>
                              </a:ln>
                            </wps:spPr>
                            <wps:style>
                              <a:lnRef idx="2">
                                <a:schemeClr val="dk1"/>
                              </a:lnRef>
                              <a:fillRef idx="1">
                                <a:schemeClr val="lt1"/>
                              </a:fillRef>
                              <a:effectRef idx="0">
                                <a:schemeClr val="dk1"/>
                              </a:effectRef>
                              <a:fontRef idx="minor"/>
                            </wps:style>
                            <wps:bodyPr/>
                          </wps:wsp>
                        </a:graphicData>
                      </a:graphic>
                      <wp14:sizeRelH relativeFrom="page">
                        <wp14:pctWidth>0</wp14:pctWidth>
                      </wp14:sizeRelH>
                      <wp14:sizeRelV relativeFrom="page">
                        <wp14:pctHeight>0</wp14:pctHeight>
                      </wp14:sizeRelV>
                    </wp:anchor>
                  </w:drawing>
                </mc:Choice>
                <mc:Fallback>
                  <w:pict>
                    <v:shape w14:anchorId="218DE9B0" id="Стрелка: вниз 11" o:spid="_x0000_s1026" type="#_x0000_t67" style="position:absolute;margin-left:184.05pt;margin-top:-22.3pt;width:25.7pt;height:19.7pt;z-index:4;visibility:visible;mso-wrap-style:square;mso-width-percent:0;mso-height-percent:0;mso-wrap-distance-left:1.5pt;mso-wrap-distance-top:0;mso-wrap-distance-right:1.3pt;mso-wrap-distance-bottom:2.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" adj="10800" strokeweight="1pt">
                      <v:path arrowok="t"/>
                    </v:shape>
                  </w:pict>
                </mc:Fallback>
              </mc:AlternateContent>
            </w:r>
            <w:r w:rsidR="00ED7F9A">
              <w:rPr>
                <w:rFonts w:ascii="Times New Roman" w:eastAsia="Aptos" w:hAnsi="Times New Roman" w:cs="Times New Roman"/>
                <w:sz w:val="28"/>
                <w:szCs w:val="28"/>
              </w:rPr>
              <w:t>Министерство экономического развития Приморского края (объект апробации)</w:t>
            </w:r>
          </w:p>
        </w:tc>
      </w:tr>
      <w:tr w:rsidR="00495387" w14:paraId="5A8A02B4" w14:textId="77777777">
        <w:tc>
          <w:tcPr>
            <w:tcW w:w="9345" w:type="dxa"/>
          </w:tcPr>
          <w:p w14:paraId="0BD282B5" w14:textId="77777777" w:rsidR="00495387" w:rsidRDefault="00000000">
            <w:pPr>
              <w:spacing w:after="0" w:line="360" w:lineRule="auto"/>
              <w:jc w:val="both"/>
              <w:rPr>
                <w:rFonts w:ascii="Times New Roman" w:hAnsi="Times New Roman" w:cs="Times New Roman"/>
                <w:sz w:val="28"/>
                <w:szCs w:val="28"/>
              </w:rPr>
            </w:pPr>
            <w:r>
              <w:rPr>
                <w:rFonts w:ascii="Times New Roman" w:eastAsia="Aptos" w:hAnsi="Times New Roman" w:cs="Times New Roman"/>
                <w:sz w:val="28"/>
                <w:szCs w:val="28"/>
              </w:rPr>
              <w:t>ВХОД:</w:t>
            </w:r>
          </w:p>
          <w:p w14:paraId="25ED048A" w14:textId="77777777" w:rsidR="00495387" w:rsidRDefault="00000000">
            <w:pPr>
              <w:spacing w:after="0" w:line="360" w:lineRule="auto"/>
              <w:jc w:val="both"/>
              <w:rPr>
                <w:rFonts w:ascii="Times New Roman" w:hAnsi="Times New Roman" w:cs="Times New Roman"/>
                <w:sz w:val="28"/>
                <w:szCs w:val="28"/>
              </w:rPr>
            </w:pPr>
            <w:r>
              <w:rPr>
                <w:rFonts w:ascii="Times New Roman" w:eastAsia="Aptos" w:hAnsi="Times New Roman" w:cs="Times New Roman"/>
                <w:sz w:val="28"/>
                <w:szCs w:val="28"/>
              </w:rPr>
              <w:t xml:space="preserve">    - Регламенты, цели, ресурсы</w:t>
            </w:r>
          </w:p>
          <w:p w14:paraId="10D3F11C" w14:textId="77777777" w:rsidR="00495387" w:rsidRDefault="00000000">
            <w:pPr>
              <w:spacing w:after="0" w:line="360" w:lineRule="auto"/>
              <w:jc w:val="both"/>
              <w:rPr>
                <w:rFonts w:ascii="Times New Roman" w:hAnsi="Times New Roman" w:cs="Times New Roman"/>
                <w:sz w:val="28"/>
                <w:szCs w:val="28"/>
              </w:rPr>
            </w:pPr>
            <w:r>
              <w:rPr>
                <w:rFonts w:ascii="Times New Roman" w:eastAsia="Aptos" w:hAnsi="Times New Roman" w:cs="Times New Roman"/>
                <w:sz w:val="28"/>
                <w:szCs w:val="28"/>
              </w:rPr>
              <w:t>ПРОЦЕСС:</w:t>
            </w:r>
          </w:p>
          <w:p w14:paraId="2DD583E2" w14:textId="77777777" w:rsidR="00495387" w:rsidRDefault="00000000">
            <w:pPr>
              <w:spacing w:after="0" w:line="360" w:lineRule="auto"/>
              <w:jc w:val="both"/>
              <w:rPr>
                <w:rFonts w:ascii="Times New Roman" w:hAnsi="Times New Roman" w:cs="Times New Roman"/>
                <w:sz w:val="28"/>
                <w:szCs w:val="28"/>
              </w:rPr>
            </w:pPr>
            <w:r>
              <w:rPr>
                <w:rFonts w:ascii="Times New Roman" w:eastAsia="Aptos" w:hAnsi="Times New Roman" w:cs="Times New Roman"/>
                <w:sz w:val="28"/>
                <w:szCs w:val="28"/>
              </w:rPr>
              <w:t>Применение методического инструментария на этапах:</w:t>
            </w:r>
          </w:p>
          <w:p w14:paraId="73313E3B" w14:textId="77777777" w:rsidR="00495387" w:rsidRDefault="00000000">
            <w:pPr>
              <w:spacing w:after="0" w:line="360" w:lineRule="auto"/>
              <w:jc w:val="both"/>
              <w:rPr>
                <w:rFonts w:ascii="Times New Roman" w:hAnsi="Times New Roman" w:cs="Times New Roman"/>
                <w:sz w:val="28"/>
                <w:szCs w:val="28"/>
              </w:rPr>
            </w:pPr>
            <w:r>
              <w:rPr>
                <w:rFonts w:ascii="Times New Roman" w:eastAsia="Aptos" w:hAnsi="Times New Roman" w:cs="Times New Roman"/>
                <w:sz w:val="28"/>
                <w:szCs w:val="28"/>
              </w:rPr>
              <w:t>1. Анализ среды (SWOT, PEST, стейкхолдер-анализ)</w:t>
            </w:r>
          </w:p>
          <w:p w14:paraId="432D4210" w14:textId="77777777" w:rsidR="00495387" w:rsidRDefault="00000000">
            <w:pPr>
              <w:spacing w:after="0" w:line="360" w:lineRule="auto"/>
              <w:jc w:val="both"/>
              <w:rPr>
                <w:rFonts w:ascii="Times New Roman" w:hAnsi="Times New Roman" w:cs="Times New Roman"/>
                <w:sz w:val="28"/>
                <w:szCs w:val="28"/>
              </w:rPr>
            </w:pPr>
            <w:r>
              <w:rPr>
                <w:rFonts w:ascii="Times New Roman" w:eastAsia="Aptos" w:hAnsi="Times New Roman" w:cs="Times New Roman"/>
                <w:sz w:val="28"/>
                <w:szCs w:val="28"/>
              </w:rPr>
              <w:t>2. Формулировка стратегии/программ</w:t>
            </w:r>
          </w:p>
          <w:p w14:paraId="3A4C378E" w14:textId="77777777" w:rsidR="00495387" w:rsidRDefault="00000000">
            <w:pPr>
              <w:spacing w:after="0" w:line="360" w:lineRule="auto"/>
              <w:jc w:val="both"/>
              <w:rPr>
                <w:rFonts w:ascii="Times New Roman" w:hAnsi="Times New Roman" w:cs="Times New Roman"/>
                <w:sz w:val="28"/>
                <w:szCs w:val="28"/>
              </w:rPr>
            </w:pPr>
            <w:r>
              <w:rPr>
                <w:rFonts w:ascii="Times New Roman" w:eastAsia="Aptos" w:hAnsi="Times New Roman" w:cs="Times New Roman"/>
                <w:sz w:val="28"/>
                <w:szCs w:val="28"/>
              </w:rPr>
              <w:t>3. Оценка решений (многофакторный анализ, экспертиза)</w:t>
            </w:r>
          </w:p>
          <w:p w14:paraId="18FC10F7" w14:textId="77777777" w:rsidR="00495387" w:rsidRDefault="00000000">
            <w:pPr>
              <w:spacing w:after="0" w:line="360" w:lineRule="auto"/>
              <w:jc w:val="both"/>
              <w:rPr>
                <w:rFonts w:ascii="Times New Roman" w:hAnsi="Times New Roman" w:cs="Times New Roman"/>
                <w:sz w:val="28"/>
                <w:szCs w:val="28"/>
              </w:rPr>
            </w:pPr>
            <w:r>
              <w:rPr>
                <w:rFonts w:ascii="Times New Roman" w:eastAsia="Aptos" w:hAnsi="Times New Roman" w:cs="Times New Roman"/>
                <w:sz w:val="28"/>
                <w:szCs w:val="28"/>
              </w:rPr>
              <w:t>4. Мониторинг (KPI, BSC)</w:t>
            </w:r>
          </w:p>
          <w:p w14:paraId="1923870F" w14:textId="77777777" w:rsidR="00495387" w:rsidRDefault="00000000">
            <w:pPr>
              <w:spacing w:after="0" w:line="360" w:lineRule="auto"/>
              <w:jc w:val="both"/>
              <w:rPr>
                <w:rFonts w:ascii="Times New Roman" w:hAnsi="Times New Roman" w:cs="Times New Roman"/>
                <w:sz w:val="28"/>
                <w:szCs w:val="28"/>
              </w:rPr>
            </w:pPr>
            <w:r>
              <w:rPr>
                <w:rFonts w:ascii="Times New Roman" w:eastAsia="Aptos" w:hAnsi="Times New Roman" w:cs="Times New Roman"/>
                <w:sz w:val="28"/>
                <w:szCs w:val="28"/>
              </w:rPr>
              <w:t>ВЫХОД:</w:t>
            </w:r>
          </w:p>
          <w:p w14:paraId="03010E30" w14:textId="77777777" w:rsidR="00495387" w:rsidRDefault="00000000">
            <w:pPr>
              <w:spacing w:after="0" w:line="360" w:lineRule="auto"/>
              <w:jc w:val="both"/>
              <w:rPr>
                <w:rFonts w:ascii="Times New Roman" w:hAnsi="Times New Roman" w:cs="Times New Roman"/>
                <w:sz w:val="28"/>
                <w:szCs w:val="28"/>
              </w:rPr>
            </w:pPr>
            <w:r>
              <w:rPr>
                <w:rFonts w:ascii="Times New Roman" w:eastAsia="Aptos" w:hAnsi="Times New Roman" w:cs="Times New Roman"/>
                <w:sz w:val="28"/>
                <w:szCs w:val="28"/>
              </w:rPr>
              <w:t>- Стратегии, госпрограммы, инвестиционная политика</w:t>
            </w:r>
          </w:p>
        </w:tc>
      </w:tr>
      <w:tr w:rsidR="00495387" w14:paraId="5D9A6C3B" w14:textId="77777777">
        <w:tc>
          <w:tcPr>
            <w:tcW w:w="9345" w:type="dxa"/>
            <w:tcBorders>
              <w:left w:val="nil"/>
              <w:right w:val="nil"/>
            </w:tcBorders>
          </w:tcPr>
          <w:p w14:paraId="7B96A73B" w14:textId="77777777" w:rsidR="00495387" w:rsidRDefault="00495387">
            <w:pPr>
              <w:spacing w:after="0" w:line="360" w:lineRule="auto"/>
              <w:jc w:val="both"/>
              <w:rPr>
                <w:rFonts w:ascii="Times New Roman" w:hAnsi="Times New Roman" w:cs="Times New Roman"/>
                <w:sz w:val="28"/>
                <w:szCs w:val="28"/>
              </w:rPr>
            </w:pPr>
          </w:p>
        </w:tc>
      </w:tr>
      <w:tr w:rsidR="00495387" w14:paraId="40F6C88C" w14:textId="77777777">
        <w:tc>
          <w:tcPr>
            <w:tcW w:w="9345" w:type="dxa"/>
          </w:tcPr>
          <w:p w14:paraId="0836FF8F" w14:textId="0810E0D8" w:rsidR="00495387" w:rsidRDefault="000A76E0">
            <w:pPr>
              <w:spacing w:after="0" w:line="360" w:lineRule="auto"/>
              <w:jc w:val="both"/>
              <w:rPr>
                <w:rFonts w:ascii="Times New Roman" w:hAnsi="Times New Roman" w:cs="Times New Roman"/>
                <w:sz w:val="28"/>
                <w:szCs w:val="28"/>
              </w:rPr>
            </w:pPr>
            <w:r>
              <w:rPr>
                <w:noProof/>
              </w:rPr>
              <mc:AlternateContent>
                <mc:Choice Requires="wps">
                  <w:drawing>
                    <wp:anchor distT="0" distB="35560" distL="19050" distR="16510" simplePos="0" relativeHeight="5" behindDoc="0" locked="0" layoutInCell="1" allowOverlap="1" wp14:anchorId="10359BCD" wp14:editId="2A0E77A6">
                      <wp:simplePos x="0" y="0"/>
                      <wp:positionH relativeFrom="column">
                        <wp:posOffset>2355850</wp:posOffset>
                      </wp:positionH>
                      <wp:positionV relativeFrom="paragraph">
                        <wp:posOffset>-271145</wp:posOffset>
                      </wp:positionV>
                      <wp:extent cx="326390" cy="250190"/>
                      <wp:effectExtent l="19050" t="0" r="0" b="16510"/>
                      <wp:wrapNone/>
                      <wp:docPr id="362242656" name="Стрелка: вниз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6390" cy="250190"/>
                              </a:xfrm>
                              <a:prstGeom prst="downArrow">
                                <a:avLst>
                                  <a:gd name="adj1" fmla="val 50000"/>
                                  <a:gd name="adj2" fmla="val 50000"/>
                                </a:avLst>
                              </a:prstGeom>
                              <a:solidFill>
                                <a:srgbClr val="FFFFFF"/>
                              </a:solidFill>
                              <a:ln>
                                <a:solidFill>
                                  <a:srgbClr val="000000"/>
                                </a:solidFill>
                              </a:ln>
                            </wps:spPr>
                            <wps:style>
                              <a:lnRef idx="2">
                                <a:schemeClr val="dk1"/>
                              </a:lnRef>
                              <a:fillRef idx="1">
                                <a:schemeClr val="lt1"/>
                              </a:fillRef>
                              <a:effectRef idx="0">
                                <a:schemeClr val="dk1"/>
                              </a:effectRef>
                              <a:fontRef idx="minor"/>
                            </wps:style>
                            <wps:bodyPr/>
                          </wps:wsp>
                        </a:graphicData>
                      </a:graphic>
                      <wp14:sizeRelH relativeFrom="page">
                        <wp14:pctWidth>0</wp14:pctWidth>
                      </wp14:sizeRelH>
                      <wp14:sizeRelV relativeFrom="page">
                        <wp14:pctHeight>0</wp14:pctHeight>
                      </wp14:sizeRelV>
                    </wp:anchor>
                  </w:drawing>
                </mc:Choice>
                <mc:Fallback>
                  <w:pict>
                    <v:shape w14:anchorId="168543E5" id="Стрелка: вниз 9" o:spid="_x0000_s1026" type="#_x0000_t67" style="position:absolute;margin-left:185.5pt;margin-top:-21.35pt;width:25.7pt;height:19.7pt;z-index:5;visibility:visible;mso-wrap-style:square;mso-width-percent:0;mso-height-percent:0;mso-wrap-distance-left:1.5pt;mso-wrap-distance-top:0;mso-wrap-distance-right:1.3pt;mso-wrap-distance-bottom:2.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" adj="10800" strokeweight="1pt">
                      <v:path arrowok="t"/>
                    </v:shape>
                  </w:pict>
                </mc:Fallback>
              </mc:AlternateContent>
            </w:r>
            <w:r w:rsidR="00ED7F9A">
              <w:rPr>
                <w:rFonts w:ascii="Times New Roman" w:eastAsia="Aptos" w:hAnsi="Times New Roman" w:cs="Times New Roman"/>
                <w:sz w:val="28"/>
                <w:szCs w:val="28"/>
              </w:rPr>
              <w:t>Социально-экономические результаты края (Обратная связь и корректировка инструментария)</w:t>
            </w:r>
          </w:p>
        </w:tc>
      </w:tr>
    </w:tbl>
    <w:p w14:paraId="56787428" w14:textId="77777777" w:rsidR="00495387" w:rsidRDefault="00495387">
      <w:pPr>
        <w:spacing w:after="0" w:line="360" w:lineRule="auto"/>
        <w:ind w:firstLine="709"/>
        <w:jc w:val="both"/>
        <w:rPr>
          <w:rFonts w:ascii="Times New Roman" w:hAnsi="Times New Roman" w:cs="Times New Roman"/>
          <w:sz w:val="12"/>
          <w:szCs w:val="12"/>
        </w:rPr>
      </w:pPr>
    </w:p>
    <w:p w14:paraId="660CFF71" w14:textId="77777777" w:rsidR="00495387" w:rsidRDefault="00000000">
      <w:pPr>
        <w:spacing w:after="0" w:line="240" w:lineRule="auto"/>
        <w:ind w:left="709"/>
        <w:jc w:val="both"/>
        <w:rPr>
          <w:rFonts w:ascii="Times New Roman" w:hAnsi="Times New Roman" w:cs="Times New Roman"/>
          <w:sz w:val="28"/>
          <w:szCs w:val="28"/>
        </w:rPr>
      </w:pPr>
      <w:r>
        <w:rPr>
          <w:rFonts w:ascii="Times New Roman" w:hAnsi="Times New Roman" w:cs="Times New Roman"/>
          <w:sz w:val="28"/>
          <w:szCs w:val="28"/>
        </w:rPr>
        <w:t>Рисунок 1. - Механизм государственного регулирования процессов в проблемном поле</w:t>
      </w:r>
    </w:p>
    <w:p w14:paraId="1BB074E2" w14:textId="77777777" w:rsidR="00495387" w:rsidRDefault="00495387">
      <w:pPr>
        <w:spacing w:after="0" w:line="360" w:lineRule="auto"/>
        <w:ind w:left="709"/>
        <w:jc w:val="both"/>
        <w:rPr>
          <w:rFonts w:ascii="Times New Roman" w:hAnsi="Times New Roman" w:cs="Times New Roman"/>
          <w:sz w:val="24"/>
          <w:szCs w:val="24"/>
        </w:rPr>
      </w:pPr>
    </w:p>
    <w:p w14:paraId="5B80CBFB"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Данная схема иллюстрирует, как внешние рамки, заданные федеральным и региональным регулированием, трансформируются через внутренние процессы Министерства, где центральное место занимает применяемый методический инструментарий. Его адекватность и эффективность напрямую влияют на качество выходных документов и, в конечном счете, на достижение стратегических целей развития территории. </w:t>
      </w:r>
      <w:r>
        <w:rPr>
          <w:rFonts w:ascii="Times New Roman" w:hAnsi="Times New Roman" w:cs="Times New Roman"/>
          <w:sz w:val="28"/>
          <w:szCs w:val="28"/>
        </w:rPr>
        <w:lastRenderedPageBreak/>
        <w:t>Таким образом, институциональная поддержка создает спрос на определенные виды инструментария, но не гарантирует эффективность его применения, что и составляет суть исследуемой проблемы.</w:t>
      </w:r>
    </w:p>
    <w:p w14:paraId="15CD9F56" w14:textId="0C667585" w:rsidR="00AF39D9" w:rsidRDefault="00AF39D9">
      <w:pPr>
        <w:spacing w:after="0" w:line="240" w:lineRule="auto"/>
        <w:rPr>
          <w:rFonts w:ascii="Times New Roman" w:hAnsi="Times New Roman" w:cs="Times New Roman"/>
          <w:sz w:val="28"/>
          <w:szCs w:val="28"/>
        </w:rPr>
      </w:pPr>
      <w:r>
        <w:rPr>
          <w:rFonts w:ascii="Times New Roman" w:hAnsi="Times New Roman" w:cs="Times New Roman"/>
          <w:sz w:val="28"/>
          <w:szCs w:val="28"/>
        </w:rPr>
        <w:br w:type="page"/>
      </w:r>
    </w:p>
    <w:p w14:paraId="771E39C4" w14:textId="77777777" w:rsidR="00495387" w:rsidRPr="00AF39D9" w:rsidRDefault="00000000" w:rsidP="00AF39D9">
      <w:pPr>
        <w:pStyle w:val="2"/>
        <w:spacing w:before="0" w:after="0" w:line="240" w:lineRule="auto"/>
        <w:ind w:left="709"/>
        <w:rPr>
          <w:rFonts w:ascii="Arial CYR" w:hAnsi="Arial CYR" w:cs="Times New Roman"/>
          <w:color w:val="000000" w:themeColor="text1"/>
          <w:sz w:val="30"/>
          <w:szCs w:val="30"/>
        </w:rPr>
      </w:pPr>
      <w:bookmarkStart w:id="9" w:name="_Toc219409930"/>
      <w:r w:rsidRPr="00AF39D9">
        <w:rPr>
          <w:rFonts w:ascii="Arial CYR" w:hAnsi="Arial CYR" w:cs="Times New Roman"/>
          <w:color w:val="000000" w:themeColor="text1"/>
          <w:sz w:val="30"/>
          <w:szCs w:val="30"/>
        </w:rPr>
        <w:lastRenderedPageBreak/>
        <w:t>3. Структурирующие аспекты методического инструментария разработки стратегических управленческих решений</w:t>
      </w:r>
      <w:bookmarkEnd w:id="9"/>
    </w:p>
    <w:p w14:paraId="5D9B0F62" w14:textId="77777777" w:rsidR="00495387" w:rsidRDefault="00495387">
      <w:pPr>
        <w:spacing w:after="0" w:line="240" w:lineRule="auto"/>
        <w:ind w:left="709"/>
        <w:jc w:val="both"/>
        <w:rPr>
          <w:rFonts w:ascii="Arial CYR" w:hAnsi="Arial CYR" w:cs="Times New Roman"/>
          <w:sz w:val="24"/>
          <w:szCs w:val="24"/>
        </w:rPr>
      </w:pPr>
    </w:p>
    <w:p w14:paraId="20AA141F" w14:textId="77777777" w:rsidR="00495387" w:rsidRDefault="00495387">
      <w:pPr>
        <w:spacing w:after="0" w:line="240" w:lineRule="auto"/>
        <w:ind w:left="709"/>
        <w:jc w:val="both"/>
        <w:rPr>
          <w:sz w:val="12"/>
          <w:szCs w:val="12"/>
        </w:rPr>
      </w:pPr>
    </w:p>
    <w:p w14:paraId="37D2A3DB" w14:textId="77777777" w:rsidR="00495387" w:rsidRPr="00AF39D9" w:rsidRDefault="00000000" w:rsidP="00AF39D9">
      <w:pPr>
        <w:pStyle w:val="3"/>
        <w:spacing w:before="0" w:after="0" w:line="240" w:lineRule="auto"/>
        <w:ind w:left="709"/>
        <w:rPr>
          <w:rFonts w:ascii="Arial CYR" w:hAnsi="Arial CYR" w:cs="Times New Roman"/>
          <w:color w:val="000000" w:themeColor="text1"/>
        </w:rPr>
      </w:pPr>
      <w:bookmarkStart w:id="10" w:name="_Toc219409931"/>
      <w:r w:rsidRPr="00AF39D9">
        <w:rPr>
          <w:rFonts w:ascii="Arial CYR" w:hAnsi="Arial CYR" w:cs="Times New Roman"/>
          <w:color w:val="000000" w:themeColor="text1"/>
        </w:rPr>
        <w:t>3.1 Авторская аналитическо-исследовательская модель и критическая оценка научных направлений</w:t>
      </w:r>
      <w:bookmarkEnd w:id="10"/>
    </w:p>
    <w:p w14:paraId="26E4E40C" w14:textId="77777777" w:rsidR="00495387" w:rsidRDefault="00495387">
      <w:pPr>
        <w:spacing w:after="0" w:line="240" w:lineRule="auto"/>
        <w:ind w:left="709"/>
        <w:jc w:val="both"/>
        <w:rPr>
          <w:rFonts w:ascii="Arial CYR" w:hAnsi="Arial CYR" w:cs="Times New Roman"/>
          <w:sz w:val="12"/>
          <w:szCs w:val="12"/>
        </w:rPr>
      </w:pPr>
    </w:p>
    <w:p w14:paraId="360D71E2"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 основе систематизации теоретических основ, научных дискуссий и нормативно-правового контекста, авторская позиция концентрируется на том, что ключевой проблемой является не столько дефицит инструментов как таковых, сколько разрыв между их номинальной доступностью, регламентированным применением и реальной управленческой эффективностью. Этот разрыв обусловлен несогласованностью трех уровней: научно-методического, институционально-правового и организационно-практического.</w:t>
      </w:r>
    </w:p>
    <w:p w14:paraId="3CD6B68E"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Для анализа этого разрыва разработана авторская многоуровневая контекстуальная модель, интегрирующая все выявленные аспекты, представленная на рисунке 2.</w:t>
      </w:r>
    </w:p>
    <w:p w14:paraId="14263C0E" w14:textId="77777777" w:rsidR="00495387" w:rsidRDefault="00495387">
      <w:pPr>
        <w:spacing w:after="0" w:line="360" w:lineRule="auto"/>
        <w:ind w:firstLine="709"/>
        <w:jc w:val="both"/>
        <w:rPr>
          <w:sz w:val="12"/>
          <w:szCs w:val="12"/>
        </w:rPr>
      </w:pPr>
    </w:p>
    <w:tbl>
      <w:tblPr>
        <w:tblStyle w:val="af3"/>
        <w:tblW w:w="9345" w:type="dxa"/>
        <w:tblLayout w:type="fixed"/>
        <w:tblLook w:val="04A0" w:firstRow="1" w:lastRow="0" w:firstColumn="1" w:lastColumn="0" w:noHBand="0" w:noVBand="1"/>
      </w:tblPr>
      <w:tblGrid>
        <w:gridCol w:w="9345"/>
      </w:tblGrid>
      <w:tr w:rsidR="00495387" w14:paraId="2A77D612" w14:textId="77777777">
        <w:tc>
          <w:tcPr>
            <w:tcW w:w="9345" w:type="dxa"/>
          </w:tcPr>
          <w:p w14:paraId="19DAB018" w14:textId="77777777" w:rsidR="00495387" w:rsidRDefault="00000000">
            <w:pPr>
              <w:spacing w:after="0" w:line="240" w:lineRule="auto"/>
              <w:rPr>
                <w:rFonts w:ascii="Times New Roman" w:hAnsi="Times New Roman" w:cs="Times New Roman"/>
                <w:sz w:val="28"/>
                <w:szCs w:val="28"/>
              </w:rPr>
            </w:pPr>
            <w:r>
              <w:rPr>
                <w:rFonts w:ascii="Times New Roman" w:eastAsia="Aptos" w:hAnsi="Times New Roman" w:cs="Times New Roman"/>
                <w:sz w:val="28"/>
                <w:szCs w:val="28"/>
              </w:rPr>
              <w:t>УРОВЕНЬ 1: НАУЧНО-МЕТОДИЧЕСКИЙ КОНТЕКСТ</w:t>
            </w:r>
          </w:p>
          <w:p w14:paraId="75A23560" w14:textId="77777777" w:rsidR="00495387" w:rsidRDefault="00000000">
            <w:pPr>
              <w:spacing w:after="0" w:line="240" w:lineRule="auto"/>
              <w:rPr>
                <w:rFonts w:ascii="Times New Roman" w:hAnsi="Times New Roman" w:cs="Times New Roman"/>
                <w:sz w:val="28"/>
                <w:szCs w:val="28"/>
              </w:rPr>
            </w:pPr>
            <w:r>
              <w:rPr>
                <w:rFonts w:ascii="Times New Roman" w:eastAsia="Aptos" w:hAnsi="Times New Roman" w:cs="Times New Roman"/>
                <w:sz w:val="28"/>
                <w:szCs w:val="28"/>
              </w:rPr>
              <w:t xml:space="preserve"> (Теории, классификации, «идеальные» инструменты)</w:t>
            </w:r>
          </w:p>
          <w:p w14:paraId="6AE6879A" w14:textId="77777777" w:rsidR="00495387" w:rsidRDefault="00000000">
            <w:pPr>
              <w:spacing w:after="0" w:line="240" w:lineRule="auto"/>
              <w:rPr>
                <w:rFonts w:ascii="Times New Roman" w:hAnsi="Times New Roman" w:cs="Times New Roman"/>
                <w:sz w:val="28"/>
                <w:szCs w:val="28"/>
              </w:rPr>
            </w:pPr>
            <w:r>
              <w:rPr>
                <w:rFonts w:ascii="Times New Roman" w:eastAsia="Aptos" w:hAnsi="Times New Roman" w:cs="Times New Roman"/>
                <w:sz w:val="28"/>
                <w:szCs w:val="28"/>
              </w:rPr>
              <w:t>Источники: Bryson [4], Mintzberg [16], Porter [20]</w:t>
            </w:r>
          </w:p>
          <w:p w14:paraId="28ED1628" w14:textId="77777777" w:rsidR="00495387" w:rsidRDefault="00000000">
            <w:pPr>
              <w:spacing w:after="0" w:line="240" w:lineRule="auto"/>
              <w:rPr>
                <w:rFonts w:ascii="Times New Roman" w:hAnsi="Times New Roman" w:cs="Times New Roman"/>
                <w:sz w:val="28"/>
                <w:szCs w:val="28"/>
              </w:rPr>
            </w:pPr>
            <w:r>
              <w:rPr>
                <w:rFonts w:ascii="Times New Roman" w:eastAsia="Aptos" w:hAnsi="Times New Roman" w:cs="Times New Roman"/>
                <w:sz w:val="28"/>
                <w:szCs w:val="28"/>
              </w:rPr>
              <w:t>Преобладающий дискурс: Рациональность, системность, эффективность.</w:t>
            </w:r>
          </w:p>
        </w:tc>
      </w:tr>
      <w:tr w:rsidR="00495387" w14:paraId="39F758E7" w14:textId="77777777">
        <w:tc>
          <w:tcPr>
            <w:tcW w:w="9345" w:type="dxa"/>
            <w:tcBorders>
              <w:left w:val="nil"/>
              <w:right w:val="nil"/>
            </w:tcBorders>
          </w:tcPr>
          <w:p w14:paraId="525C4CB3" w14:textId="77F04901" w:rsidR="00495387" w:rsidRDefault="000A76E0">
            <w:pPr>
              <w:jc w:val="right"/>
              <w:rPr>
                <w:rFonts w:ascii="Times New Roman" w:hAnsi="Times New Roman" w:cs="Times New Roman"/>
                <w:sz w:val="28"/>
                <w:szCs w:val="28"/>
              </w:rPr>
            </w:pPr>
            <w:r>
              <w:rPr>
                <w:noProof/>
              </w:rPr>
              <mc:AlternateContent>
                <mc:Choice Requires="wps">
                  <w:drawing>
                    <wp:anchor distT="0" distB="35560" distL="19050" distR="16510" simplePos="0" relativeHeight="6" behindDoc="0" locked="0" layoutInCell="1" allowOverlap="1" wp14:anchorId="536FD18E" wp14:editId="32B22989">
                      <wp:simplePos x="0" y="0"/>
                      <wp:positionH relativeFrom="column">
                        <wp:posOffset>2486025</wp:posOffset>
                      </wp:positionH>
                      <wp:positionV relativeFrom="paragraph">
                        <wp:posOffset>41275</wp:posOffset>
                      </wp:positionV>
                      <wp:extent cx="326390" cy="250190"/>
                      <wp:effectExtent l="19050" t="0" r="0" b="16510"/>
                      <wp:wrapNone/>
                      <wp:docPr id="1710667124" name="Стрелка: вниз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6390" cy="250190"/>
                              </a:xfrm>
                              <a:prstGeom prst="downArrow">
                                <a:avLst>
                                  <a:gd name="adj1" fmla="val 50000"/>
                                  <a:gd name="adj2" fmla="val 50000"/>
                                </a:avLst>
                              </a:prstGeom>
                              <a:solidFill>
                                <a:srgbClr val="FFFFFF"/>
                              </a:solidFill>
                              <a:ln>
                                <a:solidFill>
                                  <a:srgbClr val="000000"/>
                                </a:solidFill>
                              </a:ln>
                            </wps:spPr>
                            <wps:style>
                              <a:lnRef idx="2">
                                <a:schemeClr val="dk1"/>
                              </a:lnRef>
                              <a:fillRef idx="1">
                                <a:schemeClr val="lt1"/>
                              </a:fillRef>
                              <a:effectRef idx="0">
                                <a:schemeClr val="dk1"/>
                              </a:effectRef>
                              <a:fontRef idx="minor"/>
                            </wps:style>
                            <wps:bodyPr/>
                          </wps:wsp>
                        </a:graphicData>
                      </a:graphic>
                      <wp14:sizeRelH relativeFrom="page">
                        <wp14:pctWidth>0</wp14:pctWidth>
                      </wp14:sizeRelH>
                      <wp14:sizeRelV relativeFrom="page">
                        <wp14:pctHeight>0</wp14:pctHeight>
                      </wp14:sizeRelV>
                    </wp:anchor>
                  </w:drawing>
                </mc:Choice>
                <mc:Fallback>
                  <w:pict>
                    <v:shape w14:anchorId="54640231" id="Стрелка: вниз 7" o:spid="_x0000_s1026" type="#_x0000_t67" style="position:absolute;margin-left:195.75pt;margin-top:3.25pt;width:25.7pt;height:19.7pt;z-index:6;visibility:visible;mso-wrap-style:square;mso-width-percent:0;mso-height-percent:0;mso-wrap-distance-left:1.5pt;mso-wrap-distance-top:0;mso-wrap-distance-right:1.3pt;mso-wrap-distance-bottom:2.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" adj="10800" strokeweight="1pt">
                      <v:path arrowok="t"/>
                    </v:shape>
                  </w:pict>
                </mc:Fallback>
              </mc:AlternateContent>
            </w:r>
            <w:r w:rsidR="00ED7F9A">
              <w:rPr>
                <w:rFonts w:ascii="Times New Roman" w:eastAsia="Aptos" w:hAnsi="Times New Roman" w:cs="Times New Roman"/>
                <w:sz w:val="28"/>
                <w:szCs w:val="28"/>
              </w:rPr>
              <w:t>Разрыв 1: Абстрактность моделей</w:t>
            </w:r>
          </w:p>
        </w:tc>
      </w:tr>
      <w:tr w:rsidR="00495387" w14:paraId="0B2D6083" w14:textId="77777777">
        <w:tc>
          <w:tcPr>
            <w:tcW w:w="9345" w:type="dxa"/>
          </w:tcPr>
          <w:p w14:paraId="611A62A5" w14:textId="77777777" w:rsidR="00495387" w:rsidRDefault="00000000">
            <w:pPr>
              <w:spacing w:after="0" w:line="240" w:lineRule="auto"/>
              <w:rPr>
                <w:rFonts w:ascii="Times New Roman" w:hAnsi="Times New Roman" w:cs="Times New Roman"/>
                <w:sz w:val="28"/>
                <w:szCs w:val="28"/>
              </w:rPr>
            </w:pPr>
            <w:r>
              <w:rPr>
                <w:rFonts w:ascii="Times New Roman" w:eastAsia="Aptos" w:hAnsi="Times New Roman" w:cs="Times New Roman"/>
                <w:sz w:val="28"/>
                <w:szCs w:val="28"/>
              </w:rPr>
              <w:t xml:space="preserve">УРОВЕНЬ 2: ИНСТИТУЦИОНАЛЬНО-ПРАВОВОЙ КОНТЕКСТ </w:t>
            </w:r>
          </w:p>
          <w:p w14:paraId="4C472DC8" w14:textId="77777777" w:rsidR="00495387" w:rsidRDefault="00000000">
            <w:pPr>
              <w:spacing w:after="0" w:line="240" w:lineRule="auto"/>
              <w:rPr>
                <w:rFonts w:ascii="Times New Roman" w:hAnsi="Times New Roman" w:cs="Times New Roman"/>
                <w:sz w:val="28"/>
                <w:szCs w:val="28"/>
              </w:rPr>
            </w:pPr>
            <w:r>
              <w:rPr>
                <w:rFonts w:ascii="Times New Roman" w:eastAsia="Aptos" w:hAnsi="Times New Roman" w:cs="Times New Roman"/>
                <w:sz w:val="28"/>
                <w:szCs w:val="28"/>
              </w:rPr>
              <w:t>(Законы, регламенты, госпрограммы, приоритеты)</w:t>
            </w:r>
          </w:p>
          <w:p w14:paraId="61B42354" w14:textId="77777777" w:rsidR="00495387" w:rsidRDefault="00000000">
            <w:pPr>
              <w:spacing w:after="0" w:line="240" w:lineRule="auto"/>
              <w:rPr>
                <w:rFonts w:ascii="Times New Roman" w:hAnsi="Times New Roman" w:cs="Times New Roman"/>
                <w:sz w:val="28"/>
                <w:szCs w:val="28"/>
              </w:rPr>
            </w:pPr>
            <w:r>
              <w:rPr>
                <w:rFonts w:ascii="Times New Roman" w:eastAsia="Aptos" w:hAnsi="Times New Roman" w:cs="Times New Roman"/>
                <w:sz w:val="28"/>
                <w:szCs w:val="28"/>
              </w:rPr>
              <w:t>Источники: ФЗ-172, Нацпроекты, краевые стратегии [17,18,19]</w:t>
            </w:r>
          </w:p>
          <w:p w14:paraId="56BC26E7" w14:textId="77777777" w:rsidR="00495387" w:rsidRDefault="00000000">
            <w:pPr>
              <w:spacing w:after="0" w:line="240" w:lineRule="auto"/>
              <w:rPr>
                <w:rFonts w:ascii="Times New Roman" w:hAnsi="Times New Roman" w:cs="Times New Roman"/>
                <w:sz w:val="28"/>
                <w:szCs w:val="28"/>
              </w:rPr>
            </w:pPr>
            <w:r>
              <w:rPr>
                <w:rFonts w:ascii="Times New Roman" w:eastAsia="Aptos" w:hAnsi="Times New Roman" w:cs="Times New Roman"/>
                <w:sz w:val="28"/>
                <w:szCs w:val="28"/>
              </w:rPr>
              <w:t>Преобладающий дискурс: Формализация, подотчетность, соответствие.</w:t>
            </w:r>
          </w:p>
        </w:tc>
      </w:tr>
      <w:tr w:rsidR="00495387" w14:paraId="26D0372A" w14:textId="77777777">
        <w:tc>
          <w:tcPr>
            <w:tcW w:w="9345" w:type="dxa"/>
            <w:tcBorders>
              <w:left w:val="nil"/>
              <w:right w:val="nil"/>
            </w:tcBorders>
          </w:tcPr>
          <w:p w14:paraId="66DC26FA" w14:textId="77777777" w:rsidR="00495387" w:rsidRDefault="00000000">
            <w:pPr>
              <w:spacing w:after="0" w:line="240" w:lineRule="auto"/>
              <w:jc w:val="right"/>
              <w:rPr>
                <w:rFonts w:ascii="Times New Roman" w:hAnsi="Times New Roman" w:cs="Times New Roman"/>
                <w:sz w:val="28"/>
                <w:szCs w:val="28"/>
              </w:rPr>
            </w:pPr>
            <w:r>
              <w:rPr>
                <w:rFonts w:ascii="Times New Roman" w:eastAsia="Aptos" w:hAnsi="Times New Roman" w:cs="Times New Roman"/>
                <w:sz w:val="28"/>
                <w:szCs w:val="28"/>
              </w:rPr>
              <w:t>Разрыв 2: Приоритет формального                                                              соблюдения над содержательным                                                                      анализом</w:t>
            </w:r>
          </w:p>
        </w:tc>
      </w:tr>
      <w:tr w:rsidR="00495387" w14:paraId="05A66F69" w14:textId="77777777">
        <w:tc>
          <w:tcPr>
            <w:tcW w:w="9345" w:type="dxa"/>
          </w:tcPr>
          <w:p w14:paraId="1CE100C7" w14:textId="15A480E0" w:rsidR="00495387" w:rsidRDefault="000A76E0">
            <w:pPr>
              <w:spacing w:after="0" w:line="240" w:lineRule="auto"/>
              <w:jc w:val="both"/>
              <w:rPr>
                <w:rFonts w:ascii="Times New Roman" w:hAnsi="Times New Roman" w:cs="Times New Roman"/>
                <w:sz w:val="28"/>
                <w:szCs w:val="28"/>
              </w:rPr>
            </w:pPr>
            <w:r>
              <w:rPr>
                <w:noProof/>
              </w:rPr>
              <mc:AlternateContent>
                <mc:Choice Requires="wps">
                  <w:drawing>
                    <wp:anchor distT="0" distB="35560" distL="19050" distR="16510" simplePos="0" relativeHeight="8" behindDoc="0" locked="0" layoutInCell="1" allowOverlap="1" wp14:anchorId="220ED99A" wp14:editId="75CEB28B">
                      <wp:simplePos x="0" y="0"/>
                      <wp:positionH relativeFrom="column">
                        <wp:posOffset>2464435</wp:posOffset>
                      </wp:positionH>
                      <wp:positionV relativeFrom="paragraph">
                        <wp:posOffset>-482600</wp:posOffset>
                      </wp:positionV>
                      <wp:extent cx="326390" cy="250190"/>
                      <wp:effectExtent l="19050" t="0" r="0" b="16510"/>
                      <wp:wrapNone/>
                      <wp:docPr id="713346247" name="Стрелка: вниз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6390" cy="250190"/>
                              </a:xfrm>
                              <a:prstGeom prst="downArrow">
                                <a:avLst>
                                  <a:gd name="adj1" fmla="val 50000"/>
                                  <a:gd name="adj2" fmla="val 50000"/>
                                </a:avLst>
                              </a:prstGeom>
                              <a:solidFill>
                                <a:srgbClr val="FFFFFF"/>
                              </a:solidFill>
                              <a:ln>
                                <a:solidFill>
                                  <a:srgbClr val="000000"/>
                                </a:solidFill>
                              </a:ln>
                            </wps:spPr>
                            <wps:style>
                              <a:lnRef idx="2">
                                <a:schemeClr val="dk1"/>
                              </a:lnRef>
                              <a:fillRef idx="1">
                                <a:schemeClr val="lt1"/>
                              </a:fillRef>
                              <a:effectRef idx="0">
                                <a:schemeClr val="dk1"/>
                              </a:effectRef>
                              <a:fontRef idx="minor"/>
                            </wps:style>
                            <wps:bodyPr/>
                          </wps:wsp>
                        </a:graphicData>
                      </a:graphic>
                      <wp14:sizeRelH relativeFrom="page">
                        <wp14:pctWidth>0</wp14:pctWidth>
                      </wp14:sizeRelH>
                      <wp14:sizeRelV relativeFrom="page">
                        <wp14:pctHeight>0</wp14:pctHeight>
                      </wp14:sizeRelV>
                    </wp:anchor>
                  </w:drawing>
                </mc:Choice>
                <mc:Fallback>
                  <w:pict>
                    <v:shape w14:anchorId="177E3022" id="Стрелка: вниз 5" o:spid="_x0000_s1026" type="#_x0000_t67" style="position:absolute;margin-left:194.05pt;margin-top:-38pt;width:25.7pt;height:19.7pt;z-index:8;visibility:visible;mso-wrap-style:square;mso-width-percent:0;mso-height-percent:0;mso-wrap-distance-left:1.5pt;mso-wrap-distance-top:0;mso-wrap-distance-right:1.3pt;mso-wrap-distance-bottom:2.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" adj="10800" strokeweight="1pt">
                      <v:path arrowok="t"/>
                    </v:shape>
                  </w:pict>
                </mc:Fallback>
              </mc:AlternateContent>
            </w:r>
            <w:r w:rsidR="00ED7F9A">
              <w:rPr>
                <w:rFonts w:ascii="Times New Roman" w:eastAsia="Aptos" w:hAnsi="Times New Roman" w:cs="Times New Roman"/>
                <w:sz w:val="28"/>
                <w:szCs w:val="28"/>
              </w:rPr>
              <w:t>УРОВЕНЬ 3: ОРГАНИЗАЦИОННО-ПРАКТИЧЕСКИЙ КОНТЕКСТ (Министерство как объект: структура, культура, ресурсы, рутины, Компетенции сотрудников)</w:t>
            </w:r>
          </w:p>
          <w:p w14:paraId="7EE7A6CF" w14:textId="77777777" w:rsidR="00495387" w:rsidRDefault="00000000">
            <w:pPr>
              <w:spacing w:after="0" w:line="240" w:lineRule="auto"/>
              <w:jc w:val="both"/>
              <w:rPr>
                <w:rFonts w:ascii="Times New Roman" w:hAnsi="Times New Roman" w:cs="Times New Roman"/>
                <w:sz w:val="28"/>
                <w:szCs w:val="28"/>
              </w:rPr>
            </w:pPr>
            <w:r>
              <w:rPr>
                <w:rFonts w:ascii="Times New Roman" w:eastAsia="Aptos" w:hAnsi="Times New Roman" w:cs="Times New Roman"/>
                <w:sz w:val="28"/>
                <w:szCs w:val="28"/>
              </w:rPr>
              <w:t>Источники: Петров [1], Захаров [13], Мерсиянова [15]</w:t>
            </w:r>
          </w:p>
          <w:p w14:paraId="17F74F35" w14:textId="77777777" w:rsidR="00495387" w:rsidRDefault="00000000">
            <w:pPr>
              <w:spacing w:after="0" w:line="240" w:lineRule="auto"/>
              <w:jc w:val="both"/>
              <w:rPr>
                <w:rFonts w:ascii="Times New Roman" w:hAnsi="Times New Roman" w:cs="Times New Roman"/>
                <w:sz w:val="28"/>
                <w:szCs w:val="28"/>
              </w:rPr>
            </w:pPr>
            <w:r>
              <w:rPr>
                <w:rFonts w:ascii="Times New Roman" w:eastAsia="Aptos" w:hAnsi="Times New Roman" w:cs="Times New Roman"/>
                <w:sz w:val="28"/>
                <w:szCs w:val="28"/>
              </w:rPr>
              <w:t>Преобладающий дискурс: Ресурсные ограничения, бюрократия, неформальные практики.</w:t>
            </w:r>
          </w:p>
        </w:tc>
      </w:tr>
      <w:tr w:rsidR="00495387" w14:paraId="4EA43326" w14:textId="77777777">
        <w:tc>
          <w:tcPr>
            <w:tcW w:w="9345" w:type="dxa"/>
            <w:tcBorders>
              <w:left w:val="nil"/>
              <w:right w:val="nil"/>
            </w:tcBorders>
          </w:tcPr>
          <w:p w14:paraId="5D0CC9BD" w14:textId="77777777" w:rsidR="00495387" w:rsidRDefault="00495387">
            <w:pPr>
              <w:spacing w:after="0" w:line="360" w:lineRule="auto"/>
              <w:jc w:val="both"/>
              <w:rPr>
                <w:rFonts w:ascii="Times New Roman" w:hAnsi="Times New Roman" w:cs="Times New Roman"/>
                <w:sz w:val="28"/>
                <w:szCs w:val="28"/>
              </w:rPr>
            </w:pPr>
          </w:p>
        </w:tc>
      </w:tr>
      <w:tr w:rsidR="00495387" w14:paraId="3B1D1790" w14:textId="77777777">
        <w:tc>
          <w:tcPr>
            <w:tcW w:w="9345" w:type="dxa"/>
          </w:tcPr>
          <w:p w14:paraId="0C4B0A55" w14:textId="77777777" w:rsidR="00495387" w:rsidRDefault="00000000">
            <w:pPr>
              <w:spacing w:after="0" w:line="240" w:lineRule="auto"/>
              <w:rPr>
                <w:rFonts w:ascii="Times New Roman" w:hAnsi="Times New Roman" w:cs="Times New Roman"/>
                <w:sz w:val="28"/>
                <w:szCs w:val="28"/>
              </w:rPr>
            </w:pPr>
            <w:r>
              <w:rPr>
                <w:rFonts w:ascii="Times New Roman" w:eastAsia="Aptos" w:hAnsi="Times New Roman" w:cs="Times New Roman"/>
                <w:sz w:val="28"/>
                <w:szCs w:val="28"/>
              </w:rPr>
              <w:t xml:space="preserve">ПРОЦЕСС РАЗРАБОТКИ СТРАТЕГИЧЕСКОГО РЕШЕНИЯ </w:t>
            </w:r>
          </w:p>
          <w:p w14:paraId="35D803F8" w14:textId="77777777" w:rsidR="00495387" w:rsidRDefault="00000000">
            <w:pPr>
              <w:spacing w:after="0" w:line="240" w:lineRule="auto"/>
              <w:rPr>
                <w:rFonts w:ascii="Times New Roman" w:hAnsi="Times New Roman" w:cs="Times New Roman"/>
                <w:sz w:val="28"/>
                <w:szCs w:val="28"/>
              </w:rPr>
            </w:pPr>
            <w:r>
              <w:rPr>
                <w:rFonts w:ascii="Times New Roman" w:eastAsia="Aptos" w:hAnsi="Times New Roman" w:cs="Times New Roman"/>
                <w:sz w:val="28"/>
                <w:szCs w:val="28"/>
              </w:rPr>
              <w:lastRenderedPageBreak/>
              <w:t>(Анализ → Генерация идей → Оценка → Выбор)</w:t>
            </w:r>
          </w:p>
        </w:tc>
      </w:tr>
      <w:tr w:rsidR="00495387" w14:paraId="1D818873" w14:textId="77777777">
        <w:tc>
          <w:tcPr>
            <w:tcW w:w="9345" w:type="dxa"/>
            <w:tcBorders>
              <w:left w:val="nil"/>
              <w:right w:val="nil"/>
            </w:tcBorders>
          </w:tcPr>
          <w:p w14:paraId="661DBA50" w14:textId="4DFC2878" w:rsidR="00495387" w:rsidRDefault="000A76E0">
            <w:pPr>
              <w:spacing w:after="0" w:line="360" w:lineRule="auto"/>
              <w:jc w:val="both"/>
              <w:rPr>
                <w:rFonts w:ascii="Times New Roman" w:hAnsi="Times New Roman" w:cs="Times New Roman"/>
                <w:sz w:val="28"/>
                <w:szCs w:val="28"/>
              </w:rPr>
            </w:pPr>
            <w:r>
              <w:rPr>
                <w:noProof/>
              </w:rPr>
              <mc:AlternateContent>
                <mc:Choice Requires="wps">
                  <w:drawing>
                    <wp:anchor distT="0" distB="35560" distL="19050" distR="16510" simplePos="0" relativeHeight="7" behindDoc="0" locked="0" layoutInCell="1" allowOverlap="1" wp14:anchorId="13BB9258" wp14:editId="6AA4C3E5">
                      <wp:simplePos x="0" y="0"/>
                      <wp:positionH relativeFrom="column">
                        <wp:posOffset>2456815</wp:posOffset>
                      </wp:positionH>
                      <wp:positionV relativeFrom="paragraph">
                        <wp:posOffset>-738505</wp:posOffset>
                      </wp:positionV>
                      <wp:extent cx="326390" cy="250190"/>
                      <wp:effectExtent l="19050" t="0" r="0" b="16510"/>
                      <wp:wrapNone/>
                      <wp:docPr id="1705729933" name="Стрелка: вниз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6390" cy="250190"/>
                              </a:xfrm>
                              <a:prstGeom prst="downArrow">
                                <a:avLst>
                                  <a:gd name="adj1" fmla="val 50000"/>
                                  <a:gd name="adj2" fmla="val 50000"/>
                                </a:avLst>
                              </a:prstGeom>
                              <a:solidFill>
                                <a:srgbClr val="FFFFFF"/>
                              </a:solidFill>
                              <a:ln>
                                <a:solidFill>
                                  <a:srgbClr val="000000"/>
                                </a:solidFill>
                              </a:ln>
                            </wps:spPr>
                            <wps:style>
                              <a:lnRef idx="2">
                                <a:schemeClr val="dk1"/>
                              </a:lnRef>
                              <a:fillRef idx="1">
                                <a:schemeClr val="lt1"/>
                              </a:fillRef>
                              <a:effectRef idx="0">
                                <a:schemeClr val="dk1"/>
                              </a:effectRef>
                              <a:fontRef idx="minor"/>
                            </wps:style>
                            <wps:bodyPr/>
                          </wps:wsp>
                        </a:graphicData>
                      </a:graphic>
                      <wp14:sizeRelH relativeFrom="page">
                        <wp14:pctWidth>0</wp14:pctWidth>
                      </wp14:sizeRelH>
                      <wp14:sizeRelV relativeFrom="page">
                        <wp14:pctHeight>0</wp14:pctHeight>
                      </wp14:sizeRelV>
                    </wp:anchor>
                  </w:drawing>
                </mc:Choice>
                <mc:Fallback>
                  <w:pict>
                    <v:shape w14:anchorId="29CA1DA8" id="Стрелка: вниз 3" o:spid="_x0000_s1026" type="#_x0000_t67" style="position:absolute;margin-left:193.45pt;margin-top:-58.15pt;width:25.7pt;height:19.7pt;z-index:7;visibility:visible;mso-wrap-style:square;mso-width-percent:0;mso-height-percent:0;mso-wrap-distance-left:1.5pt;mso-wrap-distance-top:0;mso-wrap-distance-right:1.3pt;mso-wrap-distance-bottom:2.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" adj="10800" strokeweight="1pt">
                      <v:path arrowok="t"/>
                    </v:shape>
                  </w:pict>
                </mc:Fallback>
              </mc:AlternateContent>
            </w:r>
          </w:p>
        </w:tc>
      </w:tr>
      <w:tr w:rsidR="00495387" w14:paraId="2C079937" w14:textId="77777777">
        <w:tc>
          <w:tcPr>
            <w:tcW w:w="9345" w:type="dxa"/>
          </w:tcPr>
          <w:p w14:paraId="0D5C6126" w14:textId="1672C642" w:rsidR="00495387" w:rsidRDefault="000A76E0">
            <w:pPr>
              <w:spacing w:after="0" w:line="240" w:lineRule="auto"/>
              <w:rPr>
                <w:rFonts w:ascii="Times New Roman" w:hAnsi="Times New Roman" w:cs="Times New Roman"/>
                <w:sz w:val="28"/>
                <w:szCs w:val="28"/>
              </w:rPr>
            </w:pPr>
            <w:r>
              <w:rPr>
                <w:noProof/>
              </w:rPr>
              <mc:AlternateContent>
                <mc:Choice Requires="wps">
                  <w:drawing>
                    <wp:anchor distT="0" distB="35560" distL="19050" distR="16510" simplePos="0" relativeHeight="9" behindDoc="0" locked="0" layoutInCell="1" allowOverlap="1" wp14:anchorId="7B0D3279" wp14:editId="0DF8A230">
                      <wp:simplePos x="0" y="0"/>
                      <wp:positionH relativeFrom="column">
                        <wp:posOffset>2464435</wp:posOffset>
                      </wp:positionH>
                      <wp:positionV relativeFrom="paragraph">
                        <wp:posOffset>-302260</wp:posOffset>
                      </wp:positionV>
                      <wp:extent cx="326390" cy="250190"/>
                      <wp:effectExtent l="19050" t="0" r="0" b="16510"/>
                      <wp:wrapNone/>
                      <wp:docPr id="1014404991" name="Стрелка: вниз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6390" cy="250190"/>
                              </a:xfrm>
                              <a:prstGeom prst="downArrow">
                                <a:avLst>
                                  <a:gd name="adj1" fmla="val 50000"/>
                                  <a:gd name="adj2" fmla="val 50000"/>
                                </a:avLst>
                              </a:prstGeom>
                              <a:solidFill>
                                <a:srgbClr val="FFFFFF"/>
                              </a:solidFill>
                              <a:ln>
                                <a:solidFill>
                                  <a:srgbClr val="000000"/>
                                </a:solidFill>
                              </a:ln>
                            </wps:spPr>
                            <wps:style>
                              <a:lnRef idx="2">
                                <a:schemeClr val="dk1"/>
                              </a:lnRef>
                              <a:fillRef idx="1">
                                <a:schemeClr val="lt1"/>
                              </a:fillRef>
                              <a:effectRef idx="0">
                                <a:schemeClr val="dk1"/>
                              </a:effectRef>
                              <a:fontRef idx="minor"/>
                            </wps:style>
                            <wps:bodyPr/>
                          </wps:wsp>
                        </a:graphicData>
                      </a:graphic>
                      <wp14:sizeRelH relativeFrom="page">
                        <wp14:pctWidth>0</wp14:pctWidth>
                      </wp14:sizeRelH>
                      <wp14:sizeRelV relativeFrom="page">
                        <wp14:pctHeight>0</wp14:pctHeight>
                      </wp14:sizeRelV>
                    </wp:anchor>
                  </w:drawing>
                </mc:Choice>
                <mc:Fallback>
                  <w:pict>
                    <v:shape w14:anchorId="69DC4E8F" id="Стрелка: вниз 1" o:spid="_x0000_s1026" type="#_x0000_t67" style="position:absolute;margin-left:194.05pt;margin-top:-23.8pt;width:25.7pt;height:19.7pt;z-index:9;visibility:visible;mso-wrap-style:square;mso-width-percent:0;mso-height-percent:0;mso-wrap-distance-left:1.5pt;mso-wrap-distance-top:0;mso-wrap-distance-right:1.3pt;mso-wrap-distance-bottom:2.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" adj="10800" strokeweight="1pt">
                      <v:path arrowok="t"/>
                    </v:shape>
                  </w:pict>
                </mc:Fallback>
              </mc:AlternateContent>
            </w:r>
            <w:r w:rsidR="00ED7F9A">
              <w:rPr>
                <w:rFonts w:ascii="Times New Roman" w:eastAsia="Aptos" w:hAnsi="Times New Roman" w:cs="Times New Roman"/>
                <w:sz w:val="28"/>
                <w:szCs w:val="28"/>
              </w:rPr>
              <w:t>КАЧЕСТВО СТРАТЕГИЧЕСКОГО РЕШЕНИЯ И ЭФФЕКТЫ (Обоснованность, своевременность, реализуемость, конечный социально-экономический результат)</w:t>
            </w:r>
          </w:p>
        </w:tc>
      </w:tr>
    </w:tbl>
    <w:p w14:paraId="3A8DA57A" w14:textId="77777777" w:rsidR="00495387" w:rsidRDefault="00495387">
      <w:pPr>
        <w:spacing w:after="0" w:line="360" w:lineRule="auto"/>
        <w:ind w:firstLine="709"/>
        <w:jc w:val="both"/>
        <w:rPr>
          <w:sz w:val="12"/>
          <w:szCs w:val="12"/>
        </w:rPr>
      </w:pPr>
    </w:p>
    <w:p w14:paraId="671212A2" w14:textId="77777777" w:rsidR="00495387" w:rsidRDefault="00000000">
      <w:pPr>
        <w:spacing w:after="0" w:line="240" w:lineRule="auto"/>
        <w:ind w:left="709"/>
        <w:jc w:val="both"/>
        <w:rPr>
          <w:rFonts w:ascii="Times New Roman" w:hAnsi="Times New Roman" w:cs="Times New Roman"/>
          <w:sz w:val="28"/>
          <w:szCs w:val="28"/>
        </w:rPr>
      </w:pPr>
      <w:r>
        <w:rPr>
          <w:rFonts w:ascii="Times New Roman" w:hAnsi="Times New Roman" w:cs="Times New Roman"/>
          <w:sz w:val="28"/>
          <w:szCs w:val="28"/>
        </w:rPr>
        <w:t>Рисунок 2. - Многоуровневая контекстуальная модель.</w:t>
      </w:r>
    </w:p>
    <w:p w14:paraId="3B61BE79" w14:textId="77777777" w:rsidR="00495387" w:rsidRDefault="00495387">
      <w:pPr>
        <w:spacing w:after="0" w:line="240" w:lineRule="auto"/>
        <w:ind w:left="709"/>
        <w:jc w:val="both"/>
        <w:rPr>
          <w:rFonts w:ascii="Times New Roman" w:hAnsi="Times New Roman" w:cs="Times New Roman"/>
        </w:rPr>
      </w:pPr>
    </w:p>
    <w:p w14:paraId="2FD4F7D5"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Эффективность инструментария определяется не на одном уровне, а в точке взаимодействия всех трех контекстов. Инструмент может быть теоретически совершенен (Уровень 1) и формально предписан (Уровень 2), но его применение будет неэффективным из-за дефицита компетенций, времени или доминирования неформальных «правил игры» в конкретном министерстве (Уровень 3). И наоборот, простой, но хорошо встроенный в организационные рутины инструмент может давать больший практический эффект.</w:t>
      </w:r>
    </w:p>
    <w:p w14:paraId="183471FC"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Симметрия с зарубежным опытом (на примере стран ОЭСР) показывает схожие проблемы: разрыв между передовыми управленческими концепциями (например, со-проектирование публичных услуг — co-design) и их реальным внедрением в бюрократические системы. Однако в ряде стран (например, Великобритания, Сингапур) этот разрыв успешно преодолевается за счет создания специализированных государственных центров компетенций (Government Innovation Labs), которые занимаются адаптацией и «переводом» новых методик на язык и в практики конкретных ведомств [21]. Этот опыт указывает на важность медиаторного звена между наукой/инновациями и практикой, что отсутствует в российской модели.</w:t>
      </w:r>
    </w:p>
    <w:p w14:paraId="2F058E97" w14:textId="77777777" w:rsidR="00495387" w:rsidRDefault="00495387">
      <w:pPr>
        <w:spacing w:after="0" w:line="360" w:lineRule="auto"/>
        <w:ind w:firstLine="709"/>
        <w:jc w:val="both"/>
        <w:rPr>
          <w:sz w:val="12"/>
          <w:szCs w:val="12"/>
        </w:rPr>
      </w:pPr>
    </w:p>
    <w:p w14:paraId="033BF99F" w14:textId="77777777" w:rsidR="00495387" w:rsidRPr="00AF39D9" w:rsidRDefault="00000000" w:rsidP="00AF39D9">
      <w:pPr>
        <w:pStyle w:val="3"/>
        <w:spacing w:before="0" w:after="0" w:line="240" w:lineRule="auto"/>
        <w:ind w:left="709"/>
        <w:rPr>
          <w:color w:val="000000" w:themeColor="text1"/>
        </w:rPr>
      </w:pPr>
      <w:bookmarkStart w:id="11" w:name="_Toc219409932"/>
      <w:r w:rsidRPr="00AF39D9">
        <w:rPr>
          <w:rFonts w:ascii="Arial CYR" w:hAnsi="Arial CYR" w:cs="Times New Roman"/>
          <w:color w:val="000000" w:themeColor="text1"/>
        </w:rPr>
        <w:t>3.2 Критический обзор научных взглядов в табличной форме</w:t>
      </w:r>
      <w:bookmarkEnd w:id="11"/>
    </w:p>
    <w:p w14:paraId="2EE3F62B" w14:textId="77777777" w:rsidR="00495387" w:rsidRDefault="00495387">
      <w:pPr>
        <w:spacing w:after="0" w:line="240" w:lineRule="auto"/>
        <w:ind w:left="709"/>
        <w:jc w:val="both"/>
        <w:rPr>
          <w:rFonts w:ascii="Arial CYR" w:hAnsi="Arial CYR" w:cs="Times New Roman"/>
          <w:sz w:val="12"/>
          <w:szCs w:val="12"/>
        </w:rPr>
      </w:pPr>
    </w:p>
    <w:p w14:paraId="7A67AC4E" w14:textId="77777777" w:rsidR="00495387" w:rsidRDefault="00495387">
      <w:pPr>
        <w:spacing w:after="0" w:line="240" w:lineRule="auto"/>
        <w:ind w:left="709"/>
        <w:jc w:val="both"/>
        <w:rPr>
          <w:rFonts w:ascii="Arial CYR" w:hAnsi="Arial CYR" w:cs="Times New Roman"/>
          <w:sz w:val="12"/>
          <w:szCs w:val="12"/>
        </w:rPr>
      </w:pPr>
    </w:p>
    <w:tbl>
      <w:tblPr>
        <w:tblStyle w:val="af3"/>
        <w:tblW w:w="9345" w:type="dxa"/>
        <w:tblLayout w:type="fixed"/>
        <w:tblLook w:val="04A0" w:firstRow="1" w:lastRow="0" w:firstColumn="1" w:lastColumn="0" w:noHBand="0" w:noVBand="1"/>
      </w:tblPr>
      <w:tblGrid>
        <w:gridCol w:w="2945"/>
        <w:gridCol w:w="2879"/>
        <w:gridCol w:w="3521"/>
      </w:tblGrid>
      <w:tr w:rsidR="00495387" w14:paraId="1C919212" w14:textId="77777777">
        <w:trPr>
          <w:tblHeader/>
        </w:trPr>
        <w:tc>
          <w:tcPr>
            <w:tcW w:w="2945" w:type="dxa"/>
          </w:tcPr>
          <w:p w14:paraId="764A37A0" w14:textId="77777777" w:rsidR="00495387" w:rsidRDefault="00000000">
            <w:pPr>
              <w:spacing w:after="0" w:line="360" w:lineRule="auto"/>
              <w:jc w:val="center"/>
              <w:rPr>
                <w:rFonts w:ascii="Aptos" w:eastAsia="Aptos" w:hAnsi="Aptos"/>
                <w:b/>
                <w:bCs/>
                <w:sz w:val="24"/>
                <w:szCs w:val="24"/>
              </w:rPr>
            </w:pPr>
            <w:r>
              <w:rPr>
                <w:rFonts w:ascii="Times New Roman" w:eastAsia="Aptos" w:hAnsi="Times New Roman" w:cs="Times New Roman"/>
                <w:b/>
                <w:bCs/>
                <w:sz w:val="24"/>
                <w:szCs w:val="24"/>
              </w:rPr>
              <w:t>Научное направление / Автор</w:t>
            </w:r>
          </w:p>
        </w:tc>
        <w:tc>
          <w:tcPr>
            <w:tcW w:w="2879" w:type="dxa"/>
          </w:tcPr>
          <w:p w14:paraId="1844E8BE" w14:textId="77777777" w:rsidR="00495387" w:rsidRDefault="00000000">
            <w:pPr>
              <w:spacing w:after="0" w:line="360" w:lineRule="auto"/>
              <w:jc w:val="center"/>
              <w:rPr>
                <w:rFonts w:ascii="Aptos" w:eastAsia="Aptos" w:hAnsi="Aptos"/>
                <w:b/>
                <w:bCs/>
                <w:sz w:val="24"/>
                <w:szCs w:val="24"/>
              </w:rPr>
            </w:pPr>
            <w:r>
              <w:rPr>
                <w:rFonts w:ascii="Times New Roman" w:eastAsia="Aptos" w:hAnsi="Times New Roman" w:cs="Times New Roman"/>
                <w:b/>
                <w:bCs/>
                <w:sz w:val="24"/>
                <w:szCs w:val="24"/>
              </w:rPr>
              <w:t>Ключевая позиция / Вклад</w:t>
            </w:r>
          </w:p>
        </w:tc>
        <w:tc>
          <w:tcPr>
            <w:tcW w:w="3521" w:type="dxa"/>
          </w:tcPr>
          <w:p w14:paraId="26A17EFE" w14:textId="77777777" w:rsidR="00495387" w:rsidRDefault="00000000">
            <w:pPr>
              <w:spacing w:after="0" w:line="360" w:lineRule="auto"/>
              <w:jc w:val="center"/>
              <w:rPr>
                <w:rFonts w:ascii="Aptos" w:eastAsia="Aptos" w:hAnsi="Aptos"/>
                <w:b/>
                <w:bCs/>
                <w:sz w:val="24"/>
                <w:szCs w:val="24"/>
              </w:rPr>
            </w:pPr>
            <w:r>
              <w:rPr>
                <w:rFonts w:ascii="Times New Roman" w:eastAsia="Aptos" w:hAnsi="Times New Roman" w:cs="Times New Roman"/>
                <w:b/>
                <w:bCs/>
                <w:sz w:val="24"/>
                <w:szCs w:val="24"/>
              </w:rPr>
              <w:t>Критическая оценка и авторская позиция</w:t>
            </w:r>
          </w:p>
        </w:tc>
      </w:tr>
      <w:tr w:rsidR="00495387" w14:paraId="76187E5E" w14:textId="77777777">
        <w:tc>
          <w:tcPr>
            <w:tcW w:w="2945" w:type="dxa"/>
          </w:tcPr>
          <w:p w14:paraId="179D6E12"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«Школа стратегического планирования» (Bryson J.M. [4], Poister T.H. [5])</w:t>
            </w:r>
          </w:p>
        </w:tc>
        <w:tc>
          <w:tcPr>
            <w:tcW w:w="2879" w:type="dxa"/>
          </w:tcPr>
          <w:p w14:paraId="0D945E7E"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 xml:space="preserve">Стратегия – результат рационального, циклического процесса </w:t>
            </w:r>
            <w:r>
              <w:rPr>
                <w:rFonts w:ascii="Times New Roman" w:eastAsia="Aptos" w:hAnsi="Times New Roman" w:cs="Times New Roman"/>
                <w:sz w:val="24"/>
                <w:szCs w:val="24"/>
              </w:rPr>
              <w:lastRenderedPageBreak/>
              <w:t>планирования с использованием формализованного инструментария для каждого этапа. Инструменты обеспечивают системность и обоснованность.</w:t>
            </w:r>
          </w:p>
        </w:tc>
        <w:tc>
          <w:tcPr>
            <w:tcW w:w="3521" w:type="dxa"/>
          </w:tcPr>
          <w:p w14:paraId="0FF9B2DC"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lastRenderedPageBreak/>
              <w:t xml:space="preserve">Согласие: Дает четкий структурный каркас и обосновывает необходимость </w:t>
            </w:r>
            <w:r>
              <w:rPr>
                <w:rFonts w:ascii="Times New Roman" w:eastAsia="Aptos" w:hAnsi="Times New Roman" w:cs="Times New Roman"/>
                <w:sz w:val="24"/>
                <w:szCs w:val="24"/>
              </w:rPr>
              <w:lastRenderedPageBreak/>
              <w:t>инструментов для дисциплины управления.</w:t>
            </w:r>
          </w:p>
          <w:p w14:paraId="794F6667"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Противоречие/Дополнение: Преувеличивает рациональность и линейность процесса в реальных организациях, особенно в условиях турбулентности. Игнорирует политические и культурные факторы выбора инструментов (см. институциональный подход). Модель нуждается в «оживлении» контекстом.</w:t>
            </w:r>
          </w:p>
        </w:tc>
      </w:tr>
      <w:tr w:rsidR="00495387" w14:paraId="4D46C9D7" w14:textId="77777777">
        <w:tc>
          <w:tcPr>
            <w:tcW w:w="2945" w:type="dxa"/>
          </w:tcPr>
          <w:p w14:paraId="24B4CD38"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«Школа стратегизации» (Mintzberg H. [16], Захаров А.А. [13])</w:t>
            </w:r>
          </w:p>
        </w:tc>
        <w:tc>
          <w:tcPr>
            <w:tcW w:w="2879" w:type="dxa"/>
          </w:tcPr>
          <w:p w14:paraId="47319491"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Стратегия формируется (emerges) в процессе ежедневной деятельности, коммуникаций и интерпретаций. Инструменты – это артефакты и ритуалы, встроенные в социальные практики.</w:t>
            </w:r>
          </w:p>
        </w:tc>
        <w:tc>
          <w:tcPr>
            <w:tcW w:w="3521" w:type="dxa"/>
          </w:tcPr>
          <w:p w14:paraId="541D537E"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Согласие: Критически важная поправка, объясняющая, почему формальные методы часто «не работают» как задумано. Вскрывает социальную природу использования инструментария.</w:t>
            </w:r>
          </w:p>
          <w:p w14:paraId="0418FA4B"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Противоречие/Дополнение: Чрезмерный релятивизм может привести к отрицанию ценности систематического анализа как такового. Необходим синтез: формальные инструменты – это каркас, который наполняется жизнью через практики и интерпретации.</w:t>
            </w:r>
          </w:p>
        </w:tc>
      </w:tr>
      <w:tr w:rsidR="00495387" w14:paraId="0F8EEA64" w14:textId="77777777">
        <w:tc>
          <w:tcPr>
            <w:tcW w:w="2945" w:type="dxa"/>
          </w:tcPr>
          <w:p w14:paraId="2FBA1898"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 xml:space="preserve">Практико-ориентированный подход </w:t>
            </w:r>
            <w:r>
              <w:rPr>
                <w:rFonts w:ascii="Times New Roman" w:eastAsia="Aptos" w:hAnsi="Times New Roman" w:cs="Times New Roman"/>
                <w:sz w:val="24"/>
                <w:szCs w:val="24"/>
              </w:rPr>
              <w:lastRenderedPageBreak/>
              <w:t>(Сидоров Н.П. [3], Кузнецов Ю.В. [6])</w:t>
            </w:r>
          </w:p>
        </w:tc>
        <w:tc>
          <w:tcPr>
            <w:tcW w:w="2879" w:type="dxa"/>
          </w:tcPr>
          <w:p w14:paraId="114E50BE"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lastRenderedPageBreak/>
              <w:t xml:space="preserve">Акцент на адаптации и ситуационном </w:t>
            </w:r>
            <w:r>
              <w:rPr>
                <w:rFonts w:ascii="Times New Roman" w:eastAsia="Aptos" w:hAnsi="Times New Roman" w:cs="Times New Roman"/>
                <w:sz w:val="24"/>
                <w:szCs w:val="24"/>
              </w:rPr>
              <w:lastRenderedPageBreak/>
              <w:t>комбинировании инструментов под конкретные задачи госсектора (региональное развитие, антикризисное управление).</w:t>
            </w:r>
          </w:p>
        </w:tc>
        <w:tc>
          <w:tcPr>
            <w:tcW w:w="3521" w:type="dxa"/>
          </w:tcPr>
          <w:p w14:paraId="047C547B"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lastRenderedPageBreak/>
              <w:t xml:space="preserve">Согласие и дополнение: Совершенно верный акцент на </w:t>
            </w:r>
            <w:r>
              <w:rPr>
                <w:rFonts w:ascii="Times New Roman" w:eastAsia="Aptos" w:hAnsi="Times New Roman" w:cs="Times New Roman"/>
                <w:sz w:val="24"/>
                <w:szCs w:val="24"/>
              </w:rPr>
              <w:lastRenderedPageBreak/>
              <w:t>контекстуальности и гибкости. Является логичным развитием ситуационного подхода.</w:t>
            </w:r>
          </w:p>
          <w:p w14:paraId="30C1A2CA"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Недостаток: Не предлагает четких критериев или алгоритма для этого ситуационного выбора и комбинирования. Требуется разработка методологии «сборки» инструментария.</w:t>
            </w:r>
          </w:p>
        </w:tc>
      </w:tr>
      <w:tr w:rsidR="00495387" w14:paraId="5590020B" w14:textId="77777777">
        <w:tc>
          <w:tcPr>
            <w:tcW w:w="2945" w:type="dxa"/>
          </w:tcPr>
          <w:p w14:paraId="78C2AAFB"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Нормативно-институциональный анализ (Петров А.В. [1], анализ ФЗ-172)</w:t>
            </w:r>
          </w:p>
        </w:tc>
        <w:tc>
          <w:tcPr>
            <w:tcW w:w="2879" w:type="dxa"/>
          </w:tcPr>
          <w:p w14:paraId="5F266946"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Доминирование формальных процедур и регламентов вытесняет содержательную аналитическую работу с инструментами, порождая «бумажную» стратегию.</w:t>
            </w:r>
          </w:p>
        </w:tc>
        <w:tc>
          <w:tcPr>
            <w:tcW w:w="3521" w:type="dxa"/>
          </w:tcPr>
          <w:p w14:paraId="5FA199A4"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Согласие</w:t>
            </w:r>
            <w:r>
              <w:rPr>
                <w:rFonts w:ascii="Times New Roman" w:eastAsia="Aptos" w:hAnsi="Times New Roman" w:cs="Times New Roman"/>
                <w:b/>
                <w:bCs/>
                <w:sz w:val="24"/>
                <w:szCs w:val="24"/>
              </w:rPr>
              <w:t>:</w:t>
            </w:r>
            <w:r>
              <w:rPr>
                <w:rFonts w:ascii="Times New Roman" w:eastAsia="Aptos" w:hAnsi="Times New Roman" w:cs="Times New Roman"/>
                <w:sz w:val="24"/>
                <w:szCs w:val="24"/>
              </w:rPr>
              <w:t> Точно диагностирует ключевую дисфункцию российской системы госуправления.</w:t>
            </w:r>
            <w:r>
              <w:rPr>
                <w:rFonts w:ascii="Times New Roman" w:eastAsia="Aptos" w:hAnsi="Times New Roman" w:cs="Times New Roman"/>
                <w:sz w:val="24"/>
                <w:szCs w:val="24"/>
              </w:rPr>
              <w:br/>
              <w:t>Дополнение</w:t>
            </w:r>
            <w:r>
              <w:rPr>
                <w:rFonts w:ascii="Times New Roman" w:eastAsia="Aptos" w:hAnsi="Times New Roman" w:cs="Times New Roman"/>
                <w:b/>
                <w:bCs/>
                <w:sz w:val="24"/>
                <w:szCs w:val="24"/>
              </w:rPr>
              <w:t>:</w:t>
            </w:r>
            <w:r>
              <w:rPr>
                <w:rFonts w:ascii="Times New Roman" w:eastAsia="Aptos" w:hAnsi="Times New Roman" w:cs="Times New Roman"/>
                <w:sz w:val="24"/>
                <w:szCs w:val="24"/>
              </w:rPr>
              <w:t> Необходимо исследовать не только негатив, но и то, как в «щелях» этой формальной системы возникают неформальные, но эффективные практики применения инструментов, и как их можно легализовать и масштабировать.</w:t>
            </w:r>
          </w:p>
        </w:tc>
      </w:tr>
      <w:tr w:rsidR="00495387" w14:paraId="3B2F77AE" w14:textId="77777777">
        <w:tc>
          <w:tcPr>
            <w:tcW w:w="2945" w:type="dxa"/>
          </w:tcPr>
          <w:p w14:paraId="10AB3531"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Подход, ориентированный на цифровизацию (Смирнов Е.А. [7], Ковалева М.Д. [11])</w:t>
            </w:r>
          </w:p>
        </w:tc>
        <w:tc>
          <w:tcPr>
            <w:tcW w:w="2879" w:type="dxa"/>
          </w:tcPr>
          <w:p w14:paraId="1324606F"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Будущее – за data-driven решениями и цифровыми платформами, которые автоматизируют анализ и предоставляют новые инструменты.</w:t>
            </w:r>
          </w:p>
        </w:tc>
        <w:tc>
          <w:tcPr>
            <w:tcW w:w="3521" w:type="dxa"/>
          </w:tcPr>
          <w:p w14:paraId="75944EAC"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Согласие: Цифровизация – необратимый тренд, кардинально меняющий возможности анализа.</w:t>
            </w:r>
          </w:p>
          <w:p w14:paraId="559B2035" w14:textId="77777777" w:rsidR="00495387" w:rsidRDefault="00000000">
            <w:pPr>
              <w:spacing w:after="0" w:line="360" w:lineRule="auto"/>
              <w:jc w:val="both"/>
              <w:rPr>
                <w:rFonts w:ascii="Aptos" w:eastAsia="Aptos" w:hAnsi="Aptos"/>
                <w:sz w:val="24"/>
                <w:szCs w:val="24"/>
              </w:rPr>
            </w:pPr>
            <w:r>
              <w:rPr>
                <w:rFonts w:ascii="Times New Roman" w:eastAsia="Aptos" w:hAnsi="Times New Roman" w:cs="Times New Roman"/>
                <w:sz w:val="24"/>
                <w:szCs w:val="24"/>
              </w:rPr>
              <w:t xml:space="preserve">Противоречие: Рискует стать технологическим детерминизмом. Новые инструменты не отменяют необходимости управленческой культуры, способной ставить </w:t>
            </w:r>
            <w:r>
              <w:rPr>
                <w:rFonts w:ascii="Times New Roman" w:eastAsia="Aptos" w:hAnsi="Times New Roman" w:cs="Times New Roman"/>
                <w:sz w:val="24"/>
                <w:szCs w:val="24"/>
              </w:rPr>
              <w:lastRenderedPageBreak/>
              <w:t>правильные вопросы и интерпретировать данные. Проблема может сместиться с дефицита данных к дефициту смысла.</w:t>
            </w:r>
          </w:p>
        </w:tc>
      </w:tr>
    </w:tbl>
    <w:p w14:paraId="270F33AA" w14:textId="77777777" w:rsidR="00495387" w:rsidRDefault="00495387">
      <w:pPr>
        <w:spacing w:after="0" w:line="360" w:lineRule="auto"/>
        <w:ind w:firstLine="709"/>
        <w:jc w:val="both"/>
        <w:rPr>
          <w:rFonts w:ascii="Times New Roman" w:hAnsi="Times New Roman" w:cs="Times New Roman"/>
          <w:sz w:val="28"/>
          <w:szCs w:val="28"/>
        </w:rPr>
      </w:pPr>
    </w:p>
    <w:p w14:paraId="0D3DD85A" w14:textId="77777777" w:rsidR="00495387" w:rsidRPr="00AF39D9" w:rsidRDefault="00000000" w:rsidP="00AF39D9">
      <w:pPr>
        <w:pStyle w:val="3"/>
        <w:spacing w:before="0" w:after="0" w:line="240" w:lineRule="auto"/>
        <w:ind w:left="709"/>
        <w:rPr>
          <w:rFonts w:ascii="Arial CYR" w:hAnsi="Arial CYR" w:cs="Times New Roman"/>
          <w:color w:val="000000" w:themeColor="text1"/>
        </w:rPr>
      </w:pPr>
      <w:bookmarkStart w:id="12" w:name="_Toc219409933"/>
      <w:r w:rsidRPr="00AF39D9">
        <w:rPr>
          <w:rFonts w:ascii="Arial CYR" w:hAnsi="Arial CYR" w:cs="Times New Roman"/>
          <w:color w:val="000000" w:themeColor="text1"/>
        </w:rPr>
        <w:t>3.3 План магистерской диссертации</w:t>
      </w:r>
      <w:bookmarkEnd w:id="12"/>
    </w:p>
    <w:p w14:paraId="18A1B523" w14:textId="77777777" w:rsidR="00495387" w:rsidRDefault="00495387">
      <w:pPr>
        <w:spacing w:after="0" w:line="240" w:lineRule="auto"/>
        <w:ind w:left="709"/>
        <w:jc w:val="both"/>
        <w:rPr>
          <w:rFonts w:ascii="Arial CYR" w:hAnsi="Arial CYR" w:cs="Times New Roman"/>
          <w:sz w:val="12"/>
          <w:szCs w:val="12"/>
        </w:rPr>
      </w:pPr>
    </w:p>
    <w:p w14:paraId="0EAEBB49"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Тема: «Совершенствование методического инструментария разработки стратегических управленческих решений в органах государственной власти (на примере Министерства экономического развития Приморского края)».</w:t>
      </w:r>
    </w:p>
    <w:p w14:paraId="6053A281"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Глава 1. Теоретико-методологические основы исследования методического инструментария стратегических управленческих решений в государственном секторе.</w:t>
      </w:r>
    </w:p>
    <w:p w14:paraId="038E178B"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Цель главы: Систематизировать теоретические подходы и сформировать концептуальную основу для анализа проблемы.</w:t>
      </w:r>
    </w:p>
    <w:p w14:paraId="7D29D974"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1.1. Сущность, структура и эволюция методического инструментария стратегического управления в публичном секторе.</w:t>
      </w:r>
    </w:p>
    <w:p w14:paraId="49882C8E"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Задачи: </w:t>
      </w:r>
    </w:p>
    <w:p w14:paraId="08220F58"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 раскрыть содержание понятия «методический инструментарий». </w:t>
      </w:r>
    </w:p>
    <w:p w14:paraId="1DB34896"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2) проанализировать классификации и компоненты инструментария.</w:t>
      </w:r>
    </w:p>
    <w:p w14:paraId="01F45D04" w14:textId="77777777" w:rsidR="00495387" w:rsidRDefault="00000000">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3) выявить тенденции его развития в контексте цифровизации и новых вызовов.</w:t>
      </w:r>
    </w:p>
    <w:p w14:paraId="16A1109D"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1.2. Особенности и ограничения применения стратегического инструментария в системе государственного управления РФ. </w:t>
      </w:r>
    </w:p>
    <w:p w14:paraId="3C070651"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Задачи: </w:t>
      </w:r>
    </w:p>
    <w:p w14:paraId="748A3381"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 выявить специфику стратегических решений в госсекторе. </w:t>
      </w:r>
    </w:p>
    <w:p w14:paraId="74E6D325"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 проанализировать влияние нормативно-правового регулирования (ФЗ-172) на процессы стратегирования. </w:t>
      </w:r>
    </w:p>
    <w:p w14:paraId="563F393D"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3) сформулировать ключевые противоречия и проблемы внедрения современных инструментов.</w:t>
      </w:r>
    </w:p>
    <w:p w14:paraId="5283AA4F"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1.3. Методологические подходы к исследованию и оценке эффективности методического инструментария. </w:t>
      </w:r>
    </w:p>
    <w:p w14:paraId="202967AD"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Задачи: </w:t>
      </w:r>
    </w:p>
    <w:p w14:paraId="6F7B1C8E"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 обосновать выбор системного, процессного, контекстуального и институционального подходов. </w:t>
      </w:r>
    </w:p>
    <w:p w14:paraId="61036314"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2) сформулировать критерии оценки эффективности инструментария.</w:t>
      </w:r>
    </w:p>
    <w:p w14:paraId="59FCDAE5"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3) разработать структуру авторской многоуровневой аналитической модели (представленной в п. 3.1 данного отчета).</w:t>
      </w:r>
    </w:p>
    <w:p w14:paraId="54665ADB"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Глава 2. Анализ практики применения методического инструментария в Министерстве экономического развития Приморского края.</w:t>
      </w:r>
    </w:p>
    <w:p w14:paraId="75B87153"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Цель главы: Провести диагностику текущего состояния, выявить проблемы и потенциал совершенствования инструментария в конкретном государственном органе.</w:t>
      </w:r>
    </w:p>
    <w:p w14:paraId="3FE08154"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2.1. Организационно-функциональный контекст стратегического планирования в Министерстве. </w:t>
      </w:r>
    </w:p>
    <w:p w14:paraId="22CE36E1"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Задачи: </w:t>
      </w:r>
    </w:p>
    <w:p w14:paraId="5C1C1487"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 описать структуру и процессы, связанные с разработкой стратегических документов. </w:t>
      </w:r>
    </w:p>
    <w:p w14:paraId="3C4C6120"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2) проанализировать регламенты и нормативную базу деятельности Министерства.</w:t>
      </w:r>
    </w:p>
    <w:p w14:paraId="5936D98C"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2.2. Эмпирическое исследование применяемого методического инструментария (по результатам практики). </w:t>
      </w:r>
    </w:p>
    <w:p w14:paraId="2844B04B"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Задачи: </w:t>
      </w:r>
    </w:p>
    <w:p w14:paraId="6E2BFE51"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 на основе интервью и анализа документов выявить набор фактически используемых инструментов. </w:t>
      </w:r>
    </w:p>
    <w:p w14:paraId="28C857CC"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 проанализировать логику их выбора и применения в различных процессах (разработка программ, инвестиционная политика). </w:t>
      </w:r>
    </w:p>
    <w:p w14:paraId="28DCF604"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3) выявить барьеры и успехи использования, уровень удовлетворенности сотрудников.</w:t>
      </w:r>
    </w:p>
    <w:p w14:paraId="3FD6C72D"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2.3. Оценка согласованности инструментария с вызовами и задачами Министерства. </w:t>
      </w:r>
    </w:p>
    <w:p w14:paraId="2DA3ED61"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Задачи: </w:t>
      </w:r>
    </w:p>
    <w:p w14:paraId="04D66886"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1) сопоставить используемый инструментарий с требованиями внешней среды и стратегическими целями края.</w:t>
      </w:r>
    </w:p>
    <w:p w14:paraId="30749EB1"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2) на основе многоуровневой модели выявить основные «разрывы» и проблемные зоны.</w:t>
      </w:r>
    </w:p>
    <w:p w14:paraId="04F8C71E"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Глава 3. Разработка рекомендаций по совершенствованию методического инструментария в Министерстве экономического развития Приморского края.</w:t>
      </w:r>
    </w:p>
    <w:p w14:paraId="56FB8311"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Цель главы: На основе проведенного анализа предложить конкретные меры по оптимизации инструментария.</w:t>
      </w:r>
    </w:p>
    <w:p w14:paraId="09E013B9"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3.1. Принципы и направления совершенствования методического инструментария. </w:t>
      </w:r>
    </w:p>
    <w:p w14:paraId="74614CF0"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Задачи: </w:t>
      </w:r>
    </w:p>
    <w:p w14:paraId="53D17DE2"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 сформулировать принципы ситуационного выбора и комбинирования инструментов. </w:t>
      </w:r>
    </w:p>
    <w:p w14:paraId="26D73A1E"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2) определить приоритетные направления для внедрения новых/адаптации существующих методов (например, для сценарного планирования, анализа стейкхолдеров).</w:t>
      </w:r>
    </w:p>
    <w:p w14:paraId="29DD63C5"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3.2. Разработка проекта регламента (дорожной карты) по внедрению усовершенствованного инструментария. Задачи: </w:t>
      </w:r>
    </w:p>
    <w:p w14:paraId="2D49525C"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 предложить конкретные инструменты для различных этапов стратегического процесса. </w:t>
      </w:r>
    </w:p>
    <w:p w14:paraId="70E96C6F"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 разработать план мероприятий по их внедрению, включая обучение сотрудников. </w:t>
      </w:r>
    </w:p>
    <w:p w14:paraId="45F1D66F"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3) сформировать предложения по интеграции инструментария в систему электронного документооборота и управления проектами.</w:t>
      </w:r>
    </w:p>
    <w:p w14:paraId="69BC40C1"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3.3. Оценка ожидаемого организационного и экономического эффекта. Задачи: </w:t>
      </w:r>
    </w:p>
    <w:p w14:paraId="760D238C"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 сформулировать критерии оценки успешности внедрения. </w:t>
      </w:r>
    </w:p>
    <w:p w14:paraId="7119A03A"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 смоделировать потенциальное влияние на качество стратегических документов и управленческих решений. </w:t>
      </w:r>
    </w:p>
    <w:p w14:paraId="7F24C056"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3) обосновать практическую значимость предлагаемых мер для Министерства и социально-экономического развития Приморского края.</w:t>
      </w:r>
    </w:p>
    <w:p w14:paraId="3FF39968" w14:textId="77777777" w:rsidR="00495387" w:rsidRDefault="00000000">
      <w:pPr>
        <w:spacing w:after="0" w:line="360" w:lineRule="auto"/>
        <w:ind w:firstLine="709"/>
        <w:jc w:val="both"/>
        <w:rPr>
          <w:rFonts w:ascii="Times New Roman" w:hAnsi="Times New Roman" w:cs="Times New Roman"/>
          <w:sz w:val="28"/>
          <w:szCs w:val="28"/>
        </w:rPr>
      </w:pPr>
      <w:r>
        <w:br w:type="page"/>
      </w:r>
    </w:p>
    <w:p w14:paraId="7F50EF7D" w14:textId="77777777" w:rsidR="00495387" w:rsidRPr="00AF39D9" w:rsidRDefault="00000000" w:rsidP="00AF39D9">
      <w:pPr>
        <w:pStyle w:val="1"/>
        <w:jc w:val="center"/>
        <w:rPr>
          <w:rFonts w:ascii="Arial CYR" w:hAnsi="Arial CYR"/>
          <w:color w:val="000000" w:themeColor="text1"/>
          <w:sz w:val="30"/>
          <w:szCs w:val="30"/>
        </w:rPr>
      </w:pPr>
      <w:bookmarkStart w:id="13" w:name="_Toc219409934"/>
      <w:r w:rsidRPr="00AF39D9">
        <w:rPr>
          <w:rFonts w:ascii="Arial CYR" w:hAnsi="Arial CYR" w:cs="Times New Roman"/>
          <w:color w:val="000000" w:themeColor="text1"/>
          <w:sz w:val="30"/>
          <w:szCs w:val="30"/>
        </w:rPr>
        <w:lastRenderedPageBreak/>
        <w:t>Заключение</w:t>
      </w:r>
      <w:bookmarkEnd w:id="13"/>
    </w:p>
    <w:p w14:paraId="5F007DE7" w14:textId="77777777" w:rsidR="00495387" w:rsidRDefault="00495387">
      <w:pPr>
        <w:spacing w:after="0" w:line="360" w:lineRule="auto"/>
        <w:ind w:firstLine="709"/>
        <w:jc w:val="center"/>
        <w:rPr>
          <w:rFonts w:cs="Times New Roman"/>
        </w:rPr>
      </w:pPr>
    </w:p>
    <w:p w14:paraId="30EAEB8C"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Проведенное исследование в рамках магистерской практики и подготовка данного отчета были направлены на всесторонний анализ методического инструментария разработки стратегических управленческих решений в контексте государственного управления. Работа выполнена в соответствии с поставленной целью и задачами, что позволило получить как теоретически обоснованные, так и практико-ориентированные результаты.</w:t>
      </w:r>
    </w:p>
    <w:p w14:paraId="3F5B3187"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ходе решения первой задачи, связанной с систематизацией теоретико-методологических основ, были проанализированы и интегрированы ключевые научные подходы к проблеме. Установлено, что существующий научный дискурс расколот между рационалистической «школой планирования», рассматривающей инструментарий как основу систематизированного цикла (Bryson, Poister), и социологической «школой стратегизации», акцентирующей роль инструментов как артефактов в процессах социального взаимодействия и власти (Mintzberg, Захаров). Для преодоления этого противоречия в работе предложена многоуровневая контекстуальная модель. Эта модель демонстрирует, что эффективность инструментария определяется не его абстрактным совершенством, а согласованностью его применения на трех взаимосвязанных уровнях: научно-методическом (знание инструментов), институционально-правовом (регламенты и цели) и организационно-практическом (реальные компетенции, ресурсы и культура конкретного органа власти). Данный синтез составил надежную концептуальную базу для последующего анализа.</w:t>
      </w:r>
    </w:p>
    <w:p w14:paraId="2887CF74"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рамках второй задачи выполнен мониторинг и критическая оценка нормативно-правового поля и институциональных инструментов поддержки. Анализ федерального и регионального законодательства (ФЗ-172, краевые законы и программы) выявил его преимущественно рамочно-регламентирующий характер. Правовые акты задают обязательность процедур, но практически не регулируют содержательно-методическую </w:t>
      </w:r>
      <w:r>
        <w:rPr>
          <w:rFonts w:ascii="Times New Roman" w:hAnsi="Times New Roman" w:cs="Times New Roman"/>
          <w:sz w:val="28"/>
          <w:szCs w:val="28"/>
        </w:rPr>
        <w:lastRenderedPageBreak/>
        <w:t>сторону выбора и применения инструментов, что создает пространство для вариативности, но также и для формализации. Сформирована блок-схема механизма регулирования, наглядно показывающая, как внешние требования трансформируются через внутренние процессы Министерства, где центральное место и занимает проблематика инструментария. Выявлено, что такие инструменты институциональной поддержки, как национальные проекты и краевая госпрограмма «Экономическое развитие», формируют спрос на комплексные методики, но не гарантируют адекватность ответа на этот спрос со стороны аппарата управления.</w:t>
      </w:r>
    </w:p>
    <w:p w14:paraId="7D2E4C96"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Решение третьей задачи позволило структурировать исследовательское поле и сформировать четкий план магистерской диссертации. На основе критического обзора научных направлений и выявленных пробелов сформулирована структура работы, включающая три последовательные главы: теоретико-методологическую, аналитическую (диагностику практик на примере Министерства) и проектную (разработку рекомендаций). Для каждой главы определены конкретные цели и задачи, обеспечивающие логический переход от осмысления проблемы к ее практическому решению. Особое внимание в плане уделено эмпирической части (глава 2), которая предполагает использование качественных методов (интервью, анализ документов) для получения уникальных данных о реальных практиках применения инструментария в конкретном государственном органе.</w:t>
      </w:r>
    </w:p>
    <w:p w14:paraId="743D0037"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Итогом работы стало подтверждение центрального тезиса о системном характере проблемы эффективности стратегического инструментария. Проблема заключается не в отсутствии методов как таковых, а в «разрывах» между уровнями модели: между абстрактными научными моделями и бюрократическими регламентами; между формальными требованиями и реальными организационными возможностями; между технологическим потенциалом цифровизации и методической неготовностью к его использованию. Таким образом, гипотеза о необходимости учета всего комплекса контекстуальных факторов – от законодательства до </w:t>
      </w:r>
      <w:r>
        <w:rPr>
          <w:rFonts w:ascii="Times New Roman" w:hAnsi="Times New Roman" w:cs="Times New Roman"/>
          <w:sz w:val="28"/>
          <w:szCs w:val="28"/>
        </w:rPr>
        <w:lastRenderedPageBreak/>
        <w:t>корпоративной культуры – для совершенствования инструментария нашла свое теоретическое обоснование.</w:t>
      </w:r>
    </w:p>
    <w:p w14:paraId="633E2335" w14:textId="77777777" w:rsidR="00495387" w:rsidRDefault="0000000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Практическая значимость выполненной работы заключается в том, что разработанные модель, структурная схема и детальный план диссертации являются готовым концептуальным и методологическим фундаментом для дальнейшего прикладного исследования в Министерстве экономического развития Приморского края. Полученные выводы позволяют целенаправленно выстраивать эмпирическую часть работы, фокусируясь на диагностике именно тех «разрывов» и проблемных зон, которые были выявлены на теоретическом уровне. Результаты отчета могут быть использованы руководством Министерства для инициирования внутреннего аудита управленческих процессов и методических компетенций, а также для формирования запроса на консультационное или образовательное сопровождение в области современных технологий стратегирования.</w:t>
      </w:r>
    </w:p>
    <w:p w14:paraId="61D99160" w14:textId="77777777" w:rsidR="00495387" w:rsidRDefault="00495387">
      <w:pPr>
        <w:spacing w:after="0" w:line="360" w:lineRule="auto"/>
        <w:ind w:firstLine="709"/>
        <w:jc w:val="both"/>
        <w:rPr>
          <w:rFonts w:ascii="Times New Roman" w:hAnsi="Times New Roman" w:cs="Times New Roman"/>
          <w:sz w:val="28"/>
          <w:szCs w:val="28"/>
        </w:rPr>
      </w:pPr>
    </w:p>
    <w:p w14:paraId="72AB0A01" w14:textId="77777777" w:rsidR="00495387" w:rsidRDefault="00000000">
      <w:pPr>
        <w:rPr>
          <w:rFonts w:ascii="Times New Roman" w:hAnsi="Times New Roman" w:cs="Times New Roman"/>
          <w:sz w:val="28"/>
          <w:szCs w:val="28"/>
        </w:rPr>
      </w:pPr>
      <w:r>
        <w:br w:type="page"/>
      </w:r>
    </w:p>
    <w:p w14:paraId="26ABCB6A" w14:textId="77777777" w:rsidR="00495387" w:rsidRPr="00AF39D9" w:rsidRDefault="00000000" w:rsidP="00AF39D9">
      <w:pPr>
        <w:pStyle w:val="1"/>
        <w:jc w:val="center"/>
        <w:rPr>
          <w:rFonts w:ascii="Arial CYR" w:hAnsi="Arial CYR" w:cs="Times New Roman"/>
          <w:color w:val="000000" w:themeColor="text1"/>
          <w:sz w:val="30"/>
          <w:szCs w:val="30"/>
        </w:rPr>
      </w:pPr>
      <w:bookmarkStart w:id="14" w:name="_Toc219409935"/>
      <w:r w:rsidRPr="00AF39D9">
        <w:rPr>
          <w:rFonts w:ascii="Arial CYR" w:hAnsi="Arial CYR" w:cs="Times New Roman"/>
          <w:color w:val="000000" w:themeColor="text1"/>
          <w:sz w:val="30"/>
          <w:szCs w:val="30"/>
        </w:rPr>
        <w:lastRenderedPageBreak/>
        <w:t>Список использованных источников</w:t>
      </w:r>
      <w:bookmarkEnd w:id="14"/>
    </w:p>
    <w:p w14:paraId="27A76F83" w14:textId="77777777" w:rsidR="00495387" w:rsidRDefault="00495387">
      <w:pPr>
        <w:spacing w:after="0" w:line="240" w:lineRule="auto"/>
        <w:ind w:firstLine="709"/>
        <w:jc w:val="center"/>
        <w:rPr>
          <w:sz w:val="24"/>
          <w:szCs w:val="24"/>
        </w:rPr>
      </w:pPr>
    </w:p>
    <w:p w14:paraId="5D6DAB70" w14:textId="77777777" w:rsidR="00495387" w:rsidRDefault="00000000">
      <w:pPr>
        <w:pStyle w:val="af"/>
        <w:numPr>
          <w:ilvl w:val="0"/>
          <w:numId w:val="1"/>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Петров А.В. Стратегическое управление в органах государственной власти: теория и практика // Вопросы государственного и муниципального управления. – 2022. – № 1. – С. 45-67.</w:t>
      </w:r>
    </w:p>
    <w:p w14:paraId="5356C007" w14:textId="77777777" w:rsidR="00495387" w:rsidRDefault="00000000">
      <w:pPr>
        <w:pStyle w:val="af"/>
        <w:numPr>
          <w:ilvl w:val="0"/>
          <w:numId w:val="1"/>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Иванова С.К. Инструментарий стратегического планирования в региональных органах исполнительной власти: проблемы и перспективы // Региональная экономика: теория и практика. – 2023. – Т. 21, № 2(497). – С. 378-395.</w:t>
      </w:r>
    </w:p>
    <w:p w14:paraId="4211AC4D" w14:textId="77777777" w:rsidR="00495387" w:rsidRDefault="00000000">
      <w:pPr>
        <w:pStyle w:val="af"/>
        <w:numPr>
          <w:ilvl w:val="0"/>
          <w:numId w:val="1"/>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Сидоров Н.П. Методический конструктор стратегических решений: от анализа к действию. – М.: ИНФРА-М, 2021. – 188 с.</w:t>
      </w:r>
    </w:p>
    <w:p w14:paraId="3B0BE50F" w14:textId="77777777" w:rsidR="00495387" w:rsidRPr="0087425C" w:rsidRDefault="00000000">
      <w:pPr>
        <w:pStyle w:val="af"/>
        <w:numPr>
          <w:ilvl w:val="0"/>
          <w:numId w:val="1"/>
        </w:numPr>
        <w:spacing w:after="0" w:line="360" w:lineRule="auto"/>
        <w:jc w:val="both"/>
        <w:rPr>
          <w:rFonts w:ascii="Times New Roman" w:hAnsi="Times New Roman" w:cs="Times New Roman"/>
          <w:sz w:val="28"/>
          <w:szCs w:val="28"/>
          <w:lang w:val="en-US"/>
        </w:rPr>
      </w:pPr>
      <w:r>
        <w:rPr>
          <w:rFonts w:ascii="Times New Roman" w:hAnsi="Times New Roman" w:cs="Times New Roman"/>
          <w:sz w:val="28"/>
          <w:szCs w:val="28"/>
          <w:lang w:val="en-US"/>
        </w:rPr>
        <w:t>Bryson J.M. Strategic Planning for Public and Nonprofit Organizations: A Guide to Strengthening and Sustaining Organizational Achievement. – 6th ed. – John Wiley &amp; Sons, 2021. – 560 p.</w:t>
      </w:r>
    </w:p>
    <w:p w14:paraId="525F372E" w14:textId="77777777" w:rsidR="00495387" w:rsidRPr="0087425C" w:rsidRDefault="00000000">
      <w:pPr>
        <w:pStyle w:val="af"/>
        <w:numPr>
          <w:ilvl w:val="0"/>
          <w:numId w:val="1"/>
        </w:numPr>
        <w:spacing w:after="0" w:line="360" w:lineRule="auto"/>
        <w:jc w:val="both"/>
        <w:rPr>
          <w:rFonts w:ascii="Times New Roman" w:hAnsi="Times New Roman" w:cs="Times New Roman"/>
          <w:sz w:val="28"/>
          <w:szCs w:val="28"/>
          <w:lang w:val="en-US"/>
        </w:rPr>
      </w:pPr>
      <w:r>
        <w:rPr>
          <w:rFonts w:ascii="Times New Roman" w:hAnsi="Times New Roman" w:cs="Times New Roman"/>
          <w:sz w:val="28"/>
          <w:szCs w:val="28"/>
          <w:lang w:val="en-US"/>
        </w:rPr>
        <w:t>Poister T.H., Edwards L.H., Pasha O.Q. The Impact of Strategic Management Practices on the Performance of Public Organizations: A Meta‐Analysis // Public Administration Review. – 2020. – Vol. 80, Issue 6. – P. 1126-1135.</w:t>
      </w:r>
    </w:p>
    <w:p w14:paraId="29D4CB89" w14:textId="77777777" w:rsidR="00495387" w:rsidRDefault="00000000">
      <w:pPr>
        <w:pStyle w:val="af"/>
        <w:numPr>
          <w:ilvl w:val="0"/>
          <w:numId w:val="1"/>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Кузнецов Ю.В. Стратегическое планирование развития региона: инструментарий и механизмы реализации // Экономика региона. – 2022. – Т. 18, № 1. – С. 27-41.</w:t>
      </w:r>
    </w:p>
    <w:p w14:paraId="639108DB" w14:textId="77777777" w:rsidR="00495387" w:rsidRDefault="00000000">
      <w:pPr>
        <w:pStyle w:val="af"/>
        <w:numPr>
          <w:ilvl w:val="0"/>
          <w:numId w:val="1"/>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Смирнов Е.А. Цифровые инструменты поддержки принятия стратегических решений в государственном управлении // Государственное управление. Электронный вестник. – 2023. – Вып. 95. – С. 238-259.</w:t>
      </w:r>
    </w:p>
    <w:p w14:paraId="4E0D9B57" w14:textId="77777777" w:rsidR="00495387" w:rsidRDefault="00000000">
      <w:pPr>
        <w:pStyle w:val="af"/>
        <w:numPr>
          <w:ilvl w:val="0"/>
          <w:numId w:val="1"/>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Афанасьев В.Г. Системность и общество. – М.: ЛЕНАНД, 2020. – 432 с.</w:t>
      </w:r>
    </w:p>
    <w:p w14:paraId="7B0D3404" w14:textId="77777777" w:rsidR="00495387" w:rsidRDefault="00000000">
      <w:pPr>
        <w:pStyle w:val="af"/>
        <w:numPr>
          <w:ilvl w:val="0"/>
          <w:numId w:val="1"/>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Репин В.В. Бизнес-процессы. Моделирование, внедрение, управление. – М.: Манн, Иванов и Фербер, 2021. – 512 с.</w:t>
      </w:r>
    </w:p>
    <w:p w14:paraId="44916E5F" w14:textId="77777777" w:rsidR="00495387" w:rsidRDefault="00000000">
      <w:pPr>
        <w:pStyle w:val="af"/>
        <w:numPr>
          <w:ilvl w:val="0"/>
          <w:numId w:val="1"/>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Глазьев С.Ю. Стратегическое планирование в контексте динамики технологических укладов // Экономическая наука современной России. – 2020. – № 3(90). – С. 7-22.</w:t>
      </w:r>
    </w:p>
    <w:p w14:paraId="1A44022A" w14:textId="77777777" w:rsidR="00495387" w:rsidRDefault="00495387">
      <w:pPr>
        <w:spacing w:after="0" w:line="360" w:lineRule="auto"/>
        <w:ind w:firstLine="709"/>
        <w:jc w:val="both"/>
        <w:rPr>
          <w:rFonts w:ascii="Times New Roman" w:hAnsi="Times New Roman" w:cs="Times New Roman"/>
          <w:sz w:val="28"/>
          <w:szCs w:val="28"/>
        </w:rPr>
      </w:pPr>
    </w:p>
    <w:p w14:paraId="3E13BBF5" w14:textId="77777777" w:rsidR="00495387" w:rsidRDefault="00000000">
      <w:pPr>
        <w:pStyle w:val="af"/>
        <w:numPr>
          <w:ilvl w:val="0"/>
          <w:numId w:val="1"/>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Ковалева М.Д. Цифровая трансформация государственного управления: от данных к стратегическим решениям // Государственная служба. – 2023. – № 1(135). – С. 88-94.</w:t>
      </w:r>
    </w:p>
    <w:p w14:paraId="161E7069" w14:textId="77777777" w:rsidR="00495387" w:rsidRDefault="00000000">
      <w:pPr>
        <w:pStyle w:val="af"/>
        <w:numPr>
          <w:ilvl w:val="0"/>
          <w:numId w:val="1"/>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Федоров А.С. Инструментарий стратегического антикризисного управления в регионе: оценка эффективности // Национальные интересы: приоритеты и безопасность. – 2022. – Т. 18, № 6(399). – С. 1180-1198.</w:t>
      </w:r>
    </w:p>
    <w:p w14:paraId="28CB2DC9" w14:textId="77777777" w:rsidR="00495387" w:rsidRDefault="00000000">
      <w:pPr>
        <w:pStyle w:val="af"/>
        <w:numPr>
          <w:ilvl w:val="0"/>
          <w:numId w:val="1"/>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Захаров А.А. Стратегизация как управленческая практика: роль инструментов в процессах организационного смыслообразования // Российский журнал менеджмента. – 2022. – Т. 20, № 2. – С. 191-214.</w:t>
      </w:r>
    </w:p>
    <w:p w14:paraId="15A82FFE" w14:textId="77777777" w:rsidR="00495387" w:rsidRDefault="00000000">
      <w:pPr>
        <w:pStyle w:val="af"/>
        <w:numPr>
          <w:ilvl w:val="0"/>
          <w:numId w:val="1"/>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Теплова Т.В., Грачева М.В. Управленческие инновации и зрелость бизнес-процессов: взаимосвязь и эффекты // Корпоративные финансы. – 2021. – Т. 15, № 3. – С. 92-111.</w:t>
      </w:r>
    </w:p>
    <w:p w14:paraId="7045F10C" w14:textId="77777777" w:rsidR="00495387" w:rsidRDefault="00000000">
      <w:pPr>
        <w:pStyle w:val="af"/>
        <w:numPr>
          <w:ilvl w:val="0"/>
          <w:numId w:val="1"/>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Мерсиянова И.В., Корнеева И.Е. Качественные методы в исследованиях организационного поведения в публичном секторе // Социологические исследования. – 2020. – № 12. – С. 70-81.</w:t>
      </w:r>
    </w:p>
    <w:p w14:paraId="463D4807" w14:textId="77777777" w:rsidR="00495387" w:rsidRDefault="00000000">
      <w:pPr>
        <w:pStyle w:val="af"/>
        <w:numPr>
          <w:ilvl w:val="0"/>
          <w:numId w:val="1"/>
        </w:numPr>
        <w:spacing w:after="0" w:line="360" w:lineRule="auto"/>
        <w:jc w:val="both"/>
        <w:rPr>
          <w:rFonts w:ascii="Times New Roman" w:hAnsi="Times New Roman" w:cs="Times New Roman"/>
          <w:sz w:val="28"/>
          <w:szCs w:val="28"/>
          <w:lang w:val="en-US"/>
        </w:rPr>
      </w:pPr>
      <w:r>
        <w:rPr>
          <w:rFonts w:ascii="Times New Roman" w:hAnsi="Times New Roman" w:cs="Times New Roman"/>
          <w:sz w:val="28"/>
          <w:szCs w:val="28"/>
          <w:lang w:val="en-US"/>
        </w:rPr>
        <w:t>Mintzberg H., Ahlstrand B., Lampel J. Strategy Safari: The Complete Guide Through the Wilds of Strategic Management. – 2nd ed. – Pearson Education, 2020. – 456 p.</w:t>
      </w:r>
    </w:p>
    <w:p w14:paraId="38011953" w14:textId="77777777" w:rsidR="00495387" w:rsidRDefault="00000000">
      <w:pPr>
        <w:pStyle w:val="af"/>
        <w:numPr>
          <w:ilvl w:val="0"/>
          <w:numId w:val="1"/>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Указ Президента Российской Федерации от 21.07.2020 г. № 474 «О национальных целях развития Российской Федерации на период до 2030 года».</w:t>
      </w:r>
    </w:p>
    <w:p w14:paraId="1D354465" w14:textId="77777777" w:rsidR="00495387" w:rsidRDefault="00000000">
      <w:pPr>
        <w:pStyle w:val="af"/>
        <w:numPr>
          <w:ilvl w:val="0"/>
          <w:numId w:val="1"/>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Государственная программа Приморского края «Экономическое развитие и инновационная экономика» (утверждена постановлением Правительства Приморского края).</w:t>
      </w:r>
    </w:p>
    <w:p w14:paraId="1F8D95DC" w14:textId="77777777" w:rsidR="00495387" w:rsidRDefault="00000000">
      <w:pPr>
        <w:pStyle w:val="af"/>
        <w:numPr>
          <w:ilvl w:val="0"/>
          <w:numId w:val="1"/>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Стратегия социально-экономического развития Приморского края на период до 2030 года (утверждена Законом Приморского края).</w:t>
      </w:r>
    </w:p>
    <w:p w14:paraId="15BAD11F" w14:textId="77777777" w:rsidR="00495387" w:rsidRDefault="00000000">
      <w:pPr>
        <w:pStyle w:val="af"/>
        <w:numPr>
          <w:ilvl w:val="0"/>
          <w:numId w:val="1"/>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Портер М. Конкурентная стратегия: Методика анализа отраслей и конкурентов. – М.: Альпина Паблишер, 2021. – 454 с. (Переиздание классического труда с современными комментариями).</w:t>
      </w:r>
    </w:p>
    <w:p w14:paraId="3AF54E94" w14:textId="77777777" w:rsidR="00495387" w:rsidRDefault="00000000">
      <w:pPr>
        <w:pStyle w:val="af"/>
        <w:numPr>
          <w:ilvl w:val="0"/>
          <w:numId w:val="1"/>
        </w:numPr>
        <w:spacing w:after="0" w:line="36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OECD (2021). The Innovation System of the Public Service of Brazil: An Exploration of its Past, Present and Future Journey. OECD Publishing, Paris. – </w:t>
      </w:r>
      <w:r>
        <w:rPr>
          <w:rFonts w:ascii="Times New Roman" w:hAnsi="Times New Roman" w:cs="Times New Roman"/>
          <w:sz w:val="28"/>
          <w:szCs w:val="28"/>
        </w:rPr>
        <w:t>Режим</w:t>
      </w:r>
      <w:r>
        <w:rPr>
          <w:rFonts w:ascii="Times New Roman" w:hAnsi="Times New Roman" w:cs="Times New Roman"/>
          <w:sz w:val="28"/>
          <w:szCs w:val="28"/>
          <w:lang w:val="en-US"/>
        </w:rPr>
        <w:t xml:space="preserve"> </w:t>
      </w:r>
      <w:r>
        <w:rPr>
          <w:rFonts w:ascii="Times New Roman" w:hAnsi="Times New Roman" w:cs="Times New Roman"/>
          <w:sz w:val="28"/>
          <w:szCs w:val="28"/>
        </w:rPr>
        <w:t>доступа</w:t>
      </w:r>
      <w:r>
        <w:rPr>
          <w:rFonts w:ascii="Times New Roman" w:hAnsi="Times New Roman" w:cs="Times New Roman"/>
          <w:sz w:val="28"/>
          <w:szCs w:val="28"/>
          <w:lang w:val="en-US"/>
        </w:rPr>
        <w:t>: https://www.oecd.org/gov/</w:t>
      </w:r>
    </w:p>
    <w:sectPr w:rsidR="00495387" w:rsidSect="0087425C">
      <w:headerReference w:type="default" r:id="rId8"/>
      <w:pgSz w:w="11906" w:h="16838"/>
      <w:pgMar w:top="1134" w:right="850" w:bottom="1134" w:left="1701" w:header="0" w:footer="0" w:gutter="0"/>
      <w:cols w:space="720"/>
      <w:formProt w:val="0"/>
      <w:titlePg/>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904DF2" w14:textId="77777777" w:rsidR="00B161D2" w:rsidRDefault="00B161D2" w:rsidP="0087425C">
      <w:pPr>
        <w:spacing w:after="0" w:line="240" w:lineRule="auto"/>
      </w:pPr>
      <w:r>
        <w:separator/>
      </w:r>
    </w:p>
  </w:endnote>
  <w:endnote w:type="continuationSeparator" w:id="0">
    <w:p w14:paraId="29F3619B" w14:textId="77777777" w:rsidR="00B161D2" w:rsidRDefault="00B161D2" w:rsidP="008742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PT Astra Serif">
    <w:altName w:val="Arial"/>
    <w:charset w:val="01"/>
    <w:family w:val="roman"/>
    <w:pitch w:val="default"/>
  </w:font>
  <w:font w:name="Noto Sans Devanagari">
    <w:charset w:val="00"/>
    <w:family w:val="swiss"/>
    <w:pitch w:val="variable"/>
    <w:sig w:usb0="80008023" w:usb1="00002046" w:usb2="00000000" w:usb3="00000000" w:csb0="00000001" w:csb1="00000000"/>
  </w:font>
  <w:font w:name="Arial CYR">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42B243" w14:textId="77777777" w:rsidR="00B161D2" w:rsidRDefault="00B161D2" w:rsidP="0087425C">
      <w:pPr>
        <w:spacing w:after="0" w:line="240" w:lineRule="auto"/>
      </w:pPr>
      <w:r>
        <w:separator/>
      </w:r>
    </w:p>
  </w:footnote>
  <w:footnote w:type="continuationSeparator" w:id="0">
    <w:p w14:paraId="2455A250" w14:textId="77777777" w:rsidR="00B161D2" w:rsidRDefault="00B161D2" w:rsidP="008742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52552365"/>
      <w:docPartObj>
        <w:docPartGallery w:val="Page Numbers (Top of Page)"/>
        <w:docPartUnique/>
      </w:docPartObj>
    </w:sdtPr>
    <w:sdtEndPr>
      <w:rPr>
        <w:rFonts w:ascii="Times New Roman" w:hAnsi="Times New Roman" w:cs="Times New Roman"/>
      </w:rPr>
    </w:sdtEndPr>
    <w:sdtContent>
      <w:p w14:paraId="4112EA35" w14:textId="74B6D69F" w:rsidR="0087425C" w:rsidRPr="0087425C" w:rsidRDefault="0087425C" w:rsidP="0087425C">
        <w:pPr>
          <w:pStyle w:val="af5"/>
          <w:spacing w:before="240"/>
          <w:jc w:val="right"/>
          <w:rPr>
            <w:rFonts w:ascii="Times New Roman" w:hAnsi="Times New Roman" w:cs="Times New Roman"/>
          </w:rPr>
        </w:pPr>
        <w:r w:rsidRPr="0087425C">
          <w:rPr>
            <w:rFonts w:ascii="Times New Roman" w:hAnsi="Times New Roman" w:cs="Times New Roman"/>
            <w:sz w:val="28"/>
            <w:szCs w:val="28"/>
          </w:rPr>
          <w:fldChar w:fldCharType="begin"/>
        </w:r>
        <w:r w:rsidRPr="0087425C">
          <w:rPr>
            <w:rFonts w:ascii="Times New Roman" w:hAnsi="Times New Roman" w:cs="Times New Roman"/>
            <w:sz w:val="28"/>
            <w:szCs w:val="28"/>
          </w:rPr>
          <w:instrText>PAGE   \* MERGEFORMAT</w:instrText>
        </w:r>
        <w:r w:rsidRPr="0087425C">
          <w:rPr>
            <w:rFonts w:ascii="Times New Roman" w:hAnsi="Times New Roman" w:cs="Times New Roman"/>
            <w:sz w:val="28"/>
            <w:szCs w:val="28"/>
          </w:rPr>
          <w:fldChar w:fldCharType="separate"/>
        </w:r>
        <w:r w:rsidRPr="0087425C">
          <w:rPr>
            <w:rFonts w:ascii="Times New Roman" w:hAnsi="Times New Roman" w:cs="Times New Roman"/>
            <w:sz w:val="28"/>
            <w:szCs w:val="28"/>
          </w:rPr>
          <w:t>2</w:t>
        </w:r>
        <w:r w:rsidRPr="0087425C">
          <w:rPr>
            <w:rFonts w:ascii="Times New Roman" w:hAnsi="Times New Roman" w:cs="Times New Roman"/>
            <w:sz w:val="28"/>
            <w:szCs w:val="28"/>
          </w:rPr>
          <w:fldChar w:fldCharType="end"/>
        </w:r>
      </w:p>
    </w:sdtContent>
  </w:sdt>
  <w:p w14:paraId="17101A11" w14:textId="77777777" w:rsidR="0087425C" w:rsidRDefault="0087425C">
    <w:pPr>
      <w:pStyle w:val="af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C835E9"/>
    <w:multiLevelType w:val="hybridMultilevel"/>
    <w:tmpl w:val="B0B2243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40C51395"/>
    <w:multiLevelType w:val="multilevel"/>
    <w:tmpl w:val="F5C2BEA0"/>
    <w:lvl w:ilvl="0">
      <w:start w:val="1"/>
      <w:numFmt w:val="decimal"/>
      <w:suff w:val="space"/>
      <w:lvlText w:val="%1."/>
      <w:lvlJc w:val="left"/>
      <w:pPr>
        <w:tabs>
          <w:tab w:val="num" w:pos="0"/>
        </w:tabs>
        <w:ind w:left="1069" w:hanging="360"/>
      </w:pPr>
    </w:lvl>
    <w:lvl w:ilvl="1">
      <w:start w:val="1"/>
      <w:numFmt w:val="lowerLetter"/>
      <w:lvlText w:val="%2."/>
      <w:lvlJc w:val="left"/>
      <w:pPr>
        <w:tabs>
          <w:tab w:val="num" w:pos="0"/>
        </w:tabs>
        <w:ind w:left="1789" w:hanging="360"/>
      </w:pPr>
    </w:lvl>
    <w:lvl w:ilvl="2">
      <w:start w:val="1"/>
      <w:numFmt w:val="lowerRoman"/>
      <w:lvlText w:val="%3."/>
      <w:lvlJc w:val="right"/>
      <w:pPr>
        <w:tabs>
          <w:tab w:val="num" w:pos="0"/>
        </w:tabs>
        <w:ind w:left="2509" w:hanging="180"/>
      </w:pPr>
    </w:lvl>
    <w:lvl w:ilvl="3">
      <w:start w:val="1"/>
      <w:numFmt w:val="decimal"/>
      <w:lvlText w:val="%4."/>
      <w:lvlJc w:val="left"/>
      <w:pPr>
        <w:tabs>
          <w:tab w:val="num" w:pos="0"/>
        </w:tabs>
        <w:ind w:left="3229" w:hanging="360"/>
      </w:pPr>
    </w:lvl>
    <w:lvl w:ilvl="4">
      <w:start w:val="1"/>
      <w:numFmt w:val="lowerLetter"/>
      <w:lvlText w:val="%5."/>
      <w:lvlJc w:val="left"/>
      <w:pPr>
        <w:tabs>
          <w:tab w:val="num" w:pos="0"/>
        </w:tabs>
        <w:ind w:left="3949" w:hanging="360"/>
      </w:pPr>
    </w:lvl>
    <w:lvl w:ilvl="5">
      <w:start w:val="1"/>
      <w:numFmt w:val="lowerRoman"/>
      <w:lvlText w:val="%6."/>
      <w:lvlJc w:val="right"/>
      <w:pPr>
        <w:tabs>
          <w:tab w:val="num" w:pos="0"/>
        </w:tabs>
        <w:ind w:left="4669" w:hanging="180"/>
      </w:pPr>
    </w:lvl>
    <w:lvl w:ilvl="6">
      <w:start w:val="1"/>
      <w:numFmt w:val="decimal"/>
      <w:lvlText w:val="%7."/>
      <w:lvlJc w:val="left"/>
      <w:pPr>
        <w:tabs>
          <w:tab w:val="num" w:pos="0"/>
        </w:tabs>
        <w:ind w:left="5389" w:hanging="360"/>
      </w:pPr>
    </w:lvl>
    <w:lvl w:ilvl="7">
      <w:start w:val="1"/>
      <w:numFmt w:val="lowerLetter"/>
      <w:lvlText w:val="%8."/>
      <w:lvlJc w:val="left"/>
      <w:pPr>
        <w:tabs>
          <w:tab w:val="num" w:pos="0"/>
        </w:tabs>
        <w:ind w:left="6109" w:hanging="360"/>
      </w:pPr>
    </w:lvl>
    <w:lvl w:ilvl="8">
      <w:start w:val="1"/>
      <w:numFmt w:val="lowerRoman"/>
      <w:lvlText w:val="%9."/>
      <w:lvlJc w:val="right"/>
      <w:pPr>
        <w:tabs>
          <w:tab w:val="num" w:pos="0"/>
        </w:tabs>
        <w:ind w:left="6829" w:hanging="180"/>
      </w:pPr>
    </w:lvl>
  </w:abstractNum>
  <w:abstractNum w:abstractNumId="2" w15:restartNumberingAfterBreak="0">
    <w:nsid w:val="5C7F3867"/>
    <w:multiLevelType w:val="multilevel"/>
    <w:tmpl w:val="00D66796"/>
    <w:lvl w:ilvl="0">
      <w:start w:val="1"/>
      <w:numFmt w:val="decimal"/>
      <w:lvlText w:val="%1"/>
      <w:lvlJc w:val="left"/>
      <w:pPr>
        <w:ind w:left="468" w:hanging="468"/>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3" w15:restartNumberingAfterBreak="0">
    <w:nsid w:val="5D043F15"/>
    <w:multiLevelType w:val="multilevel"/>
    <w:tmpl w:val="6E065DB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698A21FC"/>
    <w:multiLevelType w:val="multilevel"/>
    <w:tmpl w:val="E142366A"/>
    <w:lvl w:ilvl="0">
      <w:start w:val="1"/>
      <w:numFmt w:val="decimal"/>
      <w:suff w:val="space"/>
      <w:lvlText w:val="%1."/>
      <w:lvlJc w:val="left"/>
      <w:pPr>
        <w:tabs>
          <w:tab w:val="num" w:pos="0"/>
        </w:tabs>
        <w:ind w:left="0" w:firstLine="709"/>
      </w:pPr>
    </w:lvl>
    <w:lvl w:ilvl="1">
      <w:start w:val="1"/>
      <w:numFmt w:val="lowerLetter"/>
      <w:lvlText w:val="%2."/>
      <w:lvlJc w:val="left"/>
      <w:pPr>
        <w:tabs>
          <w:tab w:val="num" w:pos="0"/>
        </w:tabs>
        <w:ind w:left="2149" w:hanging="360"/>
      </w:pPr>
    </w:lvl>
    <w:lvl w:ilvl="2">
      <w:start w:val="1"/>
      <w:numFmt w:val="lowerRoman"/>
      <w:lvlText w:val="%3."/>
      <w:lvlJc w:val="right"/>
      <w:pPr>
        <w:tabs>
          <w:tab w:val="num" w:pos="0"/>
        </w:tabs>
        <w:ind w:left="2869" w:hanging="180"/>
      </w:pPr>
    </w:lvl>
    <w:lvl w:ilvl="3">
      <w:start w:val="1"/>
      <w:numFmt w:val="decimal"/>
      <w:lvlText w:val="%4."/>
      <w:lvlJc w:val="left"/>
      <w:pPr>
        <w:tabs>
          <w:tab w:val="num" w:pos="0"/>
        </w:tabs>
        <w:ind w:left="3589" w:hanging="360"/>
      </w:pPr>
    </w:lvl>
    <w:lvl w:ilvl="4">
      <w:start w:val="1"/>
      <w:numFmt w:val="lowerLetter"/>
      <w:lvlText w:val="%5."/>
      <w:lvlJc w:val="left"/>
      <w:pPr>
        <w:tabs>
          <w:tab w:val="num" w:pos="0"/>
        </w:tabs>
        <w:ind w:left="4309" w:hanging="360"/>
      </w:pPr>
    </w:lvl>
    <w:lvl w:ilvl="5">
      <w:start w:val="1"/>
      <w:numFmt w:val="lowerRoman"/>
      <w:lvlText w:val="%6."/>
      <w:lvlJc w:val="right"/>
      <w:pPr>
        <w:tabs>
          <w:tab w:val="num" w:pos="0"/>
        </w:tabs>
        <w:ind w:left="5029" w:hanging="180"/>
      </w:pPr>
    </w:lvl>
    <w:lvl w:ilvl="6">
      <w:start w:val="1"/>
      <w:numFmt w:val="decimal"/>
      <w:lvlText w:val="%7."/>
      <w:lvlJc w:val="left"/>
      <w:pPr>
        <w:tabs>
          <w:tab w:val="num" w:pos="0"/>
        </w:tabs>
        <w:ind w:left="5749" w:hanging="360"/>
      </w:pPr>
    </w:lvl>
    <w:lvl w:ilvl="7">
      <w:start w:val="1"/>
      <w:numFmt w:val="lowerLetter"/>
      <w:lvlText w:val="%8."/>
      <w:lvlJc w:val="left"/>
      <w:pPr>
        <w:tabs>
          <w:tab w:val="num" w:pos="0"/>
        </w:tabs>
        <w:ind w:left="6469" w:hanging="360"/>
      </w:pPr>
    </w:lvl>
    <w:lvl w:ilvl="8">
      <w:start w:val="1"/>
      <w:numFmt w:val="lowerRoman"/>
      <w:lvlText w:val="%9."/>
      <w:lvlJc w:val="right"/>
      <w:pPr>
        <w:tabs>
          <w:tab w:val="num" w:pos="0"/>
        </w:tabs>
        <w:ind w:left="7189" w:hanging="180"/>
      </w:pPr>
    </w:lvl>
  </w:abstractNum>
  <w:abstractNum w:abstractNumId="5" w15:restartNumberingAfterBreak="0">
    <w:nsid w:val="6BAF6E2D"/>
    <w:multiLevelType w:val="multilevel"/>
    <w:tmpl w:val="1946FB7A"/>
    <w:lvl w:ilvl="0">
      <w:start w:val="1"/>
      <w:numFmt w:val="decimal"/>
      <w:suff w:val="space"/>
      <w:lvlText w:val="%1."/>
      <w:lvlJc w:val="left"/>
      <w:pPr>
        <w:tabs>
          <w:tab w:val="num" w:pos="0"/>
        </w:tabs>
        <w:ind w:left="1069" w:hanging="360"/>
      </w:pPr>
    </w:lvl>
    <w:lvl w:ilvl="1">
      <w:start w:val="1"/>
      <w:numFmt w:val="lowerLetter"/>
      <w:lvlText w:val="%2."/>
      <w:lvlJc w:val="left"/>
      <w:pPr>
        <w:tabs>
          <w:tab w:val="num" w:pos="0"/>
        </w:tabs>
        <w:ind w:left="1789" w:hanging="360"/>
      </w:pPr>
    </w:lvl>
    <w:lvl w:ilvl="2">
      <w:start w:val="1"/>
      <w:numFmt w:val="lowerRoman"/>
      <w:lvlText w:val="%3."/>
      <w:lvlJc w:val="right"/>
      <w:pPr>
        <w:tabs>
          <w:tab w:val="num" w:pos="0"/>
        </w:tabs>
        <w:ind w:left="2509" w:hanging="180"/>
      </w:pPr>
    </w:lvl>
    <w:lvl w:ilvl="3">
      <w:start w:val="1"/>
      <w:numFmt w:val="decimal"/>
      <w:lvlText w:val="%4."/>
      <w:lvlJc w:val="left"/>
      <w:pPr>
        <w:tabs>
          <w:tab w:val="num" w:pos="0"/>
        </w:tabs>
        <w:ind w:left="3229" w:hanging="360"/>
      </w:pPr>
    </w:lvl>
    <w:lvl w:ilvl="4">
      <w:start w:val="1"/>
      <w:numFmt w:val="lowerLetter"/>
      <w:lvlText w:val="%5."/>
      <w:lvlJc w:val="left"/>
      <w:pPr>
        <w:tabs>
          <w:tab w:val="num" w:pos="0"/>
        </w:tabs>
        <w:ind w:left="3949" w:hanging="360"/>
      </w:pPr>
    </w:lvl>
    <w:lvl w:ilvl="5">
      <w:start w:val="1"/>
      <w:numFmt w:val="lowerRoman"/>
      <w:lvlText w:val="%6."/>
      <w:lvlJc w:val="right"/>
      <w:pPr>
        <w:tabs>
          <w:tab w:val="num" w:pos="0"/>
        </w:tabs>
        <w:ind w:left="4669" w:hanging="180"/>
      </w:pPr>
    </w:lvl>
    <w:lvl w:ilvl="6">
      <w:start w:val="1"/>
      <w:numFmt w:val="decimal"/>
      <w:lvlText w:val="%7."/>
      <w:lvlJc w:val="left"/>
      <w:pPr>
        <w:tabs>
          <w:tab w:val="num" w:pos="0"/>
        </w:tabs>
        <w:ind w:left="5389" w:hanging="360"/>
      </w:pPr>
    </w:lvl>
    <w:lvl w:ilvl="7">
      <w:start w:val="1"/>
      <w:numFmt w:val="lowerLetter"/>
      <w:lvlText w:val="%8."/>
      <w:lvlJc w:val="left"/>
      <w:pPr>
        <w:tabs>
          <w:tab w:val="num" w:pos="0"/>
        </w:tabs>
        <w:ind w:left="6109" w:hanging="360"/>
      </w:pPr>
    </w:lvl>
    <w:lvl w:ilvl="8">
      <w:start w:val="1"/>
      <w:numFmt w:val="lowerRoman"/>
      <w:lvlText w:val="%9."/>
      <w:lvlJc w:val="right"/>
      <w:pPr>
        <w:tabs>
          <w:tab w:val="num" w:pos="0"/>
        </w:tabs>
        <w:ind w:left="6829" w:hanging="180"/>
      </w:pPr>
    </w:lvl>
  </w:abstractNum>
  <w:num w:numId="1" w16cid:durableId="1515991738">
    <w:abstractNumId w:val="4"/>
  </w:num>
  <w:num w:numId="2" w16cid:durableId="680788273">
    <w:abstractNumId w:val="1"/>
  </w:num>
  <w:num w:numId="3" w16cid:durableId="670572367">
    <w:abstractNumId w:val="5"/>
  </w:num>
  <w:num w:numId="4" w16cid:durableId="2135823886">
    <w:abstractNumId w:val="3"/>
  </w:num>
  <w:num w:numId="5" w16cid:durableId="279335736">
    <w:abstractNumId w:val="0"/>
  </w:num>
  <w:num w:numId="6" w16cid:durableId="8380837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08"/>
  <w:autoHyphenation/>
  <w:hyphenationZone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387"/>
    <w:rsid w:val="000A76E0"/>
    <w:rsid w:val="002B6641"/>
    <w:rsid w:val="00436136"/>
    <w:rsid w:val="00495387"/>
    <w:rsid w:val="007B7836"/>
    <w:rsid w:val="0087425C"/>
    <w:rsid w:val="00AF39D9"/>
    <w:rsid w:val="00B161D2"/>
    <w:rsid w:val="00D267AD"/>
    <w:rsid w:val="00ED7F9A"/>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62AF97"/>
  <w15:docId w15:val="{CC550D5D-0F31-4C7F-9F25-05E4AEB8CC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style>
  <w:style w:type="paragraph" w:styleId="1">
    <w:name w:val="heading 1"/>
    <w:basedOn w:val="a"/>
    <w:next w:val="a"/>
    <w:link w:val="10"/>
    <w:uiPriority w:val="9"/>
    <w:qFormat/>
    <w:rsid w:val="005940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5940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594081"/>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594081"/>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594081"/>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594081"/>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594081"/>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594081"/>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594081"/>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qFormat/>
    <w:rsid w:val="00594081"/>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qFormat/>
    <w:rsid w:val="00594081"/>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qFormat/>
    <w:rsid w:val="00594081"/>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qFormat/>
    <w:rsid w:val="00594081"/>
    <w:rPr>
      <w:rFonts w:eastAsiaTheme="majorEastAsia" w:cstheme="majorBidi"/>
      <w:i/>
      <w:iCs/>
      <w:color w:val="0F4761" w:themeColor="accent1" w:themeShade="BF"/>
    </w:rPr>
  </w:style>
  <w:style w:type="character" w:customStyle="1" w:styleId="50">
    <w:name w:val="Заголовок 5 Знак"/>
    <w:basedOn w:val="a0"/>
    <w:link w:val="5"/>
    <w:uiPriority w:val="9"/>
    <w:semiHidden/>
    <w:qFormat/>
    <w:rsid w:val="00594081"/>
    <w:rPr>
      <w:rFonts w:eastAsiaTheme="majorEastAsia" w:cstheme="majorBidi"/>
      <w:color w:val="0F4761" w:themeColor="accent1" w:themeShade="BF"/>
    </w:rPr>
  </w:style>
  <w:style w:type="character" w:customStyle="1" w:styleId="60">
    <w:name w:val="Заголовок 6 Знак"/>
    <w:basedOn w:val="a0"/>
    <w:link w:val="6"/>
    <w:uiPriority w:val="9"/>
    <w:semiHidden/>
    <w:qFormat/>
    <w:rsid w:val="00594081"/>
    <w:rPr>
      <w:rFonts w:eastAsiaTheme="majorEastAsia" w:cstheme="majorBidi"/>
      <w:i/>
      <w:iCs/>
      <w:color w:val="595959" w:themeColor="text1" w:themeTint="A6"/>
    </w:rPr>
  </w:style>
  <w:style w:type="character" w:customStyle="1" w:styleId="70">
    <w:name w:val="Заголовок 7 Знак"/>
    <w:basedOn w:val="a0"/>
    <w:link w:val="7"/>
    <w:uiPriority w:val="9"/>
    <w:semiHidden/>
    <w:qFormat/>
    <w:rsid w:val="00594081"/>
    <w:rPr>
      <w:rFonts w:eastAsiaTheme="majorEastAsia" w:cstheme="majorBidi"/>
      <w:color w:val="595959" w:themeColor="text1" w:themeTint="A6"/>
    </w:rPr>
  </w:style>
  <w:style w:type="character" w:customStyle="1" w:styleId="80">
    <w:name w:val="Заголовок 8 Знак"/>
    <w:basedOn w:val="a0"/>
    <w:link w:val="8"/>
    <w:uiPriority w:val="9"/>
    <w:semiHidden/>
    <w:qFormat/>
    <w:rsid w:val="00594081"/>
    <w:rPr>
      <w:rFonts w:eastAsiaTheme="majorEastAsia" w:cstheme="majorBidi"/>
      <w:i/>
      <w:iCs/>
      <w:color w:val="272727" w:themeColor="text1" w:themeTint="D8"/>
    </w:rPr>
  </w:style>
  <w:style w:type="character" w:customStyle="1" w:styleId="90">
    <w:name w:val="Заголовок 9 Знак"/>
    <w:basedOn w:val="a0"/>
    <w:link w:val="9"/>
    <w:uiPriority w:val="9"/>
    <w:semiHidden/>
    <w:qFormat/>
    <w:rsid w:val="00594081"/>
    <w:rPr>
      <w:rFonts w:eastAsiaTheme="majorEastAsia" w:cstheme="majorBidi"/>
      <w:color w:val="272727" w:themeColor="text1" w:themeTint="D8"/>
    </w:rPr>
  </w:style>
  <w:style w:type="character" w:customStyle="1" w:styleId="a3">
    <w:name w:val="Заголовок Знак"/>
    <w:basedOn w:val="a0"/>
    <w:link w:val="a4"/>
    <w:uiPriority w:val="10"/>
    <w:qFormat/>
    <w:rsid w:val="00594081"/>
    <w:rPr>
      <w:rFonts w:asciiTheme="majorHAnsi" w:eastAsiaTheme="majorEastAsia" w:hAnsiTheme="majorHAnsi" w:cstheme="majorBidi"/>
      <w:spacing w:val="-10"/>
      <w:kern w:val="2"/>
      <w:sz w:val="56"/>
      <w:szCs w:val="56"/>
    </w:rPr>
  </w:style>
  <w:style w:type="character" w:customStyle="1" w:styleId="a5">
    <w:name w:val="Подзаголовок Знак"/>
    <w:basedOn w:val="a0"/>
    <w:link w:val="a6"/>
    <w:uiPriority w:val="11"/>
    <w:qFormat/>
    <w:rsid w:val="00594081"/>
    <w:rPr>
      <w:rFonts w:eastAsiaTheme="majorEastAsia" w:cstheme="majorBidi"/>
      <w:color w:val="595959" w:themeColor="text1" w:themeTint="A6"/>
      <w:spacing w:val="15"/>
      <w:sz w:val="28"/>
      <w:szCs w:val="28"/>
    </w:rPr>
  </w:style>
  <w:style w:type="character" w:customStyle="1" w:styleId="21">
    <w:name w:val="Цитата 2 Знак"/>
    <w:basedOn w:val="a0"/>
    <w:link w:val="22"/>
    <w:uiPriority w:val="29"/>
    <w:qFormat/>
    <w:rsid w:val="00594081"/>
    <w:rPr>
      <w:i/>
      <w:iCs/>
      <w:color w:val="404040" w:themeColor="text1" w:themeTint="BF"/>
    </w:rPr>
  </w:style>
  <w:style w:type="character" w:styleId="a7">
    <w:name w:val="Intense Emphasis"/>
    <w:basedOn w:val="a0"/>
    <w:uiPriority w:val="21"/>
    <w:qFormat/>
    <w:rsid w:val="00594081"/>
    <w:rPr>
      <w:i/>
      <w:iCs/>
      <w:color w:val="0F4761" w:themeColor="accent1" w:themeShade="BF"/>
    </w:rPr>
  </w:style>
  <w:style w:type="character" w:customStyle="1" w:styleId="a8">
    <w:name w:val="Выделенная цитата Знак"/>
    <w:basedOn w:val="a0"/>
    <w:link w:val="a9"/>
    <w:uiPriority w:val="30"/>
    <w:qFormat/>
    <w:rsid w:val="00594081"/>
    <w:rPr>
      <w:i/>
      <w:iCs/>
      <w:color w:val="0F4761" w:themeColor="accent1" w:themeShade="BF"/>
    </w:rPr>
  </w:style>
  <w:style w:type="character" w:styleId="aa">
    <w:name w:val="Intense Reference"/>
    <w:basedOn w:val="a0"/>
    <w:uiPriority w:val="32"/>
    <w:qFormat/>
    <w:rsid w:val="00594081"/>
    <w:rPr>
      <w:b/>
      <w:bCs/>
      <w:smallCaps/>
      <w:color w:val="0F4761" w:themeColor="accent1" w:themeShade="BF"/>
      <w:spacing w:val="5"/>
    </w:rPr>
  </w:style>
  <w:style w:type="paragraph" w:styleId="a4">
    <w:name w:val="Title"/>
    <w:basedOn w:val="a"/>
    <w:next w:val="ab"/>
    <w:link w:val="a3"/>
    <w:uiPriority w:val="10"/>
    <w:qFormat/>
    <w:rsid w:val="00594081"/>
    <w:pPr>
      <w:spacing w:after="80" w:line="240" w:lineRule="auto"/>
      <w:contextualSpacing/>
    </w:pPr>
    <w:rPr>
      <w:rFonts w:asciiTheme="majorHAnsi" w:eastAsiaTheme="majorEastAsia" w:hAnsiTheme="majorHAnsi" w:cstheme="majorBidi"/>
      <w:spacing w:val="-10"/>
      <w:sz w:val="56"/>
      <w:szCs w:val="56"/>
    </w:rPr>
  </w:style>
  <w:style w:type="paragraph" w:styleId="ab">
    <w:name w:val="Body Text"/>
    <w:basedOn w:val="a"/>
    <w:pPr>
      <w:spacing w:after="140" w:line="276" w:lineRule="auto"/>
    </w:pPr>
  </w:style>
  <w:style w:type="paragraph" w:styleId="ac">
    <w:name w:val="List"/>
    <w:basedOn w:val="ab"/>
    <w:rPr>
      <w:rFonts w:ascii="PT Astra Serif" w:hAnsi="PT Astra Serif" w:cs="Noto Sans Devanagari"/>
    </w:rPr>
  </w:style>
  <w:style w:type="paragraph" w:styleId="ad">
    <w:name w:val="caption"/>
    <w:basedOn w:val="a"/>
    <w:qFormat/>
    <w:pPr>
      <w:suppressLineNumbers/>
      <w:spacing w:before="120" w:after="120"/>
    </w:pPr>
    <w:rPr>
      <w:rFonts w:ascii="PT Astra Serif" w:hAnsi="PT Astra Serif" w:cs="Noto Sans Devanagari"/>
      <w:i/>
      <w:iCs/>
      <w:sz w:val="24"/>
      <w:szCs w:val="24"/>
    </w:rPr>
  </w:style>
  <w:style w:type="paragraph" w:styleId="ae">
    <w:name w:val="index heading"/>
    <w:basedOn w:val="a"/>
    <w:qFormat/>
    <w:pPr>
      <w:suppressLineNumbers/>
    </w:pPr>
    <w:rPr>
      <w:rFonts w:ascii="PT Astra Serif" w:hAnsi="PT Astra Serif" w:cs="Noto Sans Devanagari"/>
    </w:rPr>
  </w:style>
  <w:style w:type="paragraph" w:styleId="a6">
    <w:name w:val="Subtitle"/>
    <w:basedOn w:val="a"/>
    <w:next w:val="a"/>
    <w:link w:val="a5"/>
    <w:uiPriority w:val="11"/>
    <w:qFormat/>
    <w:rsid w:val="00594081"/>
    <w:rPr>
      <w:rFonts w:eastAsiaTheme="majorEastAsia" w:cstheme="majorBidi"/>
      <w:color w:val="595959" w:themeColor="text1" w:themeTint="A6"/>
      <w:spacing w:val="15"/>
      <w:sz w:val="28"/>
      <w:szCs w:val="28"/>
    </w:rPr>
  </w:style>
  <w:style w:type="paragraph" w:styleId="22">
    <w:name w:val="Quote"/>
    <w:basedOn w:val="a"/>
    <w:next w:val="a"/>
    <w:link w:val="21"/>
    <w:uiPriority w:val="29"/>
    <w:qFormat/>
    <w:rsid w:val="00594081"/>
    <w:pPr>
      <w:spacing w:before="160"/>
      <w:jc w:val="center"/>
    </w:pPr>
    <w:rPr>
      <w:i/>
      <w:iCs/>
      <w:color w:val="404040" w:themeColor="text1" w:themeTint="BF"/>
    </w:rPr>
  </w:style>
  <w:style w:type="paragraph" w:styleId="af">
    <w:name w:val="List Paragraph"/>
    <w:basedOn w:val="a"/>
    <w:uiPriority w:val="34"/>
    <w:qFormat/>
    <w:rsid w:val="00594081"/>
    <w:pPr>
      <w:ind w:left="720"/>
      <w:contextualSpacing/>
    </w:pPr>
  </w:style>
  <w:style w:type="paragraph" w:styleId="a9">
    <w:name w:val="Intense Quote"/>
    <w:basedOn w:val="a"/>
    <w:next w:val="a"/>
    <w:link w:val="a8"/>
    <w:uiPriority w:val="30"/>
    <w:qFormat/>
    <w:rsid w:val="005940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paragraph" w:customStyle="1" w:styleId="af0">
    <w:name w:val="Содержимое таблицы"/>
    <w:basedOn w:val="a"/>
    <w:qFormat/>
    <w:pPr>
      <w:widowControl w:val="0"/>
      <w:suppressLineNumbers/>
    </w:pPr>
  </w:style>
  <w:style w:type="paragraph" w:customStyle="1" w:styleId="af1">
    <w:name w:val="Заголовок таблицы"/>
    <w:basedOn w:val="af0"/>
    <w:qFormat/>
    <w:pPr>
      <w:jc w:val="center"/>
    </w:pPr>
    <w:rPr>
      <w:b/>
      <w:bCs/>
    </w:rPr>
  </w:style>
  <w:style w:type="numbering" w:customStyle="1" w:styleId="af2">
    <w:name w:val="Без списка"/>
    <w:uiPriority w:val="99"/>
    <w:semiHidden/>
    <w:unhideWhenUsed/>
    <w:qFormat/>
  </w:style>
  <w:style w:type="table" w:styleId="af3">
    <w:name w:val="Table Grid"/>
    <w:basedOn w:val="a1"/>
    <w:uiPriority w:val="39"/>
    <w:rsid w:val="001224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TOC Heading"/>
    <w:basedOn w:val="1"/>
    <w:next w:val="a"/>
    <w:uiPriority w:val="39"/>
    <w:unhideWhenUsed/>
    <w:qFormat/>
    <w:rsid w:val="0087425C"/>
    <w:pPr>
      <w:suppressAutoHyphens w:val="0"/>
      <w:spacing w:before="240" w:after="0"/>
      <w:outlineLvl w:val="9"/>
    </w:pPr>
    <w:rPr>
      <w:kern w:val="0"/>
      <w:sz w:val="32"/>
      <w:szCs w:val="32"/>
      <w:lang w:eastAsia="ru-RU"/>
    </w:rPr>
  </w:style>
  <w:style w:type="paragraph" w:styleId="af5">
    <w:name w:val="header"/>
    <w:basedOn w:val="a"/>
    <w:link w:val="af6"/>
    <w:uiPriority w:val="99"/>
    <w:unhideWhenUsed/>
    <w:rsid w:val="0087425C"/>
    <w:pPr>
      <w:tabs>
        <w:tab w:val="center" w:pos="4677"/>
        <w:tab w:val="right" w:pos="9355"/>
      </w:tabs>
      <w:spacing w:after="0" w:line="240" w:lineRule="auto"/>
    </w:pPr>
  </w:style>
  <w:style w:type="character" w:customStyle="1" w:styleId="af6">
    <w:name w:val="Верхний колонтитул Знак"/>
    <w:basedOn w:val="a0"/>
    <w:link w:val="af5"/>
    <w:uiPriority w:val="99"/>
    <w:rsid w:val="0087425C"/>
  </w:style>
  <w:style w:type="paragraph" w:styleId="af7">
    <w:name w:val="footer"/>
    <w:basedOn w:val="a"/>
    <w:link w:val="af8"/>
    <w:uiPriority w:val="99"/>
    <w:unhideWhenUsed/>
    <w:rsid w:val="0087425C"/>
    <w:pPr>
      <w:tabs>
        <w:tab w:val="center" w:pos="4677"/>
        <w:tab w:val="right" w:pos="9355"/>
      </w:tabs>
      <w:spacing w:after="0" w:line="240" w:lineRule="auto"/>
    </w:pPr>
  </w:style>
  <w:style w:type="character" w:customStyle="1" w:styleId="af8">
    <w:name w:val="Нижний колонтитул Знак"/>
    <w:basedOn w:val="a0"/>
    <w:link w:val="af7"/>
    <w:uiPriority w:val="99"/>
    <w:rsid w:val="0087425C"/>
  </w:style>
  <w:style w:type="paragraph" w:styleId="11">
    <w:name w:val="toc 1"/>
    <w:basedOn w:val="a"/>
    <w:next w:val="a"/>
    <w:autoRedefine/>
    <w:uiPriority w:val="39"/>
    <w:unhideWhenUsed/>
    <w:rsid w:val="00AF39D9"/>
    <w:pPr>
      <w:spacing w:before="360" w:after="0"/>
    </w:pPr>
    <w:rPr>
      <w:rFonts w:asciiTheme="majorHAnsi" w:hAnsiTheme="majorHAnsi"/>
      <w:b/>
      <w:bCs/>
      <w:caps/>
      <w:sz w:val="24"/>
      <w:szCs w:val="24"/>
    </w:rPr>
  </w:style>
  <w:style w:type="character" w:styleId="af9">
    <w:name w:val="Hyperlink"/>
    <w:basedOn w:val="a0"/>
    <w:uiPriority w:val="99"/>
    <w:unhideWhenUsed/>
    <w:rsid w:val="00AF39D9"/>
    <w:rPr>
      <w:color w:val="467886" w:themeColor="hyperlink"/>
      <w:u w:val="single"/>
    </w:rPr>
  </w:style>
  <w:style w:type="paragraph" w:styleId="23">
    <w:name w:val="toc 2"/>
    <w:basedOn w:val="a"/>
    <w:next w:val="a"/>
    <w:autoRedefine/>
    <w:uiPriority w:val="39"/>
    <w:unhideWhenUsed/>
    <w:rsid w:val="00AF39D9"/>
    <w:pPr>
      <w:tabs>
        <w:tab w:val="right" w:pos="9345"/>
      </w:tabs>
      <w:spacing w:before="240" w:after="120"/>
    </w:pPr>
    <w:rPr>
      <w:rFonts w:ascii="Times New Roman" w:hAnsi="Times New Roman" w:cs="Times New Roman"/>
      <w:noProof/>
      <w:sz w:val="28"/>
      <w:szCs w:val="28"/>
    </w:rPr>
  </w:style>
  <w:style w:type="paragraph" w:styleId="31">
    <w:name w:val="toc 3"/>
    <w:basedOn w:val="a"/>
    <w:next w:val="a"/>
    <w:autoRedefine/>
    <w:uiPriority w:val="39"/>
    <w:unhideWhenUsed/>
    <w:rsid w:val="00AF39D9"/>
    <w:pPr>
      <w:spacing w:after="0"/>
      <w:ind w:left="220"/>
    </w:pPr>
    <w:rPr>
      <w:sz w:val="20"/>
      <w:szCs w:val="20"/>
    </w:rPr>
  </w:style>
  <w:style w:type="paragraph" w:styleId="41">
    <w:name w:val="toc 4"/>
    <w:basedOn w:val="a"/>
    <w:next w:val="a"/>
    <w:autoRedefine/>
    <w:uiPriority w:val="39"/>
    <w:unhideWhenUsed/>
    <w:rsid w:val="00AF39D9"/>
    <w:pPr>
      <w:spacing w:after="0"/>
      <w:ind w:left="440"/>
    </w:pPr>
    <w:rPr>
      <w:sz w:val="20"/>
      <w:szCs w:val="20"/>
    </w:rPr>
  </w:style>
  <w:style w:type="paragraph" w:styleId="51">
    <w:name w:val="toc 5"/>
    <w:basedOn w:val="a"/>
    <w:next w:val="a"/>
    <w:autoRedefine/>
    <w:uiPriority w:val="39"/>
    <w:unhideWhenUsed/>
    <w:rsid w:val="00AF39D9"/>
    <w:pPr>
      <w:spacing w:after="0"/>
      <w:ind w:left="660"/>
    </w:pPr>
    <w:rPr>
      <w:sz w:val="20"/>
      <w:szCs w:val="20"/>
    </w:rPr>
  </w:style>
  <w:style w:type="paragraph" w:styleId="61">
    <w:name w:val="toc 6"/>
    <w:basedOn w:val="a"/>
    <w:next w:val="a"/>
    <w:autoRedefine/>
    <w:uiPriority w:val="39"/>
    <w:unhideWhenUsed/>
    <w:rsid w:val="00AF39D9"/>
    <w:pPr>
      <w:spacing w:after="0"/>
      <w:ind w:left="880"/>
    </w:pPr>
    <w:rPr>
      <w:sz w:val="20"/>
      <w:szCs w:val="20"/>
    </w:rPr>
  </w:style>
  <w:style w:type="paragraph" w:styleId="71">
    <w:name w:val="toc 7"/>
    <w:basedOn w:val="a"/>
    <w:next w:val="a"/>
    <w:autoRedefine/>
    <w:uiPriority w:val="39"/>
    <w:unhideWhenUsed/>
    <w:rsid w:val="00AF39D9"/>
    <w:pPr>
      <w:spacing w:after="0"/>
      <w:ind w:left="1100"/>
    </w:pPr>
    <w:rPr>
      <w:sz w:val="20"/>
      <w:szCs w:val="20"/>
    </w:rPr>
  </w:style>
  <w:style w:type="paragraph" w:styleId="81">
    <w:name w:val="toc 8"/>
    <w:basedOn w:val="a"/>
    <w:next w:val="a"/>
    <w:autoRedefine/>
    <w:uiPriority w:val="39"/>
    <w:unhideWhenUsed/>
    <w:rsid w:val="00AF39D9"/>
    <w:pPr>
      <w:spacing w:after="0"/>
      <w:ind w:left="1320"/>
    </w:pPr>
    <w:rPr>
      <w:sz w:val="20"/>
      <w:szCs w:val="20"/>
    </w:rPr>
  </w:style>
  <w:style w:type="paragraph" w:styleId="91">
    <w:name w:val="toc 9"/>
    <w:basedOn w:val="a"/>
    <w:next w:val="a"/>
    <w:autoRedefine/>
    <w:uiPriority w:val="39"/>
    <w:unhideWhenUsed/>
    <w:rsid w:val="00AF39D9"/>
    <w:pPr>
      <w:spacing w:after="0"/>
      <w:ind w:left="154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majorFont>
      <a:minorFont>
        <a:latin typeface="Aptos" panose="0211000402020202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7799C2-D991-4574-921A-CE0DE566EB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35</Pages>
  <Words>5626</Words>
  <Characters>45127</Characters>
  <Application>Microsoft Office Word</Application>
  <DocSecurity>0</DocSecurity>
  <Lines>1157</Lines>
  <Paragraphs>300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Ff4685</dc:creator>
  <dc:description/>
  <cp:lastModifiedBy>Ff4685</cp:lastModifiedBy>
  <cp:revision>2</cp:revision>
  <dcterms:created xsi:type="dcterms:W3CDTF">2026-01-15T13:05:00Z</dcterms:created>
  <dcterms:modified xsi:type="dcterms:W3CDTF">2026-01-15T13:05:00Z</dcterms:modified>
  <dc:language>ru-RU</dc:language>
</cp:coreProperties>
</file>