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238" w:afterAutospacing="0" w:line="240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УДК 339.92:005.932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widowControl w:val="false"/>
        <w:pBdr/>
        <w:spacing w:after="238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СОВЕРШЕНСТВОВАНИЕ УПРАВЛЕНИЯ СКЛАДСКИМИ КОМПЛЕКСАМИ ПОРТОВ г.ВЛАДИВОСТОКА В УСЛОВИЯХ РОСТА КОНТЕЙНЕРООБОРОТА С КИТАЕМ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widowControl w:val="false"/>
        <w:pBdr/>
        <w:spacing w:after="238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В.А.Корсякова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А.Д.Стародубцева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widowControl w:val="false"/>
        <w:pBdr/>
        <w:spacing w:after="119" w:afterAutospacing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1,2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Владивостокский государственный университет, г.Владивосток, Россия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Аннотация.</w:t>
      </w:r>
      <w:r/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Работа посвящена актуальной проблеме совершенствования управления складскими комплексами портов Владивостока в условиях стремительного роста контейнерооборота с Китаем. Согласно Транспортной стратегии РФ до 2030 года, развитие опорной сети транспортно-логис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тических центров является приоритетом для обеспечения экономического суверенитета страны. Владивостокский морской торговый порт выступает ключевым звеном в системе международных транспортных коридоров, демонстрируя рекордные показатели: за 8 месяцев 2025 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 контейнерооборот составил почти 570 тыс. TEU, а в июле был установлен исторический рекорд в 79 тыс. TEU. Рост товарооборота с Китаем (рост импорта через порт составил +9%) вступает в противоречие с состоянием складской инфраструктуры. Совокупный объем ск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ладской недвижимости формата Big Box во Владивостоке достиг 755 тыс. кв. м, но вакантность качественных площадей класса А стремится к нулю. На основе анализа текущего состояния припортовой инфраструктуры ВМТП, данных рынка складской недвижимости и требовани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Транспортной стратегии РФ до 2030 года выявлены ключевые управленческие проблемы: структурный дефицит управленческих компетенций в работе с «качественными» грузами, несоответствие ёмкостей и грузооборота, логистическая разрозненность и низкий уровень авто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матизации управления, ограниченность ресурсов для расширения инфраструктуры, технологическое отставание и санкционные ограничения на автоматизацию, а также кадровый дефицит в управлении складскими комплексами. Авторы обосновывают необходимость и возможности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институционального российско-китайского сотрудничества для решения этих проблем. Предлагается инициатива заключения специализированного межправительственного соглашения о совместном управлении припортовыми складами высшего класса, создание совместных предп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риятий с китайскими операторами, унификация цифровых платформ управления и введение таможенных преференций. Реализация данного соглашения на базе территории опережающего развития «Владивосток» с участием ВМТП позволит существенно сократить существующий дефи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цит современных складских мощностей и управленческих компетенций.</w:t>
      </w:r>
      <w:r/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widowControl w:val="false"/>
        <w:pBdr/>
        <w:spacing w:after="119" w:line="240" w:lineRule="auto"/>
        <w:ind w:firstLine="720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Ключевые слова и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словосочетания :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транспортная стратегия, Владивостокский морской торговый порт, управленческие проблемы, складской комплекс, контейнерооборот, сотрудничесто, грузооборот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Введение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Транспортной стратегии РФ до 2030 года, развитие опорной сети транспортно-логистических центров является приоритетом для обеспечения экономического суверенитета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страны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Владивостокский морской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орговый порт (ВМТП) выступает ключевым звеном в системе международных транспортных коридоров, демонстрируя рекордные показатели: за 8 месяцев 2025 года контейнерооборот составил почти 570 тыс. TEU, а в июле был установлен исторический рекорд в 79 тыс. TEU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[1]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Актуальность темы исследования обусловлена данными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семирного банка и аналитических агентств, рост товарооборота с Китаем (рост импорта через порт составил +9%) вступает в противоречие с состоянием складской инфраструктуры [2]. Совокупный объем складской недвижимости формата Big Box во Владивостоке достиг 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55 тыс. кв. м, но вакантность качественных площадей класса А стремится к нулю [3]. Дефицит современных мощностей класса А/А+ становится значимым препятствием, сдерживающим развитие трансграничной электронной торговли и увеличивающим логистические издержки.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проводимого исследования выяви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ть ключевые управленческие проблемы в функционировании складских комплексов портов Владивостока в условиях роста контейнерооборота с Китаем и обосновать направления совершенствования менеджмента на основе российско-китайского логистического сотрудничества.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Задачи: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Провести анализ текущего состояния и дефицитов управления припортовой складской инфраструктурой.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Выявить управленческие разрывы (между спросом и предложением, нормативной базой и реальными потребностями).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false"/>
        <w:numPr>
          <w:ilvl w:val="0"/>
          <w:numId w:val="7"/>
        </w:numPr>
        <w:pBdr/>
        <w:spacing w:after="0" w:line="240" w:lineRule="auto"/>
        <w:ind w:firstLine="720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Рассмотреть возможности институционального сотрудничества с КНР для внедрения современных стандартов управления.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Гипотеза: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овершенствование управления складскими комплексами портов Владивостока в условиях устойчивого роста контейнерооборота с Китаем наибо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лее эффективно достигается через развитие институционального и технологического сотрудничества Российской Федерации с Китайской Народной Республикой в форме специализированного межправительственного соглашения о совместном управлении припортовыми складами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класса А/А+, что позволит компенсировать существующий дефицит современных мощностей, автоматизации и управленческих компетенций.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/>
        <w:t xml:space="preserve">Основные методы исследования: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статистический анализ, сравнительный анализ, анализ нормативно-правовых и стратегических документов.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widowControl w:val="false"/>
        <w:pBdr/>
        <w:spacing w:after="0" w:line="240" w:lineRule="auto"/>
        <w:ind w:firstLine="72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</w:rPr>
        <w:t xml:space="preserve">Основная часть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Портовый складской комплекс (портовые склады) — это комплекс зданий, сооружений и помещений в порту, предназначенный для приёма, разме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щения, хранения, сортировки, комплектации и перевалки грузов, поступающих морским, железнодорожным и автомобильным транспортом. Он является ключевым элементом транспортного узла, обеспечивающим эффективное взаимодействие между различными видами транспорта.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Портовые склады классифицируются по нескольким основным признакам: по видам грузов, расположению на территории порта, этажности, материалу и конструктивным особенностям [4].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Более детальная классификация портовых складов представлена на Таблице 1.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right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Таблица 1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  <w:t xml:space="preserve">Классификация портовых складов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705"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</w:p>
    <w:tbl>
      <w:tblPr>
        <w:tblStyle w:val="83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409"/>
        <w:gridCol w:w="7229"/>
      </w:tblGrid>
      <w:tr>
        <w:trPr>
          <w:trHeight w:val="250"/>
        </w:trPr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Склад класса А+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 потолков часто от 13–15 метров, шаг колонн — от 12 метров, в ряде случаев их вовсе нет. Пол выполнен из бетона с антипылевым покрытием, выдерживающим нагрузки свыше 5 тонн на кв. м. Плотность застройки территории не превышает 40–45 %, есть просторны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подъезды и резервные площадки. Обязательно наличие собственной автономной электроподстанции и котельной, которые гарантируют бесперебойную работу всех внутренних систем.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Склад класса 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color w:val="0f1115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Современное одноэтажное складское здание, построенное с использованием высококачественных материалов.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Высота потолков от 10 метров, позволяющая организовать стеллажное хранение до 6–7 ярусов. Шаг колонн – от  9 метров, для обеспечения маневренности погрузочной технике.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Погрузочно-разгрузочные работы ведутся через автоматические доковые ворота с гидравлическими пандусами. Расположение на основных магистралях, территория имеет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зоны для маневрирования и стоянки большегрузного транспорта.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f1115"/>
                <w:sz w:val="12"/>
                <w:szCs w:val="12"/>
              </w:rPr>
            </w:r>
          </w:p>
        </w:tc>
      </w:tr>
      <w:tr>
        <w:trPr/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Склад класса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  <w:lang w:val="en-US"/>
              </w:rPr>
              <w:t xml:space="preserve">B+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Класс склада В+ занимает промежуточное положение между В и А. Это, как правило, новые здания, не дотягивающие по некоторым параметрам до А (например, из-за высоты потолков в 8–10 м или менее премиальной локации), либо объекты категории В, прошедшие глубоку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ю модернизацию инженерных систем и фасада.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Склад класса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  <w:lang w:val="en-US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color w:val="0f1115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Капитальное здание одно- или многоэтажное (реконструированные бывшие производственные помещения, с необходимыми коммуникациями и оборудованием).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 Пол – асфальт или бетон без покрытия.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Есть обязательные системы отопления и вентиляции, пожарной сигнализации. Количество доковых ворот зависит от площади помещения (одни ворота на 1000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). Пандус для разгрузки автотранспорта.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Территория огорожена и охраняется. Офисные помещения могут быть как встроенными, так и расположенными в отдельном здании на территории.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f1115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Склад класса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Капитальное производственное помещение или утеплённые ангары. Высота потолка не менее 4 метра. Пол – асфальт, бетонные плиты. Ворота на нулевой пометке автомашина заходит внутрь помещения.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  <w:lang w:val="ru-RU"/>
              </w:rPr>
              <w:t xml:space="preserve">Склад класса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Подвальные помещения и объекты гражданской обороны, неотапливаемые производственные помещения или ангары.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0"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91" w:beforeAutospacing="0"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видно из представленной классификации, в условиях стрем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ительного роста контейнерооборота и развития трансграничной электронной торговли особое значение приобретают склады классов А и А+, которые обладают наивысшими эксплуатационными характеристиками и соответствуют современным требованиям логистического рынка.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Склад класса А — это современное одноэтажное складское здание, построенное с использованием высококачественных материалов и соответствующих международным стандартам логистики. Основные характеристики:</w:t>
      </w:r>
      <w:r/>
    </w:p>
    <w:p>
      <w:pPr>
        <w:pStyle w:val="1012"/>
        <w:numPr>
          <w:ilvl w:val="0"/>
          <w:numId w:val="4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высота потолков от 10 метров (позволяет устанавливать многоуровневые стеллажные системы);</w:t>
      </w:r>
      <w:r/>
    </w:p>
    <w:p>
      <w:pPr>
        <w:pStyle w:val="1012"/>
        <w:numPr>
          <w:ilvl w:val="0"/>
          <w:numId w:val="4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площадь, как правило, более 10 000 м²;</w:t>
      </w:r>
      <w:r/>
    </w:p>
    <w:p>
      <w:pPr>
        <w:pStyle w:val="1012"/>
        <w:numPr>
          <w:ilvl w:val="0"/>
          <w:numId w:val="4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достаточная прилегающая территория для стоянки и маневрирования большегрузных автопоездов;</w:t>
      </w:r>
      <w:r/>
    </w:p>
    <w:p>
      <w:pPr>
        <w:pStyle w:val="1012"/>
        <w:numPr>
          <w:ilvl w:val="0"/>
          <w:numId w:val="4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расположение на основных транспортных магистралях с удобными подъездными путями;</w:t>
      </w:r>
      <w:r/>
    </w:p>
    <w:p>
      <w:pPr>
        <w:pStyle w:val="1012"/>
        <w:numPr>
          <w:ilvl w:val="0"/>
          <w:numId w:val="4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современные инженерные системы, включая системы управления складом (WMS), освещение, вентиляцию и противопожарную защиту.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Склад класса А+ представляет собой высшую категорию складов и отличается максимальным уровнем качества, оснащения и операцион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эффективности. Такие объекты предусматривают глубокую автоматизацию процессов, использование робототехники, строгий температурный контроль и полное соответствие требованиям крупнейших игроков рынка (маркетплейсы, федеральные ритейлеры и 3PL-операторы).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Необходимость устройства складов в портах обусловлена следующими причинами:</w:t>
      </w:r>
      <w:r/>
    </w:p>
    <w:p>
      <w:pPr>
        <w:pStyle w:val="1012"/>
        <w:numPr>
          <w:ilvl w:val="0"/>
          <w:numId w:val="5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различные режимы работы водного и сухопутного транспорта;</w:t>
      </w:r>
      <w:r/>
    </w:p>
    <w:p>
      <w:pPr>
        <w:pStyle w:val="1012"/>
        <w:numPr>
          <w:ilvl w:val="0"/>
          <w:numId w:val="5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различия в грузоподъёмности судов и наземных транспортных средств;</w:t>
      </w:r>
      <w:r/>
    </w:p>
    <w:p>
      <w:pPr>
        <w:pStyle w:val="1012"/>
        <w:numPr>
          <w:ilvl w:val="0"/>
          <w:numId w:val="5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несовпадение графиков движения различных видов транспорта;</w:t>
      </w:r>
      <w:r/>
    </w:p>
    <w:p>
      <w:pPr>
        <w:pStyle w:val="1012"/>
        <w:numPr>
          <w:ilvl w:val="0"/>
          <w:numId w:val="5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необходимость накопления грузов, поступающих мелкими партиями, для последующей отправки крупными партиями, а также выполнения операций по сортировке, маркировке, взвешиванию, таможенному досмотру и специальной обработке.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Склады должны удовлетворять следующим основным требованиям: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соответствие ёмкостей установленному грузообороту;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приём и выдача грузов в минимально возможное время;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высокий уровень механизации и автоматизации внутрискладских работ;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рациональное расположение относительно причалов, железнодорожных и автомобильных подъездов;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обеспечение условий для круглосуточной работы, сохранности грузов, пожарной безопасности и охраны труда;</w:t>
      </w:r>
      <w:r/>
    </w:p>
    <w:p>
      <w:pPr>
        <w:pStyle w:val="1012"/>
        <w:numPr>
          <w:ilvl w:val="0"/>
          <w:numId w:val="5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весового хозяйства, специального инвентаря, средств связи и вспомогательных помещений.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0" w:beforeAutospacing="0" w:line="240" w:lineRule="auto"/>
        <w:ind w:firstLine="705"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highlight w:val="white"/>
        </w:rPr>
        <w:t xml:space="preserve">Владивостокский морской торговый порт как ключевой складской комплекс региона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705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ВМТП — промышленная достопримечательность Владивостока и крупнейший универсальный терминал на Дальнем Востоке. Универсальный — потому что переваливает все виды грузов. В прошлом году их было 13,2 млн т.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705"/>
        <w:contextualSpacing w:val="true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24 часа в сутки, семь дней в неделю, без праздников и выходных ВМТП принимает суда и поезда. В порту три терминала: контейнерный, универсальный и автомобильный. 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За последние 8 месяцев контейнерооборот Владивостокского морского торгового порта (ВМТП, входит в Транспортную группу FESCO) достиг уровня рекордного аналогичного периода прошлого года, составив практически 570 тыс. TEU. Об этом на пол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ях ВЭФ рассказала коммерческий директор порта Елена Казарина. Она добавила, что в июле нынешнего года ВМТП установил исторический рекорд, обработав за месяц более 79 тыс. TEU. При этом на фоне снижения экспорта (-12%) увеличилась доля импорта грузов (+9%)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[5].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Совокупный объем рынка складской недвижимости формата Big Box во Владивостоке в первом квартале 2026 года достиг 755 тыс. кв. м. По сравнению с концом 2025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ода показатель увеличился на 21%. Рост обеспечен выходом новых объектов на рынок и уточнением данных по ранее неучтенным площадям, следует из обзора рынка складской недвижимости от DNS и агентства «Бизнес метры». В исследовании отмечается, что вакантность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помещений класса А близится к нулю, что заставляет арендаторов переключаться на В-сегмент.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Основную часть предложения на рынке составляют действующие складские комплексы — около 520 тыс. кв. м. Еще 166 т</w:t>
      </w:r>
      <w:r>
        <w:rPr>
          <w:rFonts w:ascii="Times New Roman" w:hAnsi="Times New Roman" w:eastAsia="Times New Roman" w:cs="Times New Roman"/>
          <w:color w:val="1c1c1c"/>
          <w:sz w:val="24"/>
          <w:szCs w:val="24"/>
        </w:rPr>
        <w:t xml:space="preserve">ыс. кв. м находятся в стадии строительства, а почти 69 тыс. кв. м — на этапе планирования.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Складская инфраструктура — важ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нейший фактор экономического роста. По данным Всемирного банка, большинство товаров, потребляемых ежедневно, становятся доступными благодаря логистике — системе перевозки, хранения и распре деления. Производственные предприятия также зависят от стабильной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логистики 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поставках сырья и комплектующих. Складская инфраструктура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позволяет  аккумулировать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стратегически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запасы и сглаживать сезонные колебания спроса. Это особенно важно в условиях экономической неопределенности, геополитических рисков и перебоев в глобальных цепочках поставок. Страны с развитой сетью распределительных центров и специализированных складов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быстрее  восстанавливают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товаропотоки после внешних потрясений и способны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поддерживать  стабильность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внутреннего рынка.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 макроэкономической перспективе склады способствуют не только росту товарооборота, но и созданию новых точек экономического роста.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Логистические  хабы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распределительные центры и индустриальные парки привлекают инвестиции, создают рабочие места и стимулируют развитие смежных отраслей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транспорта и IT-сервисов до строительства и финансов. Таким образом, складская инфраструктура выступает мультипликатором экономической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активности,  обеспечивая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долгосрочные эффекты для промышленности, торговли и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сферы 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[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c1c1c"/>
          <w:sz w:val="24"/>
          <w:szCs w:val="24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</w:rPr>
        <w:t xml:space="preserve">Эксперты отмечают, что наиболее качественные складские площади остаются </w:t>
      </w:r>
      <w:r>
        <w:rPr>
          <w:rFonts w:ascii="Times New Roman" w:hAnsi="Times New Roman" w:eastAsia="Times New Roman" w:cs="Times New Roman"/>
          <w:color w:val="1c1c1c"/>
          <w:sz w:val="24"/>
          <w:szCs w:val="24"/>
        </w:rPr>
        <w:t xml:space="preserve">в дефиците. В сегменте складов класса А вакантность составляет менее 4% от общего предложения. На этом фоне растет интерес арендаторов к объектам классов B и B+, которые становятся основной альтернативой для крупных федеральных и региональных компаний [6].</w:t>
      </w:r>
      <w:r>
        <w:rPr>
          <w:rFonts w:ascii="Times New Roman" w:hAnsi="Times New Roman" w:eastAsia="Times New Roman" w:cs="Times New Roman"/>
          <w:color w:val="1c1c1c"/>
          <w:sz w:val="24"/>
          <w:szCs w:val="24"/>
        </w:rPr>
      </w:r>
      <w:r>
        <w:rPr>
          <w:rFonts w:ascii="Times New Roman" w:hAnsi="Times New Roman" w:eastAsia="Times New Roman" w:cs="Times New Roman"/>
          <w:color w:val="1c1c1c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Современным направлением повышения конкурентоспособности отечественной транспортной системы является создание эффективной сети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узловых  логистических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грузораспределительных центров (ЛГРЦ). Учитывая имеющий  место дефицит терминально-склад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ских мощностей класса «А» и «А+» в России, в Распоряжении Правительства РФ от 27 ноября 2021 г. № 3363-р «Об  утверждении Транспортной стратегии Российской Федерации до 2030 года с  6  прогнозом на период до 2035 года» отмечается, что необходимо создание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опорной сети из 35–40 транспортно-логистических центров в ключевых регионах России, что позволит сформировать единое технологическое и информационное пространство для комплексного удовлетворения требований клиентов в транспортно-складском обслуживании [1].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итоге, припортовые склады высшего класса превращаются из инфраструктурного элемента в стратегический драйвер э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кономического роста Дальнего Востока. Их своевременное и масштабное развитие позволит Владивостоку укрепить статус главного логистического хаба России в АТР, ускорить товаропотоки с Китаем и создать мультипликативный эффект для всей национальной экономики.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того,  что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было перечислено ранее, следующим образом выявляются управленческие проблемы портов Владивостока и припортовой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инфраструктуры 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основе анализа данных ВМТП, экспертных обзоров рынка складской недвижимости и требований к логистическим центрам, выделены следующие системные управленческие проблемы: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структурный дефицит управленческих компетенций в работе с «качественными» грузами: существующий парк складских мощностей (520 тыс. кв. м действующих комплексов) в основном представлен устаревшими объектами. Требования к современному 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неджменту (высокая оборачиваемость, WMS-системы, робот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отехника, температурный контроль) предъявляют спрос на склады класса А/А+. Однако вакантность таких объектов менее 4% [6]. Это свидетельствует о неспособности управленческих структур порта и города оперативно реагировать на изменение структуры грузопотока;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несоответствие ёмкостей и грузооборота (диспропорция планирования):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Согласно базовым требованиям к складам, ёмкости должны соответствовать установленному грузообороту [4]. Однако в 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кущей ситуации рост контейнерооборота (+9% по импорту) не подкрепляется адекватным увеличением складских площадей. Управленческий просчет выражается в отсутствии синхронизации между планами портовых операторов (FESCO) и девелоперами складской недвижимости;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логистическая разрозненность и низкий уровень автоматизации управления: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В условиях роста контейнерооборота с Китаем критически возрастает значение фактора времени. В портах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наблюдается разрыв между информационными системами железной дороги, порта и склада. Отсутствие единой цифровой платформы управления приводит к простоям судов и наземного транспорта, что противоречит требованиям о приеме и выдаче грузов в минимальное время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[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4];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ограниченность ресурсов для расширения инфраструктуры: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Строительство новых складских комплексов класса А (166 тыс. кв. м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стадии стройки) требует значительных инвестиций и земельных участков. Управленческая проблема заключается в нехватке подготовленных промышленных площадок с развитой инфраструктурой (ж/д пути, подъездные дороги) в непосредственной близости от причалов ВМТП;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технологическое отставание и санкционные ограничения на автоматизацию: Внедрение современных систем управления складом (WMS), автоматизированных систем учета и роботизированных комплексов является кр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итическим фактором эффективности. Однако, по данным исследования Национальной ассоциации участников рынка робототехники (НАУРР) за 2025 год, санкции привели к удорожанию импорта складского оборудования на 40–60% и увеличению сроков поставки с 3 до 12–18 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сяцев. Это создает управленческий вызов: традиционные модели развития (закупка западного оборудования, привлечение западных операторов) стали недоступны, а российские производители пока не могут полностью закрыть потребность в высокотехнологичных решениях;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кадровый дефицит в управлении складскими комплексами. По данным исследования рекрутинговой платформы HeadHunter (Дальневосточный федеральный округ) за 2025 год, дефицит квалифицированных управленцев в сегменте складской логистики составляет 28%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[8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]. Особенно остро не хватает: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2"/>
        <w:numPr>
          <w:ilvl w:val="0"/>
          <w:numId w:val="22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20"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руководителей складов класса А (опыт работы с WMS, автоматизацией, температурными режимами);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2"/>
        <w:numPr>
          <w:ilvl w:val="0"/>
          <w:numId w:val="22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20" w:left="0"/>
        <w:contextualSpacing w:val="tru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специалистов по внедрению систем управления (проектных менеджеров);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2"/>
        <w:numPr>
          <w:ilvl w:val="0"/>
          <w:numId w:val="22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20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IT-специалистов, способных поддерживать и адаптировать логистическое ПО.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28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20" w:left="0"/>
        <w:contextualSpacing w:val="tru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f1115"/>
          <w:sz w:val="24"/>
          <w:highlight w:val="white"/>
        </w:rPr>
        <w:t xml:space="preserve">Расширенная база российско-китайских логистических соглашений (2024–2026)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72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поиска решений управленческих проблем нео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бходимо обратиться к существующей договорно-правовой базе с КНР. На данный момент в публичном поле отсутствует единое «Соглашение по управлению складами», но действует ряд рамочных и отраслевых документов, создающих основу для углубленного сотрудничества.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Ниже представлена таблица, дополненная новыми соглашениями и инициативами, подтверждающими тенденцию к углублению сотрудничества.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afterAutospacing="0" w:before="120" w:beforeAutospacing="0" w:line="240" w:lineRule="auto"/>
        <w:ind/>
        <w:jc w:val="righ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Таблица 2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afterAutospacing="0" w:line="240" w:lineRule="auto"/>
        <w:ind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Основные  российско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-китайские соглашения и инициативы в сфере транспорта и логистики (2024–2026 гг.)</w:t>
      </w:r>
      <w:r>
        <w:rPr>
          <w:b/>
          <w:bCs/>
        </w:rPr>
      </w:r>
      <w:r>
        <w:rPr>
          <w:b/>
          <w:bCs/>
        </w:rPr>
      </w:r>
    </w:p>
    <w:tbl>
      <w:tblPr>
        <w:tblStyle w:val="837"/>
        <w:tblW w:w="0" w:type="auto"/>
        <w:tblBorders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/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Название соглашения / Инициатива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/ Период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Ключевые условия для логистики и складирования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Влияние на управление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Стратегия развития российско-китайского сотрудничества в рамках «Пояса и пути»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Обновлено в 2024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Упор на сопряжение ЕАЭС и «Пояса и пути». Создание «сухих портов», внедрение единых технологий таможенного транзита.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Формирует макро-управленческую среду для унификации документооборота.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Соглашение между правительствами о сотрудничестве в развитии МТК «Приморье-1» и «Приморье-2»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2024–2025 гг. (актуализация)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китайским инвесторам и операторам преференциальных условий для строительства терминалов и складов в Приморье. Совместное управление транспортными потоками.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Позволяет привлекать китайский капитал и новаторские решений в управление складскими мощностями.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Межправительственная комиссия по сотрудничеству в области транспорта (подкомиссия по морскому транспорту)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Заседания 2024–2026 гг.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Согласование расписаний, увеличение частоты судозаходов, обмен данными о грузовой базе.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Управленческий аспект: синхронизация операционных планов портов РФ и КНР.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Соглашение о торговле услугами и инвестициях в рамках БРИКС (инициатива 2025-2026)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Обсуждается (2025-2026)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Либерализация доступа логистических операторов на рынки друг друга. Возможность создания совместных предприятий (JV) для управления складами.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240" w:before="24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Потенциальный прорыв в управлении: допуск китайских 3PL-операторов к управлению припортовыми складами класса А+.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119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Учитывая выявленные управленческие проблемы и существующую договорно-правовую базу российско-китайского сотрудничества, целесообразно ини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циировать заключение специализированного Соглашения между Министерством транспорта Российской Федерации и соответствующими органами Китайской Народной Республики о сотрудничестве в сфере управления припортовыми складскими комплексами высшего класса (А/А+).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Предлагаемое соглашение должно предусматривать следующие ключевые направления сотрудничества:</w:t>
      </w:r>
      <w:r/>
    </w:p>
    <w:p>
      <w:pPr>
        <w:pStyle w:val="1012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создание совместных управляющих компаний (сп) допуск ведущих китайских логистических операторов (china merchants group, sinotrans и др.) к управлению новыми и модернизируемыми складами класса а/а+ на территории владивостокского морского торгового пор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та. китайская сторона предоставляет современные технологии управления (wms, erp, робототехнику), системы автоматизации и программы подготовки кадров. российская сторона обеспечивает земельные участки, причальную инфраструктуру и административную поддержку;</w:t>
      </w:r>
      <w:r/>
    </w:p>
    <w:p>
      <w:pPr>
        <w:pStyle w:val="1012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унифика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ция цифровых платформ управления интеграция российских информационных систем («эра-глонасс», портальные системы фтс) с китайскими цифровыми платформами (alibaba logistics, jd.com и др.) для создания единого цифрового логистического хаба «one digital port»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1012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предоставление специальных таможенн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и клиринговых преференций введение упрощённого («зелёного») таможенного режима для грузов, проходящих через склады класса а/а+, находящиеся под совместным управлением. это позволит сократить административную нагрузку и время обработки грузов на 20–30 %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данного соглашения на базе территории опережающего развития (ТОР) «Владивосток» с участием ВМТП позволит существенно сократить существующий дефицит современных складских мощностей и управленческих компетенций.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Ожидаемые эффекты и выгоды для России от реализации предложения:</w:t>
      </w:r>
      <w:r/>
    </w:p>
    <w:p>
      <w:pPr>
        <w:pStyle w:val="1012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компенсация технологического и кадрового дефицита за счёт передачи китайских технологий и экспертизы;</w:t>
      </w:r>
      <w:r/>
    </w:p>
    <w:p>
      <w:pPr>
        <w:pStyle w:val="1012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снижение зависимости от западного оборудования и минимизация санкционных рисков через расчёты в национальных валютах;</w:t>
      </w:r>
      <w:r/>
    </w:p>
    <w:p>
      <w:pPr>
        <w:pStyle w:val="1012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увеличение инвестиционной привлекательности региона и ускорение товарооборота с Китаем;</w:t>
      </w:r>
      <w:r/>
    </w:p>
    <w:p>
      <w:pPr>
        <w:pStyle w:val="1012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повышение конкурентоспособности Владивостокского порта как ключевого логистического хаба России в Азиатско-Тихоокеанском регионе.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Выгоды для российской стороны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предлагаемого соглашения позволит существенно снизить остроту выявленных управленческих проблем и обеспечить следующие преимущества для российской стороны:</w:t>
      </w:r>
      <w:r/>
    </w:p>
    <w:p>
      <w:pPr>
        <w:pStyle w:val="1012"/>
        <w:numPr>
          <w:ilvl w:val="0"/>
          <w:numId w:val="4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компенсация технологического отс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тавания — получение доступа к современным решениям </w:t>
      </w:r>
      <w:r>
        <w:rPr>
          <w:rFonts w:ascii="Times New Roman" w:hAnsi="Times New Roman" w:eastAsia="Times New Roman" w:cs="Times New Roman"/>
          <w:color w:val="000000"/>
          <w:sz w:val="24"/>
          <w:szCs w:val="22"/>
        </w:rPr>
        <w:t xml:space="preserve">WMS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ERP-системам, складской робототехнике и лучшим практикам управления от ведущих китайских операторов. Это позволит сократить инвестиционный цикл создания складов класса а/а+ с 3–4 лет до 18–24 месяцев;</w:t>
      </w:r>
      <w:r/>
    </w:p>
    <w:p>
      <w:pPr>
        <w:pStyle w:val="1012"/>
        <w:numPr>
          <w:ilvl w:val="0"/>
          <w:numId w:val="4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минимизация санкционных рисков — переход на расчёты в национальных валютах (рубль/юань) и локализацию управления в рамках совместных предприятий существенно снижает зависимость от западных технологий и финансовых систем;</w:t>
      </w:r>
      <w:r/>
    </w:p>
    <w:p>
      <w:pPr>
        <w:pStyle w:val="1012"/>
        <w:numPr>
          <w:ilvl w:val="0"/>
          <w:numId w:val="4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кадрового дефицита — китайская сторона обеспечивает не только оборудование, но и программы обучения и стажировки персонала, что позволит быстро повысить квалификацию российских специалистов в области управления современными складскими комплексами;</w:t>
      </w:r>
      <w:r/>
    </w:p>
    <w:p>
      <w:pPr>
        <w:pStyle w:val="1012"/>
        <w:numPr>
          <w:ilvl w:val="0"/>
          <w:numId w:val="4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увеличение инвестиционной привлекательности региона — привлечение значительных китайских инвестиций в логистическую инфраструктуру приморья без дополнительной нагрузки на федеральный и региональный бюджеты.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По данным корпорации развития дальнего востока, за 2024–2025 годы китайские инвестиции в логистическую инфраструктуру приморья выросли на 47%, составив более 25 млрд руб. Корпорация развития дальнего востока и арктики (КРДВ)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[8]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/>
        <w:contextualSpacing w:val="true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Выгоды для китайской стороны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20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Китайской Народной Республики участие в совместном управлении припортовыми складами Владивостока также представляет значительный интерес:</w:t>
      </w:r>
      <w:r/>
    </w:p>
    <w:p>
      <w:pPr>
        <w:pStyle w:val="1012"/>
        <w:numPr>
          <w:ilvl w:val="0"/>
          <w:numId w:val="4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обеспечение стабильного доступа к российскому рынку электронной торговли (объём которого в 2025 году превысил 8 трлн руб., при доле китайских товаров более 60 %);</w:t>
      </w:r>
      <w:r/>
    </w:p>
    <w:p>
      <w:pPr>
        <w:pStyle w:val="1012"/>
        <w:numPr>
          <w:ilvl w:val="0"/>
          <w:numId w:val="4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диверсификация и страхование логистических рисков путём создания альтернативных маршрутов поставок;</w:t>
      </w:r>
      <w:r/>
    </w:p>
    <w:p>
      <w:pPr>
        <w:pStyle w:val="1012"/>
        <w:numPr>
          <w:ilvl w:val="0"/>
          <w:numId w:val="4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экспорт управленческих технологий и услуг в рамках стратегии «Digital Silk Road».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такого соглашения на базе ТОР «Владивосток» с участием ВМТП и ведущ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их китайских государственных корпораций позволит создать современный логистический комплекс, который станет важным драйвером экономического развития Дальнего Востока и укрепит позиции Владивостока как ключевого транспортно-логистического хаба России в АТР.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7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Ниже представлена схема функционирования предлагаемого решения — российско-китайского соглашения о сотрудничестве в области управления припортовыми складскими комплексами.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35265</wp:posOffset>
                </wp:positionH>
                <wp:positionV relativeFrom="paragraph">
                  <wp:posOffset>226060</wp:posOffset>
                </wp:positionV>
                <wp:extent cx="6070260" cy="3597381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70259" cy="359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2.78pt;mso-position-horizontal:absolute;mso-position-vertical-relative:text;margin-top:17.80pt;mso-position-vertical:absolute;width:477.97pt;height:283.26pt;mso-wrap-distance-left:9.00pt;mso-wrap-distance-top:0.00pt;mso-wrap-distance-right:9.00pt;mso-wrap-distance-bottom:0.00pt;z-index:1;" stroked="false">
                <w10:wrap type="topAndBottom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204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Рис.2 – Совместное предприятие «Восточный Логистический Хаб»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условиях санкционного давления, разрыва традиционных цепочек поставок оборудовани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и дефицита управленческих компетенций, предлагаемое российско-китайское соглашение о сотрудничестве в области управления припортовыми складскими комплексами представляет собой не просто один из возможных вариантов, а наиболее жизнеспособную альтернативу.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Данное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соглашение  позволяет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35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компенсировать технологический дефицит за счет поставок оборудования из КНР;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35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восполнить нехватку управленческих кадров через обучение и привлечение китайских 3PL-операторов;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35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привлечь инвестиции без увеличения бюджетной нагрузки;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1012"/>
        <w:numPr>
          <w:ilvl w:val="0"/>
          <w:numId w:val="35"/>
        </w:numPr>
        <w:suppressLineNumbers w:val="false"/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снизить санкционные риски за счет расчетов в национальных валютах и локализации юридических структур.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31"/>
          <w:bottom w:val="none" w:color="000000" w:sz="4" w:space="0"/>
          <w:right w:val="none" w:color="000000" w:sz="4" w:space="0"/>
        </w:pBdr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такого соглашения на базе ТОР «Владивосток» с участием ВМТП и китайских государственных корпорац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 (China Merchants Group, Sinotrans) позволит создать эталонный логистический комплекс, который станет драйвером экономического роста Дальнего Востока и укрепит позиции Владивостока как главного логистического хаба России в Азиатско-Тихоокеанском регионе.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28"/>
          <w:bottom w:val="none" w:color="000000" w:sz="4" w:space="0"/>
          <w:right w:val="none" w:color="000000" w:sz="4" w:space="0"/>
        </w:pBdr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Заключение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Проведённое исследование подтвердило, что быстрый рост контейнерооборота Владивостокс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кого морского торгового порта (почти 570 тыс. TEU за 8 месяцев 2025 года при +9 % импорта из Китая) противоречит состоянию припортовой складской инфраструктуры. Выявленные системные управленческие проблемы — дефицит современных складов класса А/А+, диспроп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орция планирования ёмкостей и грузооборота, разрозненность информационных систем, технологическое отставание под влиянием санкций и острый кадровый дефицит — сдерживают развитие трансграничной электронной торговли и повышают логистические издержки региона.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Предложенное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ешение — инициация специализированного Соглашения между транспортными администрациями РФ и КНР о сотрудничестве в области управления припортовыми складскими комплексами высшего класса — позволяет комплексно закрыть все выявленные разрывы. Создание совместн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управляющих компаний (с участием China Merchants Group и Sinotrans), интеграция российских и китайских цифровых платформ, клиринговые и таможенные преференции для «складов совместного управления» дадут российской стороне доступ к современным технологиям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WMS, робототехнике и управленческим компетенциям без существенной бюджетной нагрузки и с минимизацией санкционных рисков. Для китайской стороны это обеспечит контроль над ключевым входом на российский рынок e-commerce и страхование геополитических рисков.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предлагаемых мер на базе ТОР «Владивосток» превратит припортовые склады из инфра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структурного элемента в стратегический драйвер экономического роста Дальнего Востока, укрепит статус Владивостока как главного логистического хаба России в АТР и полностью соответствует приоритетам Транспортной стратегии РФ до 2030 года по созданию опорной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сети транспортно-логистических центров. Таким образом, российско-китайское сотрудничество в управлении складскими комплексами становится не только эффективным, но и единственно реалистичным инструментом преодоления существующих управленческих ограничений.</w:t>
      </w:r>
      <w:r/>
    </w:p>
    <w:p>
      <w:pPr>
        <w:pBdr>
          <w:top w:val="none" w:color="000000" w:sz="4" w:space="0"/>
          <w:left w:val="none" w:color="000000" w:sz="4" w:space="28"/>
          <w:bottom w:val="none" w:color="000000" w:sz="4" w:space="0"/>
          <w:right w:val="none" w:color="000000" w:sz="4" w:space="0"/>
        </w:pBdr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line="240" w:lineRule="auto"/>
        <w:ind/>
        <w:rPr/>
      </w:pPr>
      <w:r>
        <w:br w:type="page" w:clear="all"/>
      </w:r>
      <w:r/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Используемые источники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Трапенов В.В. Формирование узловой сети грузовых распределительных терминалов на принципах мультиагентного экономико-географического размещения: дис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РГУПС, 2024. С. 6-7.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URL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 </w:t>
      </w:r>
      <w:hyperlink r:id="rId10" w:tooltip="https://bypass.rgups.ru/site/assets/files/213492/dissertatciia_vv_trapenov_27_09_2024.pdf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https://bypass.rgups.ru/site/assets/files/213492/dissertatciia_vv_trapenov_27_09_2024.pdf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Евразийский банк развития (ЕАБР).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Доклад о мировой экономике и интеграции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WIE)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URL: </w:t>
      </w:r>
      <w:hyperlink r:id="rId11" w:tooltip="https://eabr.org/upload/iblock/16a/EDB_WIE_RU_2025_Report.pdf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https://eabr.org/upload/iblock/16a/EDB_WIE_RU_2025_Report.pdf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Во Владивостоке арендаторам не хватает складов класса 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URL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</w:t>
      </w:r>
      <w:hyperlink r:id="rId12" w:tooltip="https://prim.rbc.ru/prim/11/03/2026/69b0b5f29a794710645d6e7b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https://prim.rbc.ru/prim/11/03/2026/69b0b5f29a794710645d6e7b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Studfile «Портовый складской комплекс: требования и классификация» [Электронный ресурс]. URL: </w:t>
      </w:r>
      <w:hyperlink r:id="rId13" w:tooltip="https://studfile.net/preview/12016707/page:32/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</w:rPr>
          <w:t xml:space="preserve">https://studfile.net/preview/12016707/page:32/</w:t>
        </w:r>
      </w:hyperlink>
      <w:r>
        <w:rPr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РБК Приморье «Особенности роста: ВМТП на пути к миллиону» 10 сентября 2024  [Электронный ресурс].URL: </w:t>
      </w:r>
      <w:hyperlink r:id="rId14" w:tooltip="https://prim.rbc.ru/prim/10/09/2024/66dfc2649a794787962ffa89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</w:rPr>
          <w:t xml:space="preserve">https://prim.rbc.ru/prim/10/09/2024/66dfc2649a794787962ffa89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br/>
        <w:t xml:space="preserve">6  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РБК Приморье «Во Владивостоке арендаторам не хватает складов класса А» 11 марта 2026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URL: </w:t>
      </w:r>
      <w:hyperlink r:id="rId15" w:tooltip="https://prim.rbc.ru/prim/11/03/2026/69b0b5f29a794710645d6e7b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https://prim.rbc.ru/prim/11/03/2026/69b0b5f29a794710645d6e7b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Куда катятся: логистической отрасли не хватает порядка миллиона сотрудников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URL: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https://news.ati.su/article/2025/08/13/kuda-katjatsja-logisticheskoj-otrasli-ne-hvataet-porjadka-milliona-sotrudnikov-344492/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r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 КРДВ представила логистические проекты для инвесторов и комплекс мер господдержки бизнеса на Дальнем Востоке и в Арктике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URL: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hyperlink r:id="rId16" w:tooltip="https://erdc.ru/news/krdv-predstavila-logisticheskie-proekty-dlya-investorov-i-kompleks-mer-gospodderzhki-biznesa-na-daln/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  <w:szCs w:val="24"/>
            <w:lang w:val="en-US"/>
          </w:rPr>
          <w:t xml:space="preserve">https://erdc.ru/news/krdv-predstavila-logisticheskie-proekty-dlya-investorov-i-kompleks-mer-gospodderzhki-biznesa-na-daln/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r>
    </w:p>
    <w:p>
      <w:pPr>
        <w:pBdr/>
        <w:spacing w:after="200" w:afterAutospacing="0" w:line="240" w:lineRule="auto"/>
        <w:ind/>
        <w:contextualSpacing w:val="true"/>
        <w:jc w:val="both"/>
        <w:rPr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9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Министерство промышленности и торговли РФ. Развитие трансграничной электронной торговли: российско-китайский вектор. 2026.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Электронный ресурс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URL: </w:t>
      </w:r>
      <w:hyperlink r:id="rId17" w:tooltip="https://minpromtorg.gov.ru/" w:history="1">
        <w:r>
          <w:rPr>
            <w:rStyle w:val="998"/>
            <w:rFonts w:ascii="Times New Roman" w:hAnsi="Times New Roman" w:eastAsia="Times New Roman" w:cs="Times New Roman"/>
            <w:color w:val="000000" w:themeColor="text1"/>
            <w:sz w:val="24"/>
          </w:rPr>
          <w:t xml:space="preserve">https://minpromtorg.gov.ru/</w:t>
        </w:r>
      </w:hyperlink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120" w:beforeAutospacing="0" w:line="240" w:lineRule="auto"/>
        <w:ind w:firstLine="720"/>
        <w:contextualSpacing w:val="false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Сведения о научном руководителе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beforeAutospacing="0" w:line="240" w:lineRule="auto"/>
        <w:ind w:firstLine="72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Научный руководитель: Арнаут Марина Николаевна, кандидат экономических наук, доцент, ФГБОУ ВО «Владивосто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кский государственный университет», г. Владивосток, Россия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120" w:beforeAutospacing="0" w:line="240" w:lineRule="auto"/>
        <w:ind w:firstLine="720"/>
        <w:contextualSpacing w:val="false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Сведения об авторах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beforeAutospacing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Корсякова Вера Александровна, бакалавр,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ФГБОУ ВО «Владивостокский государственный университет», г. Владивосток, Россия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8" w:tooltip="mailto:verakorsyakova@yandex.ru" w:history="1">
        <w:r>
          <w:rPr>
            <w:rFonts w:ascii="Times New Roman" w:hAnsi="Times New Roman" w:eastAsia="Times New Roman" w:cs="Times New Roman"/>
            <w:color w:val="000000"/>
            <w:sz w:val="24"/>
          </w:rPr>
          <w:t xml:space="preserve">verakorsyakova@yandex.ru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Стародубцева Анастасия Денисовна,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бакалавр, ФГБОУ ВО «Владивостокский государственный университет», г. Владивосток, Россия,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hyperlink r:id="rId19" w:tooltip="mailto:nessadarkkk@yandex.ru" w:history="1">
        <w:r>
          <w:rPr>
            <w:rFonts w:ascii="Times New Roman" w:hAnsi="Times New Roman" w:eastAsia="Times New Roman" w:cs="Times New Roman"/>
            <w:color w:val="000000"/>
            <w:sz w:val="24"/>
          </w:rPr>
          <w:t xml:space="preserve">nessadarkkk@yandex.ru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contextualSpacing w:val="tru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50">
    <w:lvl w:ilvl="0">
      <w:isLgl w:val="false"/>
      <w:lvlJc w:val="right"/>
      <w:lvlText w:val="%1."/>
      <w:numFmt w:val="decimal"/>
      <w:pPr>
        <w:pBdr/>
        <w:spacing/>
        <w:ind w:hanging="360" w:left="175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247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319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391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463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535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607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679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7519"/>
      </w:pPr>
      <w:rPr/>
      <w:start w:val="1"/>
      <w:suff w:val="tab"/>
    </w:lvl>
  </w:abstractNum>
  <w:abstractNum w:abstractNumId="5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50"/>
  </w:num>
  <w:num w:numId="2">
    <w:abstractNumId w:val="41"/>
  </w:num>
  <w:num w:numId="3">
    <w:abstractNumId w:val="32"/>
  </w:num>
  <w:num w:numId="4">
    <w:abstractNumId w:val="21"/>
  </w:num>
  <w:num w:numId="5">
    <w:abstractNumId w:val="6"/>
  </w:num>
  <w:num w:numId="6">
    <w:abstractNumId w:val="14"/>
  </w:num>
  <w:num w:numId="7">
    <w:abstractNumId w:val="8"/>
  </w:num>
  <w:num w:numId="8">
    <w:abstractNumId w:val="39"/>
  </w:num>
  <w:num w:numId="9">
    <w:abstractNumId w:val="43"/>
  </w:num>
  <w:num w:numId="10">
    <w:abstractNumId w:val="44"/>
  </w:num>
  <w:num w:numId="11">
    <w:abstractNumId w:val="29"/>
  </w:num>
  <w:num w:numId="12">
    <w:abstractNumId w:val="3"/>
  </w:num>
  <w:num w:numId="13">
    <w:abstractNumId w:val="47"/>
  </w:num>
  <w:num w:numId="14">
    <w:abstractNumId w:val="1"/>
  </w:num>
  <w:num w:numId="15">
    <w:abstractNumId w:val="25"/>
  </w:num>
  <w:num w:numId="16">
    <w:abstractNumId w:val="20"/>
  </w:num>
  <w:num w:numId="17">
    <w:abstractNumId w:val="23"/>
  </w:num>
  <w:num w:numId="18">
    <w:abstractNumId w:val="27"/>
  </w:num>
  <w:num w:numId="19">
    <w:abstractNumId w:val="36"/>
  </w:num>
  <w:num w:numId="20">
    <w:abstractNumId w:val="35"/>
  </w:num>
  <w:num w:numId="21">
    <w:abstractNumId w:val="18"/>
  </w:num>
  <w:num w:numId="22">
    <w:abstractNumId w:val="15"/>
  </w:num>
  <w:num w:numId="23">
    <w:abstractNumId w:val="7"/>
  </w:num>
  <w:num w:numId="24">
    <w:abstractNumId w:val="24"/>
  </w:num>
  <w:num w:numId="25">
    <w:abstractNumId w:val="22"/>
  </w:num>
  <w:num w:numId="26">
    <w:abstractNumId w:val="19"/>
  </w:num>
  <w:num w:numId="27">
    <w:abstractNumId w:val="30"/>
  </w:num>
  <w:num w:numId="28">
    <w:abstractNumId w:val="4"/>
  </w:num>
  <w:num w:numId="29">
    <w:abstractNumId w:val="48"/>
  </w:num>
  <w:num w:numId="30">
    <w:abstractNumId w:val="11"/>
  </w:num>
  <w:num w:numId="31">
    <w:abstractNumId w:val="5"/>
  </w:num>
  <w:num w:numId="32">
    <w:abstractNumId w:val="17"/>
  </w:num>
  <w:num w:numId="33">
    <w:abstractNumId w:val="26"/>
  </w:num>
  <w:num w:numId="34">
    <w:abstractNumId w:val="51"/>
  </w:num>
  <w:num w:numId="35">
    <w:abstractNumId w:val="13"/>
  </w:num>
  <w:num w:numId="36">
    <w:abstractNumId w:val="38"/>
  </w:num>
  <w:num w:numId="37">
    <w:abstractNumId w:val="9"/>
  </w:num>
  <w:num w:numId="38">
    <w:abstractNumId w:val="42"/>
  </w:num>
  <w:num w:numId="39">
    <w:abstractNumId w:val="46"/>
  </w:num>
  <w:num w:numId="40">
    <w:abstractNumId w:val="12"/>
  </w:num>
  <w:num w:numId="41">
    <w:abstractNumId w:val="16"/>
  </w:num>
  <w:num w:numId="42">
    <w:abstractNumId w:val="40"/>
  </w:num>
  <w:num w:numId="43">
    <w:abstractNumId w:val="10"/>
  </w:num>
  <w:num w:numId="44">
    <w:abstractNumId w:val="49"/>
  </w:num>
  <w:num w:numId="45">
    <w:abstractNumId w:val="52"/>
  </w:num>
  <w:num w:numId="46">
    <w:abstractNumId w:val="2"/>
  </w:num>
  <w:num w:numId="47">
    <w:abstractNumId w:val="37"/>
  </w:num>
  <w:num w:numId="48">
    <w:abstractNumId w:val="33"/>
  </w:num>
  <w:num w:numId="49">
    <w:abstractNumId w:val="34"/>
  </w:num>
  <w:num w:numId="50">
    <w:abstractNumId w:val="31"/>
  </w:num>
  <w:num w:numId="51">
    <w:abstractNumId w:val="28"/>
  </w:num>
  <w:num w:numId="52">
    <w:abstractNumId w:val="0"/>
  </w:num>
  <w:num w:numId="53">
    <w:abstractNumId w:val="45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7" w:default="1">
    <w:name w:val="Normal"/>
    <w:qFormat/>
    <w:pPr>
      <w:pBdr/>
      <w:spacing/>
      <w:ind/>
    </w:pPr>
  </w:style>
  <w:style w:type="paragraph" w:styleId="808">
    <w:name w:val="Heading 1"/>
    <w:basedOn w:val="807"/>
    <w:next w:val="807"/>
    <w:link w:val="9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9">
    <w:name w:val="Heading 2"/>
    <w:basedOn w:val="807"/>
    <w:next w:val="807"/>
    <w:link w:val="9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10">
    <w:name w:val="Heading 3"/>
    <w:basedOn w:val="807"/>
    <w:next w:val="807"/>
    <w:link w:val="9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11">
    <w:name w:val="Heading 4"/>
    <w:basedOn w:val="807"/>
    <w:next w:val="807"/>
    <w:link w:val="9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12">
    <w:name w:val="Heading 5"/>
    <w:basedOn w:val="807"/>
    <w:next w:val="807"/>
    <w:link w:val="9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13">
    <w:name w:val="Heading 6"/>
    <w:basedOn w:val="807"/>
    <w:next w:val="807"/>
    <w:link w:val="9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4">
    <w:name w:val="Heading 7"/>
    <w:basedOn w:val="807"/>
    <w:next w:val="807"/>
    <w:link w:val="9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5">
    <w:name w:val="Heading 8"/>
    <w:basedOn w:val="807"/>
    <w:next w:val="807"/>
    <w:link w:val="9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6">
    <w:name w:val="Heading 9"/>
    <w:basedOn w:val="807"/>
    <w:next w:val="807"/>
    <w:link w:val="9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7" w:default="1">
    <w:name w:val="Default Paragraph Font"/>
    <w:uiPriority w:val="1"/>
    <w:unhideWhenUsed/>
    <w:pPr>
      <w:pBdr/>
      <w:spacing/>
      <w:ind/>
    </w:pPr>
  </w:style>
  <w:style w:type="table" w:styleId="8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9" w:default="1">
    <w:name w:val="No List"/>
    <w:uiPriority w:val="99"/>
    <w:semiHidden/>
    <w:unhideWhenUsed/>
    <w:pPr>
      <w:pBdr/>
      <w:spacing/>
      <w:ind/>
    </w:pPr>
  </w:style>
  <w:style w:type="character" w:styleId="820" w:customStyle="1">
    <w:name w:val="Heading 1 Char"/>
    <w:basedOn w:val="8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1" w:customStyle="1">
    <w:name w:val="Heading 2 Char"/>
    <w:basedOn w:val="8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22" w:customStyle="1">
    <w:name w:val="Heading 3 Char"/>
    <w:basedOn w:val="8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23" w:customStyle="1">
    <w:name w:val="Heading 4 Char"/>
    <w:basedOn w:val="81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4" w:customStyle="1">
    <w:name w:val="Heading 5 Char"/>
    <w:basedOn w:val="8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25" w:customStyle="1">
    <w:name w:val="Heading 6 Char"/>
    <w:basedOn w:val="8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6" w:customStyle="1">
    <w:name w:val="Heading 7 Char"/>
    <w:basedOn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7" w:customStyle="1">
    <w:name w:val="Heading 8 Char"/>
    <w:basedOn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8" w:customStyle="1">
    <w:name w:val="Heading 9 Char"/>
    <w:basedOn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9" w:customStyle="1">
    <w:name w:val="Title Char"/>
    <w:basedOn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0" w:customStyle="1">
    <w:name w:val="Subtitle Char"/>
    <w:basedOn w:val="8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1" w:customStyle="1">
    <w:name w:val="Quote Char"/>
    <w:basedOn w:val="8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2" w:customStyle="1">
    <w:name w:val="Intense Quote Char"/>
    <w:basedOn w:val="81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33" w:customStyle="1">
    <w:name w:val="Header Char"/>
    <w:basedOn w:val="817"/>
    <w:uiPriority w:val="99"/>
    <w:pPr>
      <w:pBdr/>
      <w:spacing/>
      <w:ind/>
    </w:pPr>
  </w:style>
  <w:style w:type="character" w:styleId="834" w:customStyle="1">
    <w:name w:val="Footer Char"/>
    <w:basedOn w:val="817"/>
    <w:uiPriority w:val="99"/>
    <w:pPr>
      <w:pBdr/>
      <w:spacing/>
      <w:ind/>
    </w:pPr>
  </w:style>
  <w:style w:type="character" w:styleId="835" w:customStyle="1">
    <w:name w:val="Footnote Text Char"/>
    <w:basedOn w:val="817"/>
    <w:uiPriority w:val="99"/>
    <w:semiHidden/>
    <w:pPr>
      <w:pBdr/>
      <w:spacing/>
      <w:ind/>
    </w:pPr>
    <w:rPr>
      <w:sz w:val="20"/>
      <w:szCs w:val="20"/>
    </w:rPr>
  </w:style>
  <w:style w:type="character" w:styleId="836" w:customStyle="1">
    <w:name w:val="Endnote Text Char"/>
    <w:basedOn w:val="817"/>
    <w:uiPriority w:val="99"/>
    <w:semiHidden/>
    <w:pPr>
      <w:pBdr/>
      <w:spacing/>
      <w:ind/>
    </w:pPr>
    <w:rPr>
      <w:sz w:val="20"/>
      <w:szCs w:val="20"/>
    </w:rPr>
  </w:style>
  <w:style w:type="table" w:styleId="837">
    <w:name w:val="Table Grid"/>
    <w:basedOn w:val="81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8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1"/>
    <w:basedOn w:val="8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2"/>
    <w:basedOn w:val="81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customStyle="1">
    <w:name w:val="Заголовок 1 Знак"/>
    <w:basedOn w:val="817"/>
    <w:link w:val="8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64" w:customStyle="1">
    <w:name w:val="Заголовок 2 Знак"/>
    <w:basedOn w:val="817"/>
    <w:link w:val="8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65" w:customStyle="1">
    <w:name w:val="Заголовок 3 Знак"/>
    <w:basedOn w:val="817"/>
    <w:link w:val="81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66" w:customStyle="1">
    <w:name w:val="Заголовок 4 Знак"/>
    <w:basedOn w:val="817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67" w:customStyle="1">
    <w:name w:val="Заголовок 5 Знак"/>
    <w:basedOn w:val="817"/>
    <w:link w:val="81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68" w:customStyle="1">
    <w:name w:val="Заголовок 6 Знак"/>
    <w:basedOn w:val="817"/>
    <w:link w:val="8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9" w:customStyle="1">
    <w:name w:val="Заголовок 7 Знак"/>
    <w:basedOn w:val="817"/>
    <w:link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0" w:customStyle="1">
    <w:name w:val="Заголовок 8 Знак"/>
    <w:basedOn w:val="817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1" w:customStyle="1">
    <w:name w:val="Заголовок 9 Знак"/>
    <w:basedOn w:val="81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2">
    <w:name w:val="Title"/>
    <w:basedOn w:val="807"/>
    <w:next w:val="807"/>
    <w:link w:val="9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3" w:customStyle="1">
    <w:name w:val="Заголовок Знак"/>
    <w:basedOn w:val="817"/>
    <w:link w:val="9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4">
    <w:name w:val="Subtitle"/>
    <w:basedOn w:val="807"/>
    <w:next w:val="807"/>
    <w:link w:val="9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5" w:customStyle="1">
    <w:name w:val="Подзаголовок Знак"/>
    <w:basedOn w:val="817"/>
    <w:link w:val="9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6">
    <w:name w:val="Quote"/>
    <w:basedOn w:val="807"/>
    <w:next w:val="807"/>
    <w:link w:val="9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7" w:customStyle="1">
    <w:name w:val="Цитата 2 Знак"/>
    <w:basedOn w:val="817"/>
    <w:link w:val="9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8">
    <w:name w:val="Intense Emphasis"/>
    <w:basedOn w:val="81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79">
    <w:name w:val="Intense Quote"/>
    <w:basedOn w:val="807"/>
    <w:next w:val="807"/>
    <w:link w:val="98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80" w:customStyle="1">
    <w:name w:val="Выделенная цитата Знак"/>
    <w:basedOn w:val="817"/>
    <w:link w:val="97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81">
    <w:name w:val="Intense Reference"/>
    <w:basedOn w:val="81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82">
    <w:name w:val="Subtle Emphasis"/>
    <w:basedOn w:val="8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3">
    <w:name w:val="Emphasis"/>
    <w:basedOn w:val="817"/>
    <w:uiPriority w:val="20"/>
    <w:qFormat/>
    <w:pPr>
      <w:pBdr/>
      <w:spacing/>
      <w:ind/>
    </w:pPr>
    <w:rPr>
      <w:i/>
      <w:iCs/>
    </w:rPr>
  </w:style>
  <w:style w:type="character" w:styleId="984">
    <w:name w:val="Strong"/>
    <w:basedOn w:val="817"/>
    <w:uiPriority w:val="22"/>
    <w:qFormat/>
    <w:pPr>
      <w:pBdr/>
      <w:spacing/>
      <w:ind/>
    </w:pPr>
    <w:rPr>
      <w:b/>
      <w:bCs/>
    </w:rPr>
  </w:style>
  <w:style w:type="character" w:styleId="985">
    <w:name w:val="Subtle Reference"/>
    <w:basedOn w:val="8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6">
    <w:name w:val="Book Title"/>
    <w:basedOn w:val="8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7">
    <w:name w:val="Header"/>
    <w:basedOn w:val="807"/>
    <w:link w:val="9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8" w:customStyle="1">
    <w:name w:val="Верхний колонтитул Знак"/>
    <w:basedOn w:val="817"/>
    <w:link w:val="987"/>
    <w:uiPriority w:val="99"/>
    <w:pPr>
      <w:pBdr/>
      <w:spacing/>
      <w:ind/>
    </w:pPr>
  </w:style>
  <w:style w:type="paragraph" w:styleId="989">
    <w:name w:val="Footer"/>
    <w:basedOn w:val="807"/>
    <w:link w:val="9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90" w:customStyle="1">
    <w:name w:val="Нижний колонтитул Знак"/>
    <w:basedOn w:val="817"/>
    <w:link w:val="989"/>
    <w:uiPriority w:val="99"/>
    <w:pPr>
      <w:pBdr/>
      <w:spacing/>
      <w:ind/>
    </w:pPr>
  </w:style>
  <w:style w:type="paragraph" w:styleId="991">
    <w:name w:val="Caption"/>
    <w:basedOn w:val="807"/>
    <w:next w:val="80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92">
    <w:name w:val="footnote text"/>
    <w:basedOn w:val="807"/>
    <w:link w:val="9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3" w:customStyle="1">
    <w:name w:val="Текст сноски Знак"/>
    <w:basedOn w:val="817"/>
    <w:link w:val="992"/>
    <w:uiPriority w:val="99"/>
    <w:semiHidden/>
    <w:pPr>
      <w:pBdr/>
      <w:spacing/>
      <w:ind/>
    </w:pPr>
    <w:rPr>
      <w:sz w:val="20"/>
      <w:szCs w:val="20"/>
    </w:rPr>
  </w:style>
  <w:style w:type="character" w:styleId="994">
    <w:name w:val="footnote reference"/>
    <w:basedOn w:val="817"/>
    <w:uiPriority w:val="99"/>
    <w:semiHidden/>
    <w:unhideWhenUsed/>
    <w:pPr>
      <w:pBdr/>
      <w:spacing/>
      <w:ind/>
    </w:pPr>
    <w:rPr>
      <w:vertAlign w:val="superscript"/>
    </w:rPr>
  </w:style>
  <w:style w:type="paragraph" w:styleId="995">
    <w:name w:val="endnote text"/>
    <w:basedOn w:val="807"/>
    <w:link w:val="9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6" w:customStyle="1">
    <w:name w:val="Текст концевой сноски Знак"/>
    <w:basedOn w:val="817"/>
    <w:link w:val="995"/>
    <w:uiPriority w:val="99"/>
    <w:semiHidden/>
    <w:pPr>
      <w:pBdr/>
      <w:spacing/>
      <w:ind/>
    </w:pPr>
    <w:rPr>
      <w:sz w:val="20"/>
      <w:szCs w:val="20"/>
    </w:rPr>
  </w:style>
  <w:style w:type="character" w:styleId="997">
    <w:name w:val="endnote reference"/>
    <w:basedOn w:val="817"/>
    <w:uiPriority w:val="99"/>
    <w:semiHidden/>
    <w:unhideWhenUsed/>
    <w:pPr>
      <w:pBdr/>
      <w:spacing/>
      <w:ind/>
    </w:pPr>
    <w:rPr>
      <w:vertAlign w:val="superscript"/>
    </w:rPr>
  </w:style>
  <w:style w:type="character" w:styleId="998">
    <w:name w:val="Hyperlink"/>
    <w:basedOn w:val="81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9">
    <w:name w:val="FollowedHyperlink"/>
    <w:basedOn w:val="8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0">
    <w:name w:val="toc 1"/>
    <w:basedOn w:val="807"/>
    <w:next w:val="807"/>
    <w:uiPriority w:val="39"/>
    <w:unhideWhenUsed/>
    <w:pPr>
      <w:pBdr/>
      <w:spacing w:after="100"/>
      <w:ind/>
    </w:pPr>
  </w:style>
  <w:style w:type="paragraph" w:styleId="1001">
    <w:name w:val="toc 2"/>
    <w:basedOn w:val="807"/>
    <w:next w:val="807"/>
    <w:uiPriority w:val="39"/>
    <w:unhideWhenUsed/>
    <w:pPr>
      <w:pBdr/>
      <w:spacing w:after="100"/>
      <w:ind w:left="220"/>
    </w:pPr>
  </w:style>
  <w:style w:type="paragraph" w:styleId="1002">
    <w:name w:val="toc 3"/>
    <w:basedOn w:val="807"/>
    <w:next w:val="807"/>
    <w:uiPriority w:val="39"/>
    <w:unhideWhenUsed/>
    <w:pPr>
      <w:pBdr/>
      <w:spacing w:after="100"/>
      <w:ind w:left="440"/>
    </w:pPr>
  </w:style>
  <w:style w:type="paragraph" w:styleId="1003">
    <w:name w:val="toc 4"/>
    <w:basedOn w:val="807"/>
    <w:next w:val="807"/>
    <w:uiPriority w:val="39"/>
    <w:unhideWhenUsed/>
    <w:pPr>
      <w:pBdr/>
      <w:spacing w:after="100"/>
      <w:ind w:left="660"/>
    </w:pPr>
  </w:style>
  <w:style w:type="paragraph" w:styleId="1004">
    <w:name w:val="toc 5"/>
    <w:basedOn w:val="807"/>
    <w:next w:val="807"/>
    <w:uiPriority w:val="39"/>
    <w:unhideWhenUsed/>
    <w:pPr>
      <w:pBdr/>
      <w:spacing w:after="100"/>
      <w:ind w:left="880"/>
    </w:pPr>
  </w:style>
  <w:style w:type="paragraph" w:styleId="1005">
    <w:name w:val="toc 6"/>
    <w:basedOn w:val="807"/>
    <w:next w:val="807"/>
    <w:uiPriority w:val="39"/>
    <w:unhideWhenUsed/>
    <w:pPr>
      <w:pBdr/>
      <w:spacing w:after="100"/>
      <w:ind w:left="1100"/>
    </w:pPr>
  </w:style>
  <w:style w:type="paragraph" w:styleId="1006">
    <w:name w:val="toc 7"/>
    <w:basedOn w:val="807"/>
    <w:next w:val="807"/>
    <w:uiPriority w:val="39"/>
    <w:unhideWhenUsed/>
    <w:pPr>
      <w:pBdr/>
      <w:spacing w:after="100"/>
      <w:ind w:left="1320"/>
    </w:pPr>
  </w:style>
  <w:style w:type="paragraph" w:styleId="1007">
    <w:name w:val="toc 8"/>
    <w:basedOn w:val="807"/>
    <w:next w:val="807"/>
    <w:uiPriority w:val="39"/>
    <w:unhideWhenUsed/>
    <w:pPr>
      <w:pBdr/>
      <w:spacing w:after="100"/>
      <w:ind w:left="1540"/>
    </w:pPr>
  </w:style>
  <w:style w:type="paragraph" w:styleId="1008">
    <w:name w:val="toc 9"/>
    <w:basedOn w:val="807"/>
    <w:next w:val="807"/>
    <w:uiPriority w:val="39"/>
    <w:unhideWhenUsed/>
    <w:pPr>
      <w:pBdr/>
      <w:spacing w:after="100"/>
      <w:ind w:left="1760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>
    <w:name w:val="table of figures"/>
    <w:basedOn w:val="807"/>
    <w:next w:val="807"/>
    <w:uiPriority w:val="99"/>
    <w:unhideWhenUsed/>
    <w:pPr>
      <w:pBdr/>
      <w:spacing w:after="0"/>
      <w:ind/>
    </w:pPr>
  </w:style>
  <w:style w:type="paragraph" w:styleId="1011">
    <w:name w:val="No Spacing"/>
    <w:basedOn w:val="807"/>
    <w:uiPriority w:val="1"/>
    <w:qFormat/>
    <w:pPr>
      <w:pBdr/>
      <w:spacing w:after="0" w:line="240" w:lineRule="auto"/>
      <w:ind/>
    </w:pPr>
  </w:style>
  <w:style w:type="paragraph" w:styleId="1012">
    <w:name w:val="List Paragraph"/>
    <w:basedOn w:val="807"/>
    <w:uiPriority w:val="34"/>
    <w:qFormat/>
    <w:pPr>
      <w:pBdr/>
      <w:spacing/>
      <w:ind w:left="720"/>
      <w:contextualSpacing w:val="true"/>
    </w:pPr>
  </w:style>
  <w:style w:type="character" w:styleId="1013">
    <w:name w:val="Unresolved Mention"/>
    <w:basedOn w:val="81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4" w:customStyle="1">
    <w:name w:val="ds-markdown-paragraph"/>
    <w:basedOn w:val="80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bypass.rgups.ru/site/assets/files/213492/dissertatciia_vv_trapenov_27_09_2024.pdf" TargetMode="External"/><Relationship Id="rId11" Type="http://schemas.openxmlformats.org/officeDocument/2006/relationships/hyperlink" Target="https://eabr.org/upload/iblock/16a/EDB_WIE_RU_2025_Report.pdf" TargetMode="External"/><Relationship Id="rId12" Type="http://schemas.openxmlformats.org/officeDocument/2006/relationships/hyperlink" Target="https://prim.rbc.ru/prim/11/03/2026/69b0b5f29a794710645d6e7b" TargetMode="External"/><Relationship Id="rId13" Type="http://schemas.openxmlformats.org/officeDocument/2006/relationships/hyperlink" Target="https://studfile.net/preview/12016707/page:32/" TargetMode="External"/><Relationship Id="rId14" Type="http://schemas.openxmlformats.org/officeDocument/2006/relationships/hyperlink" Target="https://prim.rbc.ru/prim/10/09/2024/66dfc2649a794787962ffa89" TargetMode="External"/><Relationship Id="rId15" Type="http://schemas.openxmlformats.org/officeDocument/2006/relationships/hyperlink" Target="https://prim.rbc.ru/prim/11/03/2026/69b0b5f29a794710645d6e7b" TargetMode="External"/><Relationship Id="rId16" Type="http://schemas.openxmlformats.org/officeDocument/2006/relationships/hyperlink" Target="https://erdc.ru/news/krdv-predstavila-logisticheskie-proekty-dlya-investorov-i-kompleks-mer-gospodderzhki-biznesa-na-daln/" TargetMode="External"/><Relationship Id="rId17" Type="http://schemas.openxmlformats.org/officeDocument/2006/relationships/hyperlink" Target="https://minpromtorg.gov.ru/" TargetMode="External"/><Relationship Id="rId18" Type="http://schemas.openxmlformats.org/officeDocument/2006/relationships/hyperlink" Target="mailto:verakorsyakova@yandex.ru" TargetMode="External"/><Relationship Id="rId19" Type="http://schemas.openxmlformats.org/officeDocument/2006/relationships/hyperlink" Target="mailto:nessadarkkk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Корсякова</dc:creator>
  <cp:revision>13</cp:revision>
  <dcterms:created xsi:type="dcterms:W3CDTF">2026-03-25T14:41:00Z</dcterms:created>
  <dcterms:modified xsi:type="dcterms:W3CDTF">2026-05-07T04:28:56Z</dcterms:modified>
</cp:coreProperties>
</file>