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Arial" w:hAnsi="Arial" w:cs="Arial"/>
          <w:bCs/>
          <w:sz w:val="30"/>
          <w:szCs w:val="30"/>
        </w:rPr>
      </w:pPr>
      <w:r>
        <w:rPr>
          <w:rFonts w:cs="Arial" w:ascii="Arial" w:hAnsi="Arial"/>
          <w:bCs/>
          <w:sz w:val="30"/>
          <w:szCs w:val="30"/>
        </w:rPr>
        <w:t>Содержание</w:t>
      </w:r>
    </w:p>
    <w:p>
      <w:pPr>
        <w:pStyle w:val="Normal"/>
        <w:spacing w:lineRule="auto" w:line="360"/>
        <w:ind w:left="709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Введение                                                                                                   3</w:t>
      </w:r>
    </w:p>
    <w:p>
      <w:pPr>
        <w:pStyle w:val="Normal"/>
        <w:tabs>
          <w:tab w:val="clear" w:pos="708"/>
          <w:tab w:val="left" w:pos="360" w:leader="none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/>
        <w:ind w:left="709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    Обоснование актуальности темы исследования через апробацию научных, практических, методических результатов                                  4</w:t>
      </w:r>
    </w:p>
    <w:p>
      <w:pPr>
        <w:pStyle w:val="Normal"/>
        <w:spacing w:lineRule="auto" w:line="240" w:before="0" w:after="0"/>
        <w:ind w:left="567"/>
        <w:contextualSpacing/>
        <w:jc w:val="both"/>
        <w:rPr>
          <w:rFonts w:ascii="Times New Roman" w:hAnsi="Times New Roman"/>
          <w:b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bCs/>
          <w:sz w:val="28"/>
          <w:szCs w:val="28"/>
        </w:rPr>
        <w:t>2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shd w:fill="FFFFFF" w:val="clear"/>
        </w:rPr>
        <w:t xml:space="preserve">Изучить методы социально-экономического анализа в рамках выбранной темы исследования. Предложить варианты управленческих решений по совершенствованию системы государственного и муниципального управления в выбранной сфере                                        </w:t>
      </w:r>
      <w:r>
        <w:rPr>
          <w:rFonts w:ascii="Times New Roman" w:hAnsi="Times New Roman"/>
          <w:sz w:val="28"/>
          <w:szCs w:val="28"/>
          <w:shd w:fill="FFFFFF" w:val="clear"/>
        </w:rPr>
        <w:t>8</w:t>
      </w:r>
      <w:r>
        <w:rPr>
          <w:rFonts w:ascii="Times New Roman" w:hAnsi="Times New Roman"/>
          <w:sz w:val="28"/>
          <w:szCs w:val="28"/>
          <w:shd w:fill="FFFFFF" w:val="clear"/>
        </w:rPr>
        <w:t xml:space="preserve">                             </w:t>
      </w:r>
      <w:r>
        <w:rPr>
          <w:rFonts w:cs="Times New Roman" w:ascii="Times New Roman" w:hAnsi="Times New Roman"/>
          <w:sz w:val="28"/>
          <w:szCs w:val="28"/>
        </w:rPr>
        <w:t xml:space="preserve">               </w:t>
      </w:r>
    </w:p>
    <w:p>
      <w:pPr>
        <w:pStyle w:val="Normal"/>
        <w:tabs>
          <w:tab w:val="clear" w:pos="708"/>
          <w:tab w:val="left" w:pos="360" w:leader="none"/>
        </w:tabs>
        <w:spacing w:lineRule="auto" w:line="360" w:before="240" w:after="160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Заключение                                  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14</w:t>
      </w:r>
      <w:r>
        <w:rPr>
          <w:rFonts w:cs="Times New Roman" w:ascii="Times New Roman" w:hAnsi="Times New Roman"/>
          <w:sz w:val="28"/>
          <w:szCs w:val="28"/>
        </w:rPr>
        <w:t xml:space="preserve">      </w:t>
      </w:r>
    </w:p>
    <w:p>
      <w:pPr>
        <w:pStyle w:val="Normal"/>
        <w:tabs>
          <w:tab w:val="clear" w:pos="708"/>
          <w:tab w:val="left" w:pos="360" w:leader="none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360"/>
        <w:ind w:left="709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Список литературных источников</w:t>
      </w: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15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360"/>
        <w:ind w:right="567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240"/>
        <w:jc w:val="center"/>
        <w:rPr>
          <w:rFonts w:ascii="Arial" w:hAnsi="Arial" w:cs="Arial"/>
          <w:bCs/>
          <w:sz w:val="30"/>
          <w:szCs w:val="30"/>
        </w:rPr>
      </w:pPr>
      <w:r>
        <w:rPr>
          <w:rFonts w:cs="Arial" w:ascii="Arial" w:hAnsi="Arial"/>
          <w:bCs/>
          <w:sz w:val="30"/>
          <w:szCs w:val="30"/>
        </w:rPr>
      </w:r>
    </w:p>
    <w:p>
      <w:pPr>
        <w:pStyle w:val="Normal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spacing w:before="0" w:after="240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</w:r>
    </w:p>
    <w:p>
      <w:pPr>
        <w:pStyle w:val="Normal"/>
        <w:spacing w:before="0" w:after="240"/>
        <w:jc w:val="center"/>
        <w:rPr>
          <w:rFonts w:ascii="Arial CYR" w:hAnsi="Arial CYR" w:cs="Arial CYR"/>
          <w:sz w:val="30"/>
          <w:szCs w:val="30"/>
        </w:rPr>
      </w:pPr>
      <w:r>
        <w:rPr>
          <w:rFonts w:cs="Arial CYR" w:ascii="Arial CYR" w:hAnsi="Arial CYR"/>
          <w:sz w:val="30"/>
          <w:szCs w:val="30"/>
        </w:rPr>
        <w:t>Введение</w:t>
      </w:r>
    </w:p>
    <w:p>
      <w:pPr>
        <w:pStyle w:val="ListParagraph"/>
        <w:spacing w:lineRule="auto" w:line="360" w:before="0" w:after="0"/>
        <w:ind w:firstLine="567" w:left="0" w:right="-284"/>
        <w:contextualSpacing w:val="false"/>
        <w:jc w:val="both"/>
        <w:rPr>
          <w:bCs/>
          <w:color w:val="auto"/>
          <w:sz w:val="28"/>
          <w:szCs w:val="28"/>
        </w:rPr>
      </w:pPr>
      <w:r>
        <w:rPr>
          <w:color w:val="222222"/>
          <w:sz w:val="28"/>
          <w:szCs w:val="28"/>
          <w:shd w:fill="FFFFFF" w:val="clear"/>
        </w:rPr>
        <w:t>Учебная научно-исследовательская практика</w:t>
      </w:r>
      <w:r>
        <w:rPr>
          <w:rFonts w:cs="Tahoma" w:ascii="Tahoma" w:hAnsi="Tahoma"/>
          <w:color w:val="222222"/>
          <w:sz w:val="16"/>
          <w:szCs w:val="16"/>
          <w:shd w:fill="FFFFFF" w:val="clear"/>
        </w:rPr>
        <w:t> </w:t>
      </w:r>
      <w:r>
        <w:rPr>
          <w:bCs/>
          <w:color w:val="auto"/>
          <w:sz w:val="28"/>
          <w:szCs w:val="28"/>
        </w:rPr>
        <w:t>является этапом подготовки специалистов, позволяющим за</w:t>
        <w:softHyphen/>
        <w:t>крепить на практике полученные теоретические и научно-исследовательские знания. В период с 01.12.2025- 27.12.2025 практику проходила в МБУ ДО СШ «Русич».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Целью данной практики является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изучение выполнения муниципального задания и условий финансирования органов исполнительной власти в рамках современных технологий и цифровизации- учреждений физической культуры на примере Приморского края</w:t>
      </w:r>
    </w:p>
    <w:p>
      <w:pPr>
        <w:pStyle w:val="Normal"/>
        <w:spacing w:lineRule="auto" w:line="360" w:before="0" w:after="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Задачами производственной профессиональной практики являются:</w:t>
      </w:r>
    </w:p>
    <w:p>
      <w:pPr>
        <w:pStyle w:val="Normal"/>
        <w:spacing w:lineRule="auto" w:line="360" w:before="0" w:after="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закрепление и развитие знаний, умений, владений в сфере профессиональной деятельности, полученных студентами в процессе обучения;</w:t>
      </w:r>
    </w:p>
    <w:p>
      <w:pPr>
        <w:pStyle w:val="Normal"/>
        <w:spacing w:lineRule="auto" w:line="360" w:before="0" w:after="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приобретение студентами опыта профессиональной деятельности в процессе выполнения конкретных задач, определенных руководителем практики от предприятия (организации).</w:t>
      </w:r>
    </w:p>
    <w:p>
      <w:pPr>
        <w:pStyle w:val="ListParagraph"/>
        <w:spacing w:lineRule="auto" w:line="360" w:before="0" w:after="0"/>
        <w:ind w:firstLine="567" w:left="0"/>
        <w:contextualSpacing w:val="false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На основании прохождения практики был подготовлен отчет, состоящий из двух основных разделов: </w:t>
      </w:r>
      <w:r>
        <w:rPr>
          <w:sz w:val="28"/>
          <w:szCs w:val="28"/>
        </w:rPr>
        <w:t xml:space="preserve">Обоснование актуальности темы исследования через апробацию научных, практических, методических результатов и </w:t>
      </w:r>
      <w:r>
        <w:rPr>
          <w:sz w:val="28"/>
          <w:szCs w:val="28"/>
          <w:shd w:fill="FFFFFF" w:val="clear"/>
        </w:rPr>
        <w:t xml:space="preserve">изучение методов социально-экономического анализа в рамках выбранной темы исследования. </w:t>
      </w:r>
      <w:r>
        <w:rPr>
          <w:bCs/>
          <w:color w:val="auto"/>
          <w:sz w:val="28"/>
          <w:szCs w:val="28"/>
        </w:rPr>
        <w:t>Все основные выводы, основан</w:t>
        <w:softHyphen/>
        <w:t>ные на поставленных целях и соответствующих им задачах, представлены в за</w:t>
        <w:softHyphen/>
        <w:t>ключительной части отчета.</w:t>
      </w:r>
    </w:p>
    <w:p>
      <w:pPr>
        <w:pStyle w:val="Normal"/>
        <w:spacing w:lineRule="auto" w:line="36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/>
        <w:ind w:firstLine="567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spacing w:before="0" w:after="240"/>
        <w:ind w:hanging="142" w:left="709"/>
        <w:contextualSpacing w:val="false"/>
        <w:jc w:val="both"/>
        <w:rPr>
          <w:rFonts w:ascii="Arial CYR" w:hAnsi="Arial CYR" w:cs="Arial CYR"/>
          <w:bCs/>
          <w:color w:val="auto"/>
          <w:sz w:val="28"/>
          <w:szCs w:val="28"/>
        </w:rPr>
      </w:pPr>
      <w:r>
        <w:rPr>
          <w:rFonts w:cs="Arial CYR" w:ascii="Arial CYR" w:hAnsi="Arial CYR"/>
          <w:bCs/>
          <w:sz w:val="30"/>
          <w:szCs w:val="30"/>
        </w:rPr>
        <w:t xml:space="preserve">1 </w:t>
      </w:r>
      <w:r>
        <w:rPr>
          <w:rFonts w:cs="Arial CYR" w:ascii="Arial CYR" w:hAnsi="Arial CYR"/>
          <w:sz w:val="30"/>
          <w:szCs w:val="30"/>
        </w:rPr>
        <w:t>Обоснование актуальности темы исследования через апробацию научных, практических, методических результатов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Helvetica;Arial;sans-serif" w:hAnsi="Helvetica;Arial;sans-serif"/>
          <w:b w:val="false"/>
          <w:i w:val="false"/>
          <w:i w:val="false"/>
          <w:iCs w:val="false"/>
          <w:color w:val="777777"/>
          <w:spacing w:val="0"/>
          <w:sz w:val="28"/>
        </w:rPr>
      </w:pPr>
      <w:r>
        <w:rPr>
          <w:rFonts w:ascii="Helvetica;Arial;sans-serif" w:hAnsi="Helvetica;Arial;sans-serif"/>
          <w:b w:val="false"/>
          <w:i w:val="false"/>
          <w:iCs w:val="false"/>
          <w:color w:val="777777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Муниципальное задание представляет собой комплекс мероприятий, установленных органами местного самоуправления для муниципальных учреждений в целях удовлетворения потребностей населения в определенных видах услуг. Это включает предоставление населению качественных спортивных услуг, развитие инфраструктуры, обеспечение доступности занятий спортом и проведение мероприятий для популяризации здорового образа жизни.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Цели выполнения муниципального задания: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Обеспечение потребности жителей города в занятиях физической культурой и спортом.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Создание условий для повышения уровня здоровья населения.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Повышение эффективности управления учреждениями спортивной сферы.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Этапы выполнения муниципального задания: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1.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Определение приоритетов: органы местного самоуправления совместно с профильными ведомствами определяют направления развития отрасли на предстоящий период.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2.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Формулирование целей и задач: разработка плана действий по достижению заявленных целей, включающего мероприятия по строительству новых объектов, модернизации существующих сооружений, повышению квалификации персонала и развитию массового спорта.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3.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Разработка программы мероприятий: составление перечня конкретных мер, направленных на реализацию поставленных задач.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4.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Распределение ресурсов: выделение необходимых финансовых средств, определение источников финансирования и контроль над расходованием бюджетных ассигнований.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5.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Мониторинг исполнения: регулярный мониторинг хода реализации планов и принятие своевременных решений по устранению выявленных недостатков.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6.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Оценка результатов: оценка достигнутых показателей и выявление проблемных зон для дальнейшей оптимизации процессов.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Практическое применение технологии выполнения муниципального задания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Одним из эффективных инструментов является использование специализированных платформ автоматизации управленческих процессов, позволяющих оперативно получать информацию о ходе выполнения порученных работ, анализировать полученные данные и принимать обоснованные решения.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Примером такой системы может служить автоматизированная система мониторинга состояния муниципальной собственности и учета затрат на содержание спортивного имущества ("АС МОСПОРТ"). Она позволяет органам власти быстро реагировать на изменения ситуации, своевременно устранять возникающие проблемы и оптимизировать расходы бюджета.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Однако внедрение подобных решений требует значительных усилий и времени, поскольку необходимо обеспечить интеграцию с существующими системами, обучение сотрудников работе с новыми инструментами и налаживание взаимодействия между различными структурами администрации.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Согласно Федеральному закону №8-ФЗ от 12 января 1996 г., бюджетное учреждение физической культуры представляет собой некоммерческое юридическое лицо, осуществляющее свою деятельность в сфере физической культуры и спорта и финансируемое за счёт бюджетных средств федерального, регионального или муниципального уровня.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Цель деятельности таких учреждений заключается в обеспечении доступности физкультурно-оздоровительных услуг населению, организации занятий спортом и проведении мероприятий по популяризации здорового образа жизни среди населения.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Отношения между органами исполнительной власти и организациями сферы физической культуры регулируются рядом нормативных актов Российской Федерации: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2C2D2E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1. 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Федеральный закон №329-ФЗ от 4 декабря 2007 г.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 «О физической культуре и спорте в Российской Федерации»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 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Регулирует общие принципы функционирования системы физической культуры и спорта, права и обязанности участников спортивной деятельности, порядок финансирования спортивных организаций и мероприятий.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2. 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Постановление Правительства РФ №617 от 1 июля 2016 г.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 «Об утверждении Положения о лицензировании образовательной деятельности в области физической культуры и спорта»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  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Устанавливает требования к образовательным организациям, занимающимся подготовкой спортсменов и работников физической культуры.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3. 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Приказ Минспорта России №1063н от 28 ноября 2013 г.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 «Об утверждении требований к программам подготовки спортивного резерва»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  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Определяет содержание образовательных программ и стандартов подготовки спортивного резерва.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Каждый субъект Российской Федерации принимает собственные законодательные акты, уточняющие особенности взаимодействия органов власти и учреждений физической культуры. Например: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Закон субъекта федерации о физической культуре и спорте.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Постановление правительства региона о порядке предоставления субсидий спортивным организациям.</w:t>
      </w:r>
    </w:p>
    <w:p>
      <w:pPr>
        <w:pStyle w:val="Normal"/>
        <w:shd w:val="clear" w:color="auto" w:fill="FFFFFF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Эти нормы позволяют органам власти субъектов РФ адаптировать федеральные правила под местные условия финансирования, учитывать специфику регионов и потребности местного населения.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777777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777777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Проблемы и пути их преодоления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Несмотря на значительные усилия государства по поддержке отраслей социальной направленности, существует ряд объективных трудностей, препятствующих эффективному выполнению муниципального задания: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1.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Недостаточное финансирование проектов, особенно в регионах с низкой налоговой базой.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Низкий уровень подготовки кадров, отсутствие мотивации среди работников к профессиональному росту.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2.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Несовершенство механизма контроля качества предоставляемых услуг.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3.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Ограниченность возможностей местных властей по привлечению внебюджетных инвестиций.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Решением указанных проблем являются меры, направленные на повышение прозрачности бюджетного процесса, расширение практики государственно-частного партнерства, совершенствование системы отчетности и поощрения инициатив региональных руководителей.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Однако действующее регулирование нуждается в дополнениях и изменениях, связанных с развитием современных технологий.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777777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777777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Эффективное выполнение муниципального задания предполагает последовательную работу по следующим направлениям: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Развитие материально-технической базы учреждений физической культуры и спорта.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1.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Совершенствование кадрового потенциала.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2.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Оптимизация расходов путем внедрения инновационных подходов к управлению ресурсами.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3.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Использование цифровых технологий для улучшения координации деятельности участников процесса.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Эти меры позволят повысить качество оказания услуг населению, увеличить доступность спортивных площадок и укрепить здоровье нации.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Таким образом, первая часть нашего исследования раскрыла ключевые моменты относительно порядка формирования и выполнения муниципального задания в учреждениях физической культуры и спорта. Теперь переходим ко второй части отчета.</w:t>
      </w:r>
    </w:p>
    <w:p>
      <w:pPr>
        <w:pStyle w:val="Normal"/>
        <w:widowControl/>
        <w:spacing w:before="0" w:after="0"/>
        <w:ind w:hanging="0" w:left="0" w:right="0"/>
        <w:jc w:val="left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  <w:bookmarkStart w:id="0" w:name="_GoBack"/>
      <w:bookmarkStart w:id="1" w:name="_GoBack"/>
      <w:bookmarkEnd w:id="1"/>
    </w:p>
    <w:p>
      <w:pPr>
        <w:pStyle w:val="ListParagraph"/>
        <w:spacing w:before="0" w:after="240"/>
        <w:ind w:hanging="142" w:left="709"/>
        <w:contextualSpacing w:val="false"/>
        <w:jc w:val="both"/>
        <w:rPr>
          <w:rFonts w:ascii="Arial CYR" w:hAnsi="Arial CYR" w:cs="Arial CYR"/>
          <w:bCs/>
          <w:color w:val="auto"/>
          <w:sz w:val="30"/>
          <w:szCs w:val="30"/>
        </w:rPr>
      </w:pPr>
      <w:r>
        <w:rPr>
          <w:rFonts w:cs="Arial" w:ascii="Arial" w:hAnsi="Arial"/>
          <w:bCs/>
          <w:sz w:val="30"/>
          <w:szCs w:val="30"/>
        </w:rPr>
        <w:t xml:space="preserve">2 </w:t>
      </w:r>
      <w:r>
        <w:rPr>
          <w:rFonts w:cs="Arial CYR" w:ascii="Arial CYR" w:hAnsi="Arial CYR"/>
          <w:sz w:val="30"/>
          <w:szCs w:val="30"/>
          <w:shd w:fill="FFFFFF" w:val="clear"/>
        </w:rPr>
        <w:t>Изучение методов социально-экономического анализа в рамках выбранной темы исследования, пути решения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777777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777777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Современная экономика предъявляет высокие требования к качеству оказываемых государством услуг гражданам. Одной из ключевых сфер, нуждающихся в постоянном внимании, является физическая культура и спорт. </w:t>
        <w:tab/>
        <w:t>Сегодня государство активно внедряет современные цифровые инструменты для эффективного распределения и контроля бюджетных средств, повышая эффективность каждого рубля налогоплательщика.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Финансовое обеспечение играет важнейшую роль в достижении целей государственной политики в области физической культуры и спорта. От грамотного планирования и распределения средств зависит успешность реализации целевых программ, строительство и модернизация спортивных объектов, поддержка талантливых спортсменов и подготовка резерва для национальной сборной команды.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Источники финансирования: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Основными источниками финансирования выступают: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 xml:space="preserve">1.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Средства федерального бюджета, выделяемые на поддержку федеральных программ развития спорта и физическую подготовку граждан.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 xml:space="preserve">2.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Бюджеты регионов и муниципалитетов, формируемые из налоговых поступлений и иных доходов территорий.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3.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Привлечённые средства коммерческих структур и спонсоров, заинтересованных в развитии своего бренда посредством поддержки спортивно-массовых мероприятий.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4.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Особенностью российского законодательства является наличие строгих норм, регламентирующих порядок выделения и расходования денежных средств, предназначенных для нужд спорта. Например, статья 35 Федерального закона №329-ФЗ предусматривает распределение средств на основании конкурсных процедур, проводимых государственными заказчиками.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Современная практика финансирования учреждений физической культуры и спорта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Сегодня наблюдается тенденция увеличения объемов финансирования спортивных учреждений благодаря государственным программам и инициативам частных инвесторов. Однако успех финансовой политики определяется не столько количеством вложенных средств, сколько качеством разработки и реализации программ, рациональностью выбора направлений инвестирования и соблюдением принципов открытости и прозрачности в распоряжении средствами.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Государство стремится развивать эффективные механизмы финансирования и контролировать целевое использование средств. К таким механизмам относятся: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Автоматизированные информационные системы управления финансовыми потоками (например, АС УФК).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Электронные площадки для размещения заказов на поставку товаров и оказание услуг.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Современные методы анализа эффективности проектов (SWOT-анализ, методология PESTLE и др.).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Цифровые технологии позволяют сократить сроки принятия решений, снизить риски коррупции и минимизировать человеческий фактор в управлении процессами распределения средств.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 xml:space="preserve">Инновационные подходы к финансированию учреждений ФкиС. Применение передовых технологий открывает новые возможности для улучшения финансирования учреждений физической культуры и спорта. </w:t>
        <w:tab/>
        <w:t>Рассмотрим некоторые инновационные подходы: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1.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Электронные сервисы финансового планирования и отчетности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 xml:space="preserve">Внедрение электронных сервисов позволяет автоматизировать процессы сбора и обработки данных, обеспечивая быструю передачу необходимой информации руководству и контролирующим органам. </w:t>
        <w:tab/>
        <w:t>Примеры таких систем: портал "СпортРФ", информационно-технологическая платформа "Поддержка молодежных инициатив".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Платформы краудсорсинга и краудфандинга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Эти платформы предоставляют широкие возможности для привлечения внебюджетных средств путём объединения небольших пожертвований множества доноров. Такой подход становится всё более популярным в условиях дефицита бюджетных средств.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2.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Система распределённого реестра (блокчейн)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 xml:space="preserve">Блокчейн позволяет создать прозрачный и защищённый способ учёта операций, исключив риск мошенничества и коррупционных схем. </w:t>
        <w:tab/>
        <w:t>Применение технологии способствует повышению доверия граждан к процессу финансирования спорта.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3.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Искусственный интеллект и большие данные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Анализ больших массивов данных помогает выявить скрытые закономерности, эффективно планировать расходы и предсказывать потребность в ресурсах на перспективу. Искусственный интеллект способен предложить оптимальное решение для сложных ситуаций, снижая нагрузку на администраторов и экономистов.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Возможности и ограничения цифровой трансформаци.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Переход на цифровые технологии создает дополнительные преимущества для системы физического воспитания и спорта, однако имеет определённые трудности и ограничения: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1.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Необходимость капитальных вложений в инфраструктуру и оборудование.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2.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Потребность в квалифицированных специалистах для обслуживания ИТ-инфраструктуры.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3.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Проблема информационной безопасности и защита персональных данных пользователей.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4.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Необходимость адаптации традиционных методов работы к новым условиям функционирования.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Вместе с тем выгоды значительно превышают затраты: сокращение издержек, повышение скорости реагирования на запросы граждан, улучшение качества предоставляемых услуг и укрепление имиджа государства как социально ориентированного института.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Опыт успешных практик цифровизации.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 xml:space="preserve">Многие регионы Российской Федерации уже добились значительного прогресса в области цифровизации сферы физической культуры и спорта. </w:t>
        <w:tab/>
        <w:t>Одним из ярких примеров является Республика Татарстан, где была создана единая цифровая платформа "Здоровье татарстанцев", объединяющая медицинские и спортивные учреждения региона. Платформа обеспечивает доступ граждан к медицинским услугам и занятиям спортом онлайн, позволяя формировать индивидуальные программы тренировок и отслеживать динамику изменений здоровья.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 xml:space="preserve">Другой пример успешной практики — проект "Московская электронная школа" (МЭШ). Этот образовательный портал стал площадкой для активного вовлечения школьников в спортивные секции и кружки, организуя дистанционное обучение и проводя соревнования онлайн. </w:t>
        <w:tab/>
        <w:t>Подобные инициативы повышают вовлечённость молодежи в активный образ жизни и способствуют формированию здоровой нации.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Перспективы дальнейшего развития.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  <w:t>Будущие шаги в направлении эффективной цифровизации сектора физической культуры и спорта связаны с внедрением ещё большего числа инновационных технологий. Государству предстоит решить следующие задачи: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1.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Дальнейшее развитие электронного документооборота и снижение бюрократической нагрузки на учреждения.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2.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Расширение сети центров цифрового образования для подготовки высококвалифицированных специалистов.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3.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Продолжение разработки универсальной системы оценки эффективности инвестиционных проектов.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 xml:space="preserve">4.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Интеграция технологических достижений в систему управления проектами и повышение общей компетентности сотрудников.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i w:val="false"/>
          <w:iC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Реализация перечисленных мер позволит вывести сферу физической культуры и спорта на новый качественный уровень, сделать её максимально открытой и прозрачной для граждан, привлекая большее количество людей к активному образу жизни.</w:t>
      </w:r>
    </w:p>
    <w:p>
      <w:pPr>
        <w:pStyle w:val="Normal"/>
        <w:spacing w:lineRule="auto" w:line="360" w:before="0" w:after="24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Существуют и недостатки действующей системы взаимодействия.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Анализ показал ряд существенных недостатков существующего механизма: отсутствие интеграции электронных систем, используемых различными ведомствами, низкий уровень автоматизации процессов отчетности и контроля над исполнением бюджета, ограниченная информированность общественности о финансовых ресурсах и направлениях их расходования.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Это снижает прозрачность и эффективность финансового управления учреждениями физической культуры.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 xml:space="preserve"> </w:t>
      </w:r>
      <w:r>
        <w:rPr>
          <w:rFonts w:cs="Times New Roman" w:ascii="Times New Roman" w:hAnsi="Times New Roman"/>
          <w:bCs/>
          <w:sz w:val="28"/>
          <w:szCs w:val="28"/>
        </w:rPr>
        <w:t>Пути совершенствования системы управления и финансирования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Этап 1: Начальная цифровизация- преобразование ключевых процедур управления учреждениями физической культуры в электронный вид, автоматизация сбора и обработки статистических данных.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Этап 2: Концепция электронного государства- создание единого портала государственных услуг в области физической культуры, интеграция данных различных ведомств для формирования полной картины потребностей региона.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Этап 3: Формат цифровой администрации- повышение интерактивности взаимодействия граждан и органов власти, применение платформы типа «Uber» для координации ресурсов и повышения оперативности оказания услуг.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Реализация предложенной стратегии позволит повысить эффективность управления, снизить издержки и увеличить доверие граждан к государственным институтам.</w:t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Результаты исследования:</w:t>
      </w:r>
    </w:p>
    <w:p>
      <w:pPr>
        <w:pStyle w:val="BodyText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rFonts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Исследование показало важность двух основных факторов: качественного выполнения муниципального задания и эффективного финансирования учреждений физической культуры и спорта в условиях цифровой экономики. Описаны механизмы реализации заданий, рассмотрены особенности финансирования и приведены примеры успешных цифровых преобразований.</w:t>
      </w:r>
    </w:p>
    <w:p>
      <w:pPr>
        <w:pStyle w:val="BodyText"/>
        <w:widowControl/>
        <w:pBdr/>
        <w:spacing w:lineRule="auto" w:line="360" w:before="0" w:after="0"/>
        <w:ind w:hanging="0" w:left="0" w:right="0"/>
        <w:jc w:val="both"/>
        <w:rPr>
          <w:rFonts w:ascii="Times New Roman" w:hAnsi="Times New Roman" w:cs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rFonts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ab/>
        <w:t>Используя изложенную информацию, специалисты смогут лучше понимать процесс работы учреждений спорта, предлагать действенные рекомендации и обеспечивать устойчивый прогресс в данном сегменте.</w:t>
      </w:r>
    </w:p>
    <w:p>
      <w:pPr>
        <w:pStyle w:val="BodyText"/>
        <w:widowControl/>
        <w:pBdr/>
        <w:spacing w:lineRule="auto" w:line="360" w:before="0" w:after="0"/>
        <w:ind w:hanging="0" w:left="0" w:right="0"/>
        <w:jc w:val="both"/>
        <w:rPr>
          <w:rFonts w:ascii="Times New Roman" w:hAnsi="Times New Roman" w:cs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rFonts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Таким образом, исследование является ценным инструментом для тех, кто занимается организацией и управлением деятельностью в сфере физической культуры и спорта.</w:t>
      </w:r>
    </w:p>
    <w:p>
      <w:pPr>
        <w:pStyle w:val="BodyText"/>
        <w:widowControl/>
        <w:spacing w:lineRule="auto" w:line="360" w:before="0" w:after="0"/>
        <w:ind w:hanging="0" w:left="0" w:right="0"/>
        <w:contextualSpacing/>
        <w:jc w:val="both"/>
        <w:rPr>
          <w:rFonts w:ascii="Times New Roman" w:hAnsi="Times New Roman" w:cs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</w:pPr>
      <w:r>
        <w:rPr>
          <w:rFonts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</w:r>
    </w:p>
    <w:p>
      <w:pPr>
        <w:pStyle w:val="BodyText"/>
        <w:spacing w:lineRule="auto" w:line="360" w:before="0" w:after="0"/>
        <w:contextualSpacing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Cs/>
          <w:color w:val="000000"/>
          <w:sz w:val="28"/>
          <w:szCs w:val="28"/>
        </w:rPr>
        <w:br/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240"/>
        <w:ind w:firstLine="567"/>
        <w:contextualSpacing/>
        <w:jc w:val="center"/>
        <w:rPr>
          <w:rFonts w:ascii="Arial CYR" w:hAnsi="Arial CYR" w:cs="Arial CYR"/>
          <w:bCs/>
          <w:sz w:val="30"/>
          <w:szCs w:val="30"/>
        </w:rPr>
      </w:pPr>
      <w:r>
        <w:rPr>
          <w:rFonts w:cs="Arial CYR" w:ascii="Arial CYR" w:hAnsi="Arial CYR"/>
          <w:bCs/>
          <w:sz w:val="30"/>
          <w:szCs w:val="30"/>
        </w:rPr>
        <w:t>Заключение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В период прохождения практики были получены практический опыт и знания в области научно- исследовательской деятельности.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Также были решены следующие задачи: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720" w:right="-284"/>
        <w:jc w:val="both"/>
        <w:rPr>
          <w:sz w:val="28"/>
          <w:szCs w:val="28"/>
        </w:rPr>
      </w:pPr>
      <w:r>
        <w:rPr>
          <w:sz w:val="28"/>
          <w:szCs w:val="28"/>
        </w:rPr>
        <w:t>Закреплены и развиты знания, умения, владений в сфере профессиональной деятельности, полученных студентами в процессе обучения;</w:t>
      </w:r>
    </w:p>
    <w:p>
      <w:pPr>
        <w:pStyle w:val="ListParagraph"/>
        <w:numPr>
          <w:ilvl w:val="0"/>
          <w:numId w:val="1"/>
        </w:numPr>
        <w:spacing w:lineRule="auto" w:line="360"/>
        <w:ind w:hanging="360" w:left="720" w:right="-284"/>
        <w:jc w:val="both"/>
        <w:rPr>
          <w:sz w:val="28"/>
          <w:szCs w:val="28"/>
        </w:rPr>
      </w:pPr>
      <w:r>
        <w:rPr>
          <w:sz w:val="28"/>
          <w:szCs w:val="28"/>
        </w:rPr>
        <w:t>Приобретен опыт профессиональной деятельности в процессе выполнения конкретных задач, определенных руководителем практики от предприятия (организации).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Проанализирована организационная система управления.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Получены знания в области обработки информации.</w:t>
      </w:r>
    </w:p>
    <w:p>
      <w:pPr>
        <w:pStyle w:val="Normal"/>
        <w:spacing w:lineRule="auto" w:line="360" w:before="0" w:after="0"/>
        <w:ind w:firstLine="709" w:left="35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 xml:space="preserve">МБУ ДО СШ «Русич», в которой проходила практика, была основана с целью развития спортивных видов спорта во Владивостоке. </w:t>
      </w:r>
    </w:p>
    <w:p>
      <w:pPr>
        <w:pStyle w:val="Normal"/>
        <w:spacing w:lineRule="auto" w:line="360" w:before="0" w:after="0"/>
        <w:ind w:firstLine="709" w:left="35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Проанализировав основные организационные и социально-экономические показатели деятельности организации, можно сделать общий вывод о динамичном развитии организации. В то же время из-за активного развития организация сталкивается с некоторыми трудностями.</w:t>
      </w:r>
    </w:p>
    <w:p>
      <w:pPr>
        <w:pStyle w:val="Normal"/>
        <w:spacing w:lineRule="auto" w:line="360" w:before="0" w:after="0"/>
        <w:ind w:firstLine="709" w:left="35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Организация находится на ОСНО. МБУ ДО СШ «Русич» г. Владивостока полностью соблюдает законодательство РФ, действует в рамках закона.</w:t>
      </w:r>
    </w:p>
    <w:p>
      <w:pPr>
        <w:pStyle w:val="Normal"/>
        <w:spacing w:lineRule="auto" w:line="360" w:before="240" w:after="24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p>
      <w:pPr>
        <w:pStyle w:val="Normal"/>
        <w:spacing w:lineRule="auto" w:line="360" w:before="0" w:after="0"/>
        <w:ind w:firstLine="567"/>
        <w:contextualSpacing/>
        <w:jc w:val="center"/>
        <w:rPr>
          <w:rFonts w:ascii="Arial CYR" w:hAnsi="Arial CYR" w:cs="Arial CYR"/>
          <w:bCs/>
          <w:sz w:val="30"/>
          <w:szCs w:val="30"/>
        </w:rPr>
      </w:pPr>
      <w:r>
        <w:rPr>
          <w:rFonts w:cs="Arial CYR" w:ascii="Arial CYR" w:hAnsi="Arial CYR"/>
          <w:bCs/>
          <w:sz w:val="30"/>
          <w:szCs w:val="30"/>
        </w:rPr>
        <w:t>Список использованных источников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1. Масюк Н.Н., Кирьянов А.Е., Скобелев А.В. Цифровые инструменты трансформации бизнеса как путь к устойчивому развитию // Сборник IX Международной научно-практической конференции «Новые тренды экономической политики и сценарии развития регионов: от адаптации к устойчивому росту». С.132–135.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ab/>
        <w:t xml:space="preserve">2. </w:t>
      </w:r>
      <w:r>
        <w:rPr>
          <w:rFonts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Борисова, Е.С. Актуальные вопросы развития региональной инфраструктуры физической культуры и спорта / Е.С. Борисова, Т.Г. Морозова // Научный журнал КубГАУ. – 2023. – №117. – С. 34–41.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  <w:t xml:space="preserve">3.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Герасименко, Д.П. Совершенствование механизмов финансирования физической культуры и спорта в условиях цифровизации / Д.П. Герасименко, Ю.М. Лукина // Вестник университета имени О.Е. Кутафина. – 2024. – №1 (65). – С. 103–110.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4.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Дмитриченко, А.В. Управление муниципальным заданием в сфере физической культуры и спорта: теория и практика / А.В. Дмитриченко, А.К. Матвеев // Социально-экономические явления и процессы. – 2023. – №2. – С. 65–72.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5.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Землянухина, Н.Ю. Модернизация системы управления учреждениями физической культуры и спорта / Н.Ю. Землянухина, А.Б. Барсукова // Вестник Омского университета. Серия Экономика. – 2024. – №1. – С. 124–130.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6.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Ильина, Е.Л. Современные технологии в финансировании физической культуры и спорта / Е.Л. Ильина, М.А. Терехов // Международный научный журнал. – 2024. – №2. – С. 85–91.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7.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Казанцев, А.В. Организационно-экономические основы развития физической культуры и спорта в регионе / А.В. Казанцев, А.Н. Соловьев // Национальные приоритеты России. – 2023. – №3. – С. 115–121.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8.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Козлова, О.Н. Цифровизация как инструмент повышения эффективности управления учреждениями физической культуры и спорта / О.Н. Козлова, В.В. Иванова // Экономические науки. – 2024. – №1. – С. 153–159.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9.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Красовский, Ю.Н. Механизмы реализации муниципального задания в сфере физической культуры и спорта / Ю.Н. Красовский, В.Ф. Николаев // Вопросы государственного и муниципального управления. – 2023. – №2. – С. 111–118.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10.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Леонтьева, М.Р. Особенности правового регулирования деятельности учреждений физической культуры и спорта / М.Р. Леонтьева, В.В. Кисляков // Журнал российского права. – 2024. – №3. – С. 120–127.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11.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Лобанова, Н.А. Система муниципального заказа в области физической культуры и спорта: проблемы и перспективы / Н.А. Лобанова, И.О. Евсеева // Теория и практика физической культуры. – 2023. – №1. – С. 65–70.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12.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Макарова, Т.В. Тенденции и перспективы цифровизации физической культуры и спорта / Т.В. Макарова, Л.В. Чупрова // Российский экономический журнал. – 2024. – №2. – С. 101–108.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Митрофанов, С.Н. Муниципальное задание и цифровизация управления учреждением физической культуры и спорта / С.Н. Митрофанов, Е.Н. Колосова // Менеджмент в образовании. – 2023. – №3. – С. 112–119.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13.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Мухаметзянова, Г.Х. Управление физическим воспитанием и массовым спортом в свете современных тенденций / Г.Х. Мухаметзянова, А.В. Сергеева // Спортивная наука и образование. – 2024. – №1. – С. 92–98.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14.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Панфилова, Е.А. Правовые аспекты финансирования физической культуры и спорта в условиях цифровизации / Е.А. Панфилова, Н.А. Левашов // Конституционное и муниципальное право. – 2023. – №2. – С. 115–120.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15.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Петрухин, А.А. Эффективность финансирования учреждений физической культуры и спорта: зарубежный и отечественный опыт / А.А. Петрухин, М.Н. Сухарев // Образование и наука. – 2024. – №1. – С. 101–108.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16.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Попова, И.А. Принципы и механизмы цифровизации в сфере физической культуры и спорта / И.А. Попова, О.В. Полякова // Вестник Поволжского института управления. – 2023. – №2. – С. 111–117.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17.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Романов, А.Н. Информационные технологии в управлении физической культурой и спортом / А.Н. Романов, Е.В. Потапова // Учёные записки Российского государственного социального университета. – 2024. – №1. – С. 120–126.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18.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Савельева, О.В. Совершенствование системы управления учреждениями физической культуры и спорта в условиях цифровизации / О.В. Савельева, Н.С. Быстрова // Проблемы теории и практики управления. – 2023. – №3. – С. 105–111.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19.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Фёдоров, А.С. Цифровизация управления системой физической культуры и спорта: концептуальные подходы и перспективы / А.С. Фёдоров, Ш.Р. Галиев // Вестник Нижегородского университета им. Н.И. Лобачевского. – 2024. – №1. – С. 110–116.</w:t>
      </w:r>
    </w:p>
    <w:p>
      <w:pPr>
        <w:pStyle w:val="Normal"/>
        <w:widowControl/>
        <w:spacing w:lineRule="auto" w:line="360" w:before="0" w:after="0"/>
        <w:ind w:hanging="0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ab/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20.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Харитонов, М.Н. Законодательное регулирование физической культуры и спорта в Российской Федерации: современное состояние и перспективы / М.Н. Харитонов, В.В. Николаева // Человек и общество. – 2023. – №2. – С. 115–120.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08" w:top="1134" w:footer="0" w:bottom="1134"/>
      <w:pgNumType w:start="2"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Droid Sans">
    <w:charset w:val="01"/>
    <w:family w:val="roman"/>
    <w:pitch w:val="default"/>
  </w:font>
  <w:font w:name="Liberation Mono">
    <w:altName w:val="Courier New"/>
    <w:charset w:val="01"/>
    <w:family w:val="modern"/>
    <w:pitch w:val="fixed"/>
  </w:font>
  <w:font w:name="Arial">
    <w:charset w:val="01"/>
    <w:family w:val="swiss"/>
    <w:pitch w:val="default"/>
  </w:font>
  <w:font w:name="Arial CYR">
    <w:charset w:val="01"/>
    <w:family w:val="swiss"/>
    <w:pitch w:val="default"/>
  </w:font>
  <w:font w:name="Tahoma">
    <w:charset w:val="01"/>
    <w:family w:val="swiss"/>
    <w:pitch w:val="default"/>
  </w:font>
  <w:font w:name="Helvetica">
    <w:altName w:val="Arial"/>
    <w:charset w:val="01"/>
    <w:family w:val="auto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736749538"/>
    </w:sdtPr>
    <w:sdtContent>
      <w:p>
        <w:pPr>
          <w:pStyle w:val="Header"/>
          <w:ind w:hanging="0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17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736749538"/>
    </w:sdtPr>
    <w:sdtContent>
      <w:p>
        <w:pPr>
          <w:pStyle w:val="Header"/>
          <w:ind w:hanging="0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17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3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ind w:firstLine="709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Абзац списка Знак"/>
    <w:basedOn w:val="DefaultParagraphFont"/>
    <w:link w:val="ListParagraph"/>
    <w:qFormat/>
    <w:rsid w:val="00266ac9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character" w:styleId="Hyperlink">
    <w:name w:val="Hyperlink"/>
    <w:basedOn w:val="DefaultParagraphFont"/>
    <w:link w:val="1"/>
    <w:unhideWhenUsed/>
    <w:rsid w:val="00a903a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42602"/>
    <w:rPr>
      <w:color w:val="605E5C"/>
      <w:shd w:fill="E1DFDD" w:val="clear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2010b0"/>
    <w:rPr/>
  </w:style>
  <w:style w:type="character" w:styleId="Style16" w:customStyle="1">
    <w:name w:val="Нижний колонтитул Знак"/>
    <w:basedOn w:val="DefaultParagraphFont"/>
    <w:uiPriority w:val="99"/>
    <w:qFormat/>
    <w:rsid w:val="002010b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link w:val="Style14"/>
    <w:uiPriority w:val="34"/>
    <w:qFormat/>
    <w:rsid w:val="00266ac9"/>
    <w:pPr>
      <w:spacing w:lineRule="auto" w:line="240" w:before="0" w:after="0"/>
      <w:ind w:left="720"/>
      <w:contextualSpacing/>
    </w:pPr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paragraph" w:styleId="NormalWeb">
    <w:name w:val="Normal (Web)"/>
    <w:basedOn w:val="Normal"/>
    <w:uiPriority w:val="99"/>
    <w:unhideWhenUsed/>
    <w:qFormat/>
    <w:rsid w:val="0034260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" w:customStyle="1">
    <w:name w:val="Гиперссылка1"/>
    <w:qFormat/>
    <w:rsid w:val="00342602"/>
    <w:pPr>
      <w:widowControl/>
      <w:bidi w:val="0"/>
      <w:spacing w:lineRule="auto" w:line="240" w:before="0" w:after="0"/>
      <w:jc w:val="left"/>
    </w:pPr>
    <w:rPr>
      <w:rFonts w:ascii="Calibri" w:hAnsi="Calibri" w:eastAsia="Calibri" w:cs=""/>
      <w:color w:val="0000FF"/>
      <w:kern w:val="0"/>
      <w:sz w:val="22"/>
      <w:szCs w:val="22"/>
      <w:u w:val="single"/>
      <w:lang w:val="ru-RU" w:eastAsia="en-US" w:bidi="ar-SA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5"/>
    <w:uiPriority w:val="99"/>
    <w:unhideWhenUsed/>
    <w:rsid w:val="002010b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6"/>
    <w:uiPriority w:val="99"/>
    <w:unhideWhenUsed/>
    <w:rsid w:val="002010b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11" w:customStyle="1">
    <w:name w:val="Без интервала1"/>
    <w:qFormat/>
    <w:rsid w:val="009138e5"/>
    <w:pPr>
      <w:widowControl/>
      <w:bidi w:val="0"/>
      <w:spacing w:lineRule="auto" w:line="240" w:before="0" w:after="0"/>
      <w:jc w:val="left"/>
    </w:pPr>
    <w:rPr>
      <w:rFonts w:ascii="Droid Sans" w:hAnsi="Droid Sans" w:eastAsia="Droid Sans" w:cs="Arial"/>
      <w:color w:val="auto"/>
      <w:kern w:val="0"/>
      <w:sz w:val="22"/>
      <w:szCs w:val="22"/>
      <w:lang w:val="ru-RU" w:eastAsia="en-US" w:bidi="ar-SA"/>
    </w:rPr>
  </w:style>
  <w:style w:type="paragraph" w:styleId="12" w:customStyle="1">
    <w:name w:val="Абзац списка1"/>
    <w:basedOn w:val="Normal"/>
    <w:qFormat/>
    <w:rsid w:val="004c7fca"/>
    <w:pPr>
      <w:spacing w:before="0" w:after="160"/>
      <w:ind w:left="720"/>
      <w:contextualSpacing/>
    </w:pPr>
    <w:rPr>
      <w:rFonts w:ascii="Droid Sans" w:hAnsi="Droid Sans" w:eastAsia="Droid Sans" w:cs="Arial"/>
    </w:rPr>
  </w:style>
  <w:style w:type="paragraph" w:styleId="Style19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0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1071f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Сетка таблицы1"/>
    <w:basedOn w:val="a1"/>
    <w:uiPriority w:val="39"/>
    <w:rsid w:val="001b306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LibreOffice/25.2.3.2$Linux_X86_64 LibreOffice_project/520$Build-2</Application>
  <AppVersion>15.0000</AppVersion>
  <Pages>16</Pages>
  <Words>2595</Words>
  <Characters>19797</Characters>
  <CharactersWithSpaces>22753</CharactersWithSpaces>
  <Paragraphs>146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2026-01-28T01:07:00Z</dcterms:created>
  <dc:creator>User</dc:creator>
  <dc:description/>
  <dc:language>ru-RU</dc:language>
  <cp:lastModifiedBy/>
  <dcterms:modified xsi:type="dcterms:W3CDTF">2026-01-29T10:27:40Z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