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6EC4B">
      <w:pPr>
        <w:jc w:val="center"/>
        <w:rPr>
          <w:sz w:val="28"/>
          <w:szCs w:val="28"/>
        </w:rPr>
      </w:pPr>
      <w:r>
        <w:rPr>
          <w:rFonts w:ascii="Arial" w:hAnsi="Arial" w:eastAsia="Calibri" w:cs="Arial"/>
          <w:sz w:val="28"/>
          <w:szCs w:val="28"/>
        </w:rPr>
        <w:t>Содержание</w:t>
      </w:r>
    </w:p>
    <w:p w14:paraId="3E528FE8"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575A9245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 w:val="24"/>
          <w:szCs w:val="24"/>
        </w:rPr>
        <w:instrText xml:space="preserve">TOC \o "1-1" \h \u </w:instrText>
      </w:r>
      <w:r>
        <w:rPr>
          <w:rFonts w:hint="default" w:ascii="Times New Roman" w:hAnsi="Times New Roman" w:eastAsia="Calibri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_Toc18571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</w:rPr>
        <w:t>Введение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_Toc18571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3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7A90F34A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_Toc27710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</w:rPr>
        <w:t>1 Ознакомление с инструктажами и правилами внутреннего распорядка. Организационная структура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_Toc27710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5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66F3D07A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_Toc2784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</w:rPr>
        <w:t>2 Изучение деятельности конкурентов. Мониторинг и этапы его проведения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_Toc2784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6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7DDE0F81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_Toc13117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</w:rPr>
        <w:t>3 Определение потребностей клиентов и работа с поставщиками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_Toc13117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13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519EC7B3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_Toc2316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6"/>
        </w:rPr>
        <w:t>3.1 Анкетирование студентов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_Toc2316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13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5D1CA3C0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_Toc18396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6"/>
        </w:rPr>
        <w:t>3.2 Выбор поставщиков питьевой воды для Колледжа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_Toc18396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13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7F9C8352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_Toc999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</w:rPr>
        <w:t>4 Анализ системы планирования и контроля «продаж» (набора абитуриентов)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_Toc999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15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11BA8809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_Toc31430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</w:rPr>
        <w:t>5 Освоение цифровой экосистемы колледжа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_Toc31430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16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4AA38AD1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_Toc6101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</w:rPr>
        <w:t>Заключение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_Toc6101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17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2FF72A6A">
      <w:pPr>
        <w:pStyle w:val="15"/>
        <w:tabs>
          <w:tab w:val="right" w:leader="dot" w:pos="10205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begin"/>
      </w:r>
      <w:r>
        <w:rPr>
          <w:rFonts w:hint="default" w:ascii="Times New Roman" w:hAnsi="Times New Roman" w:eastAsia="Calibri" w:cs="Times New Roman"/>
          <w:szCs w:val="24"/>
        </w:rPr>
        <w:instrText xml:space="preserve"> HYPERLINK \l _Toc29586 </w:instrText>
      </w:r>
      <w:r>
        <w:rPr>
          <w:rFonts w:hint="default" w:ascii="Times New Roman" w:hAnsi="Times New Roman" w:eastAsia="Calibri" w:cs="Times New Roman"/>
          <w:szCs w:val="24"/>
        </w:rPr>
        <w:fldChar w:fldCharType="separate"/>
      </w:r>
      <w:r>
        <w:rPr>
          <w:rFonts w:hint="default" w:ascii="Times New Roman" w:hAnsi="Times New Roman" w:cs="Times New Roman"/>
          <w:szCs w:val="28"/>
          <w:lang w:val="ru-RU"/>
        </w:rPr>
        <w:t>Список использованных источников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PAGEREF _Toc29586 \h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19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14EDB29F">
      <w:pPr>
        <w:keepNext w:val="0"/>
        <w:keepLines w:val="0"/>
        <w:pageBreakBefore w:val="0"/>
        <w:widowControl/>
        <w:tabs>
          <w:tab w:val="right" w:pos="2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697"/>
        <w:jc w:val="both"/>
        <w:textAlignment w:val="auto"/>
        <w:rPr>
          <w:rFonts w:ascii="Times New Roman" w:hAnsi="Times New Roman" w:eastAsia="Calibri" w:cs="Times New Roman"/>
          <w:kern w:val="2"/>
          <w:sz w:val="24"/>
          <w:szCs w:val="24"/>
          <w:lang w:val="ru-RU" w:eastAsia="en-US" w:bidi="ar-SA"/>
          <w14:ligatures w14:val="standardContextual"/>
        </w:rPr>
      </w:pPr>
      <w:r>
        <w:rPr>
          <w:rFonts w:hint="default" w:ascii="Times New Roman" w:hAnsi="Times New Roman" w:eastAsia="Calibri" w:cs="Times New Roman"/>
          <w:szCs w:val="24"/>
        </w:rPr>
        <w:fldChar w:fldCharType="end"/>
      </w:r>
    </w:p>
    <w:p w14:paraId="7B29A372">
      <w:pPr>
        <w:tabs>
          <w:tab w:val="right" w:leader="dot" w:pos="9639"/>
        </w:tabs>
        <w:spacing w:after="0" w:line="360" w:lineRule="auto"/>
        <w:ind w:left="697"/>
        <w:jc w:val="both"/>
        <w:rPr>
          <w:rFonts w:ascii="Times New Roman" w:hAnsi="Times New Roman" w:eastAsia="Calibri" w:cs="Times New Roman"/>
          <w:kern w:val="2"/>
          <w:sz w:val="24"/>
          <w:szCs w:val="24"/>
          <w:lang w:val="ru-RU" w:eastAsia="en-US" w:bidi="ar-SA"/>
          <w14:ligatures w14:val="standardContextual"/>
        </w:rPr>
      </w:pPr>
    </w:p>
    <w:p w14:paraId="25C2A6CC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  <w:sectPr>
          <w:headerReference r:id="rId5" w:type="first"/>
          <w:footerReference r:id="rId6" w:type="first"/>
          <w:pgSz w:w="11906" w:h="16838"/>
          <w:pgMar w:top="1134" w:right="567" w:bottom="1134" w:left="1134" w:header="709" w:footer="709" w:gutter="0"/>
          <w:pgNumType w:fmt="decimal" w:start="1"/>
          <w:cols w:space="708" w:num="1"/>
          <w:docGrid w:linePitch="360" w:charSpace="0"/>
        </w:sectPr>
      </w:pPr>
    </w:p>
    <w:p w14:paraId="133C37CC">
      <w:pPr>
        <w:pStyle w:val="2"/>
        <w:bidi w:val="0"/>
        <w:spacing w:line="360" w:lineRule="auto"/>
        <w:jc w:val="center"/>
        <w:rPr>
          <w:rFonts w:hint="default" w:ascii="Arial" w:hAnsi="Arial" w:cs="Arial"/>
          <w:color w:val="auto"/>
          <w:sz w:val="28"/>
          <w:szCs w:val="28"/>
        </w:rPr>
      </w:pPr>
      <w:bookmarkStart w:id="0" w:name="_Toc18571"/>
      <w:r>
        <w:rPr>
          <w:rFonts w:hint="default" w:ascii="Arial" w:hAnsi="Arial" w:cs="Arial"/>
          <w:color w:val="auto"/>
          <w:sz w:val="28"/>
          <w:szCs w:val="28"/>
        </w:rPr>
        <w:t>Введение</w:t>
      </w:r>
      <w:bookmarkEnd w:id="0"/>
    </w:p>
    <w:p w14:paraId="304EA3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09"/>
        <w:jc w:val="both"/>
        <w:textAlignment w:val="auto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Современная образовательная среда, особенно в сфере сервиса и дизайна, представляет собой динамичный и высококонкурентный рынок, где действуют законы, во многом схожие с коммерческими предприятиями. Учебные заведения сегодня – это не просто поставщики знаний, а полноценные субъекты рыночных отношений, которые должны выстраивать эффективную коммуникацию с абитуриентами и их родителями, формировать привлекательный образовательный продукт, анализировать конкурентную среду и оптимизировать внутренние процессы. Именно в этом контексте проходила моя учебная практика, позволившая рассмотреть деятельность образовательной организации через призму коммерческой дисциплины «Торговое дело».</w:t>
      </w:r>
    </w:p>
    <w:p w14:paraId="60BE15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09"/>
        <w:jc w:val="both"/>
        <w:textAlignment w:val="auto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Актуальность данной практики обусловлена необходимостью подготовки высококвалифицированных коммерсантов, способных применять свои знания не только в традиционных торговых компаниях, но и в сфере образовательных услуг, которая стремительно коммерциализируется.</w:t>
      </w:r>
    </w:p>
    <w:p w14:paraId="5C16C70C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Целью учебной практики являлось комплексное изучение коммерческой деятельности Колледжа сервиса и дизайна </w:t>
      </w:r>
      <w:r>
        <w:rPr>
          <w:rFonts w:hint="default" w:ascii="Times New Roman" w:hAnsi="Times New Roman"/>
          <w:color w:val="auto"/>
          <w:lang w:val="ru-RU"/>
        </w:rPr>
        <w:t xml:space="preserve">ВВГУ </w:t>
      </w:r>
      <w:r>
        <w:rPr>
          <w:rFonts w:hint="default" w:ascii="Times New Roman" w:hAnsi="Times New Roman"/>
          <w:color w:val="auto"/>
        </w:rPr>
        <w:t>как образовательной организации и применение теоретических знаний для анализа ключевых аспектов его функционирования в конкурентной среде г. Владивостока.</w:t>
      </w:r>
    </w:p>
    <w:p w14:paraId="2625C457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Для достижения данной цели в процессе прохождения практики были последовательно решены следующие задачи:</w:t>
      </w:r>
    </w:p>
    <w:p w14:paraId="0C535895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Провести организационно-правовой аудит и анализ интеграции практико-ориентированных проектов в образовательный процесс, в частности, детально изучить уникальный для города проект «Пицца от будущих шеф-поваров» и его коммерческую и образовательную составляющую.</w:t>
      </w:r>
    </w:p>
    <w:p w14:paraId="3B452515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2. Реализовать комплексный маркетинговый анализ конкурентной среды, проведя глубокое сравнение с Промышленным колледжем энергетики и связи не только по классическим параметрам, но и по уровню внедрения реальных практик в обучение, использованию внутренних ресурсов для генерации дополнительного дохода и создания уникального студенческого опыта.</w:t>
      </w:r>
    </w:p>
    <w:p w14:paraId="10D6FACF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3. Организовать и провести полномасштабное эмпирическое исследование потребительских предпочтений, разработав и внедрив детализированную анкету, направленную на выявление не только </w:t>
      </w:r>
      <w:r>
        <w:rPr>
          <w:rFonts w:hint="default" w:ascii="Times New Roman" w:hAnsi="Times New Roman"/>
          <w:color w:val="auto"/>
          <w:lang w:val="ru-RU"/>
        </w:rPr>
        <w:t>удовлетворённости</w:t>
      </w:r>
      <w:r>
        <w:rPr>
          <w:rFonts w:hint="default" w:ascii="Times New Roman" w:hAnsi="Times New Roman"/>
          <w:color w:val="auto"/>
        </w:rPr>
        <w:t>, но и глубинных, неосознанных потребностей студентов в образовательных, гастрономических и сервисных услугах.</w:t>
      </w:r>
    </w:p>
    <w:p w14:paraId="33D7BEEE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4. Исследовать логистические и закупочные процессы на сквозном примере – от закупки сырья для студенческого кулинарного проекта до выбора поставщиков питьевой воды для нужд Колледжа, проанализировав всю цепочку создания стоимости.</w:t>
      </w:r>
    </w:p>
    <w:p w14:paraId="00ED387E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5. Проанализировать систему планирования и контроля набора абитуриентов и разработать мероприятия по его стимулированию, используя успешные студенческие проекты как элемент маркетинговой коммуникации.</w:t>
      </w:r>
    </w:p>
    <w:p w14:paraId="3AEEDD21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6. Освоить цифровую экосистему современной образовательной организации, уделив особоещение технологиям, обеспечивающим функционирование микрокоммерции внутри Колледжа (QR-коды, онлайн-платежи).</w:t>
      </w:r>
    </w:p>
    <w:p w14:paraId="3931DA19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Объектом исследования является Колледж сервиса и дизайна ВГУЭС в его организационно-коммерческом аспекте, с фокусом на инновационные практико-ориентированные проекты.</w:t>
      </w:r>
    </w:p>
    <w:p w14:paraId="10C77502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Предметом исследования</w:t>
      </w:r>
      <w:r>
        <w:rPr>
          <w:rFonts w:hint="default" w:ascii="Times New Roman" w:hAnsi="Times New Roman"/>
          <w:color w:val="auto"/>
          <w:lang w:val="ru-RU"/>
        </w:rPr>
        <w:t xml:space="preserve"> </w:t>
      </w:r>
      <w:r>
        <w:rPr>
          <w:rFonts w:hint="default" w:ascii="Times New Roman" w:hAnsi="Times New Roman"/>
          <w:color w:val="auto"/>
        </w:rPr>
        <w:t>выступают экономические отношения, организационные механизмы и маркетинговые стратегии, обеспечивающие функционирование и развитие Колледжа, включая внутренние коммерческие инициативы.</w:t>
      </w:r>
    </w:p>
    <w:p w14:paraId="6670A563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Практика проходила в период с </w:t>
      </w:r>
      <w:r>
        <w:rPr>
          <w:rFonts w:hint="default" w:ascii="Times New Roman" w:hAnsi="Times New Roman"/>
          <w:color w:val="auto"/>
          <w:lang w:val="en-US"/>
        </w:rPr>
        <w:t xml:space="preserve">03 </w:t>
      </w:r>
      <w:r>
        <w:rPr>
          <w:rFonts w:hint="default" w:ascii="Times New Roman" w:hAnsi="Times New Roman"/>
          <w:color w:val="auto"/>
          <w:lang w:val="ru-RU"/>
        </w:rPr>
        <w:t>ноября</w:t>
      </w:r>
      <w:r>
        <w:rPr>
          <w:rFonts w:hint="default" w:ascii="Times New Roman" w:hAnsi="Times New Roman"/>
          <w:color w:val="auto"/>
        </w:rPr>
        <w:t xml:space="preserve"> по </w:t>
      </w:r>
      <w:r>
        <w:rPr>
          <w:rFonts w:hint="default" w:ascii="Times New Roman" w:hAnsi="Times New Roman"/>
          <w:color w:val="auto"/>
          <w:lang w:val="ru-RU"/>
        </w:rPr>
        <w:t>08 ноября</w:t>
      </w:r>
      <w:r>
        <w:rPr>
          <w:rFonts w:hint="default" w:ascii="Times New Roman" w:hAnsi="Times New Roman"/>
          <w:color w:val="auto"/>
        </w:rPr>
        <w:t xml:space="preserve"> 202</w:t>
      </w:r>
      <w:r>
        <w:rPr>
          <w:rFonts w:hint="default" w:ascii="Times New Roman" w:hAnsi="Times New Roman"/>
          <w:color w:val="auto"/>
          <w:lang w:val="ru-RU"/>
        </w:rPr>
        <w:t>5</w:t>
      </w:r>
      <w:r>
        <w:rPr>
          <w:rFonts w:hint="default" w:ascii="Times New Roman" w:hAnsi="Times New Roman"/>
          <w:color w:val="auto"/>
        </w:rPr>
        <w:t xml:space="preserve"> года и предоставила уникальную возможность стать частью команды, создающей образовательную среду будущего, где </w:t>
      </w:r>
      <w:r>
        <w:rPr>
          <w:rFonts w:hint="default" w:ascii="Times New Roman" w:hAnsi="Times New Roman"/>
          <w:color w:val="auto"/>
          <w:lang w:val="ru-RU"/>
        </w:rPr>
        <w:t>учёба</w:t>
      </w:r>
      <w:r>
        <w:rPr>
          <w:rFonts w:hint="default" w:ascii="Times New Roman" w:hAnsi="Times New Roman"/>
          <w:color w:val="auto"/>
        </w:rPr>
        <w:t xml:space="preserve"> и бизнес неразделимы.</w:t>
      </w:r>
    </w:p>
    <w:p w14:paraId="06B0DFEF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br w:type="page"/>
      </w:r>
    </w:p>
    <w:p w14:paraId="2195D27D">
      <w:pPr>
        <w:pStyle w:val="2"/>
        <w:bidi w:val="0"/>
        <w:spacing w:line="240" w:lineRule="auto"/>
        <w:ind w:firstLine="708" w:firstLineChars="0"/>
        <w:jc w:val="both"/>
        <w:rPr>
          <w:rFonts w:hint="default" w:ascii="Arial" w:hAnsi="Arial" w:cs="Arial"/>
          <w:color w:val="auto"/>
          <w:sz w:val="28"/>
          <w:szCs w:val="28"/>
        </w:rPr>
      </w:pPr>
      <w:bookmarkStart w:id="1" w:name="_Toc27710"/>
      <w:r>
        <w:rPr>
          <w:rFonts w:hint="default" w:ascii="Arial" w:hAnsi="Arial" w:cs="Arial"/>
          <w:color w:val="auto"/>
          <w:sz w:val="28"/>
          <w:szCs w:val="28"/>
        </w:rPr>
        <w:t>1 Ознакомление с инструктажами и правилами внутреннего распорядка. Организационная структура</w:t>
      </w:r>
      <w:bookmarkEnd w:id="1"/>
    </w:p>
    <w:p w14:paraId="0E846E7C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Вводный этап практики был посвящен интеграции в организационную среду Колледжа. Мною была изучена организационная структура, которая имеет линейно-функциональный тип с четким разделением полномочий между администрацией (директор, заведующие отделениями), учебно-методическими службами (заведующие кафедрами, методисты) и вспомогательными подразделениями (бухтерия, отдел кадров, хозяйственная служба). Важным аспектом являлось то, что Колледж, работает в едином правовом поле университета, что накладывает отпечаток на стандартизацию всех процессов.</w:t>
      </w:r>
    </w:p>
    <w:p w14:paraId="4243CDE5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Инструктажи по безопасности были проведены комплексно:</w:t>
      </w:r>
    </w:p>
    <w:p w14:paraId="006FC6F1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Вводный инструктаж по охране труда. Проведен специалистом по охране труда университета. Особое внимание было уделено правилам поведения в учебных лабораториях и мастерских (парикмахерской, швейной, дизайн-студиях), где используется специализированное оборудование и материалы (химические реактивы для окрашивания волос, швейные машинки, резаки). Были разобраны инструкции по действиям в случае возникновения несчастного случая, схемы эвакуации из каждого корпуса.</w:t>
      </w:r>
    </w:p>
    <w:p w14:paraId="193017E9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Первичный инструктаж на рабочем месте. Проходил в кабинете отдела коммерции и маркетинга, где я был </w:t>
      </w:r>
      <w:r>
        <w:rPr>
          <w:rFonts w:hint="default" w:ascii="Times New Roman" w:hAnsi="Times New Roman"/>
          <w:color w:val="auto"/>
          <w:lang w:val="ru-RU"/>
        </w:rPr>
        <w:t>закреплён</w:t>
      </w:r>
      <w:r>
        <w:rPr>
          <w:rFonts w:hint="default" w:ascii="Times New Roman" w:hAnsi="Times New Roman"/>
          <w:color w:val="auto"/>
        </w:rPr>
        <w:t>. Инструктаж включал в себя правила безопасной эксплуатации оргтехники (ПК, МФУ), требования к организации рабочего места для профилактики электромагнитного излучения и нарушений опорно-двигательного аппарата.</w:t>
      </w:r>
    </w:p>
    <w:p w14:paraId="7C3EB25A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Инструктаж по пожарной безопасности. Изучены классы пожарной опасности помещений Колледжа, типы огнетушителей (ОУ-2 для тления электропроводки и ОП-4 для твердых материалов), их места расположения и порядок применения. Практически отработан алгоритм действий при срабатывании системы оповещения о пожаре.</w:t>
      </w:r>
    </w:p>
    <w:p w14:paraId="1CB6235B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Инструктаж по электробезопасности. Акцентирован на недопустимости самостоятельного ремонта электроприборов, использования неисправных розеток и удлинителей, а также на запрете оставления оборудования под напряжением по окончании рабочего дня.</w:t>
      </w:r>
    </w:p>
    <w:p w14:paraId="1FF15654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Правила внутреннего трудового распорядка регламентировали график работы (с 9:00 до 1</w:t>
      </w:r>
      <w:r>
        <w:rPr>
          <w:rFonts w:hint="default" w:ascii="Times New Roman" w:hAnsi="Times New Roman"/>
          <w:color w:val="auto"/>
          <w:lang w:val="ru-RU"/>
        </w:rPr>
        <w:t>4</w:t>
      </w:r>
      <w:r>
        <w:rPr>
          <w:rFonts w:hint="default" w:ascii="Times New Roman" w:hAnsi="Times New Roman"/>
          <w:color w:val="auto"/>
        </w:rPr>
        <w:t>:</w:t>
      </w:r>
      <w:r>
        <w:rPr>
          <w:rFonts w:hint="default" w:ascii="Times New Roman" w:hAnsi="Times New Roman"/>
          <w:color w:val="auto"/>
          <w:lang w:val="ru-RU"/>
        </w:rPr>
        <w:t>1</w:t>
      </w:r>
      <w:r>
        <w:rPr>
          <w:rFonts w:hint="default" w:ascii="Times New Roman" w:hAnsi="Times New Roman"/>
          <w:color w:val="auto"/>
        </w:rPr>
        <w:t>0, обеденный перерыв с 1</w:t>
      </w:r>
      <w:r>
        <w:rPr>
          <w:rFonts w:hint="default" w:ascii="Times New Roman" w:hAnsi="Times New Roman"/>
          <w:color w:val="auto"/>
          <w:lang w:val="ru-RU"/>
        </w:rPr>
        <w:t>2</w:t>
      </w:r>
      <w:r>
        <w:rPr>
          <w:rFonts w:hint="default" w:ascii="Times New Roman" w:hAnsi="Times New Roman"/>
          <w:color w:val="auto"/>
        </w:rPr>
        <w:t>:</w:t>
      </w:r>
      <w:r>
        <w:rPr>
          <w:rFonts w:hint="default" w:ascii="Times New Roman" w:hAnsi="Times New Roman"/>
          <w:color w:val="auto"/>
          <w:lang w:val="ru-RU"/>
        </w:rPr>
        <w:t>0</w:t>
      </w:r>
      <w:r>
        <w:rPr>
          <w:rFonts w:hint="default" w:ascii="Times New Roman" w:hAnsi="Times New Roman"/>
          <w:color w:val="auto"/>
        </w:rPr>
        <w:t>0 до 1</w:t>
      </w:r>
      <w:r>
        <w:rPr>
          <w:rFonts w:hint="default" w:ascii="Times New Roman" w:hAnsi="Times New Roman"/>
          <w:color w:val="auto"/>
          <w:lang w:val="ru-RU"/>
        </w:rPr>
        <w:t>2</w:t>
      </w:r>
      <w:r>
        <w:rPr>
          <w:rFonts w:hint="default" w:ascii="Times New Roman" w:hAnsi="Times New Roman"/>
          <w:color w:val="auto"/>
        </w:rPr>
        <w:t>:</w:t>
      </w:r>
      <w:r>
        <w:rPr>
          <w:rFonts w:hint="default" w:ascii="Times New Roman" w:hAnsi="Times New Roman"/>
          <w:color w:val="auto"/>
          <w:lang w:val="ru-RU"/>
        </w:rPr>
        <w:t>3</w:t>
      </w:r>
      <w:r>
        <w:rPr>
          <w:rFonts w:hint="default" w:ascii="Times New Roman" w:hAnsi="Times New Roman"/>
          <w:color w:val="auto"/>
        </w:rPr>
        <w:t>0), требования к деловому стилю одежды (dress-code для административного персонала), корпоративную этику общения и порядок документооборота. Соблюдение этих правил является строго обязательным и создает основу для дисциплины и формирования корпоративной культуры, что напрямую влияет на репутацию и эффективность работы всего учреждения.</w:t>
      </w:r>
    </w:p>
    <w:p w14:paraId="5E55CBDB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br w:type="page"/>
      </w:r>
    </w:p>
    <w:p w14:paraId="07647042">
      <w:pPr>
        <w:pStyle w:val="2"/>
        <w:bidi w:val="0"/>
        <w:spacing w:line="240" w:lineRule="auto"/>
        <w:ind w:firstLine="708" w:firstLineChars="0"/>
        <w:jc w:val="both"/>
        <w:rPr>
          <w:rFonts w:hint="default" w:ascii="Arial" w:hAnsi="Arial" w:cs="Arial"/>
          <w:color w:val="auto"/>
          <w:sz w:val="28"/>
          <w:szCs w:val="28"/>
        </w:rPr>
      </w:pPr>
      <w:bookmarkStart w:id="2" w:name="_Toc2784"/>
      <w:r>
        <w:rPr>
          <w:rFonts w:hint="default" w:ascii="Arial" w:hAnsi="Arial" w:cs="Arial"/>
          <w:color w:val="auto"/>
          <w:sz w:val="28"/>
          <w:szCs w:val="28"/>
        </w:rPr>
        <w:t>2 Изучение деятельности конкурентов. Мониторинг и этапы его проведения</w:t>
      </w:r>
      <w:bookmarkEnd w:id="2"/>
    </w:p>
    <w:p w14:paraId="4F6F14B8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Рынок среднего профессионального образования (СПО) г. Владивостока отличается высокой насыщенностью и разнонаправленностью. Для проведения качественного анализа был выбран метод стратегического бенчмаркинга, позволяющий сравнить Колледж сервиса и дизайна (КСД ВГУЭС) с одним из значимых игроков – Промышленным колледжем энергетики и связи (ПКЭиС). Важно отметить, что прямое соперничество за специальности отсутствует, однако оба колледжа конкурируют за один и тот же контингент абитуриентов – выпускников 9-х и 11-х классов г. Владивостока и Приморского края.</w:t>
      </w:r>
    </w:p>
    <w:p w14:paraId="38659D2B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Этапы проведения мониторинга:</w:t>
      </w:r>
    </w:p>
    <w:p w14:paraId="7BE0C4CB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Подготовительный этап: Определение целей анализа (выявление сильных и слабых сторон, поиск точек роста), выбор объекта (ПКЭиС) и источников информации (официальные сайты, социальные сети VK и Telegram, данные Национального агентства развития квалификаций, отзывы на платформах-отзовиках).</w:t>
      </w:r>
    </w:p>
    <w:p w14:paraId="1BC643F5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2. Этап сбора данных: Систематический сбор информации по заранее определенным параметрам в течение 5 рабочих дней. Мониторинг активности в соцсетях, анализ глубины и удобства сайтов, изучение перечня специальностей, условий приема, стоимости обучения и информации о материальной базе.</w:t>
      </w:r>
    </w:p>
    <w:p w14:paraId="7378E78A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3. Аналитический этап: Обработка и сопоставление данных, их занесение в сравнительную матрицу. Выявление корреляций и причинно-следственных связей (например, связь между стоимостью обучения и предлагаемой инфраструктурой).</w:t>
      </w:r>
    </w:p>
    <w:p w14:paraId="0346FCFC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4. Интерпретационный этап и выработка рекомендаций: Формулировка выводов о конкурентных позициях каждого учреждения и разработка конкретных предложений для КСД ВГУЭС.</w:t>
      </w:r>
    </w:p>
    <w:p w14:paraId="49BBA55A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Сравнительная таблица: Колледж сервиса и дизайна ВГУЭС vs. Промышленный колледж энергетики и связи</w:t>
      </w:r>
    </w:p>
    <w:p w14:paraId="0E0666EE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Уникальный проект КСД </w:t>
      </w:r>
      <w:r>
        <w:rPr>
          <w:rFonts w:hint="default" w:ascii="Times New Roman" w:hAnsi="Times New Roman"/>
          <w:color w:val="auto"/>
          <w:lang w:val="ru-RU"/>
        </w:rPr>
        <w:t>ВВГУ</w:t>
      </w:r>
      <w:r>
        <w:rPr>
          <w:rFonts w:hint="default" w:ascii="Times New Roman" w:hAnsi="Times New Roman"/>
          <w:color w:val="auto"/>
        </w:rPr>
        <w:t>: «Пицца от будущих шеф-поваров»</w:t>
      </w:r>
    </w:p>
    <w:p w14:paraId="44DCCF6B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На базе отделения «Технология продукции общественного питания» Колледжа был запущен инновационный проект, не имеющий аналогов в городе. Студенты поварской специальности под руководством опытных наставников-технологов не просто учатся готовить в учебных лабораториях, а ведут полноценный микробизнес.</w:t>
      </w:r>
    </w:p>
    <w:p w14:paraId="07D851C1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Суть проекта:</w:t>
      </w:r>
    </w:p>
    <w:p w14:paraId="64619A24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Производство: В специально оборудованной учебной лаборатории, соответствующей стандартам общепита, студенты ежедневно производят ограниченную партию пиццы (3-4 вида). Меню меняется еженедельно, что позволяет отрабатывать различные техники и рецептуры.</w:t>
      </w:r>
    </w:p>
    <w:p w14:paraId="5EA02363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2. Продажи через буфет: Готовая продукция реализуется через буфет колледжа в течение обеденного перерыва.</w:t>
      </w:r>
    </w:p>
    <w:p w14:paraId="0884350E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3. Цифровая экосистема и безналичный </w:t>
      </w:r>
      <w:r>
        <w:rPr>
          <w:rFonts w:hint="default" w:ascii="Times New Roman" w:hAnsi="Times New Roman"/>
          <w:color w:val="auto"/>
          <w:lang w:val="ru-RU"/>
        </w:rPr>
        <w:t>расчёт</w:t>
      </w:r>
      <w:r>
        <w:rPr>
          <w:rFonts w:hint="default" w:ascii="Times New Roman" w:hAnsi="Times New Roman"/>
          <w:color w:val="auto"/>
        </w:rPr>
        <w:t>:</w:t>
      </w:r>
    </w:p>
    <w:p w14:paraId="7A11B653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На каждой коробке с пиццей размещается qr-код, отсканировав который, студент или сотрудник попадает на целевую страницу с подробным описанием продукта: Состав, история блюда, имена студентов-поваров, его приготовивших, и пищевая ценность.</w:t>
      </w:r>
    </w:p>
    <w:p w14:paraId="16A19ED7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Оплата осуществляется также по qr-коду, ведущему на сервис онлайн-платежей (например, через сбп или карту), либо в терминал в буфете. Это минимизирует наличные расчеты и ускоряет процесс.</w:t>
      </w:r>
    </w:p>
    <w:p w14:paraId="23287A08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Все продажи автоматически регистрируются в товароучетной системе, предоставляя студентам-коммерсантам реальные данные для анализа: Самая популярная позиция, средний чек, пиковые часы продаж.</w:t>
      </w:r>
    </w:p>
    <w:p w14:paraId="28DA7BFB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Образовательный и коммерческий эффект:</w:t>
      </w:r>
    </w:p>
    <w:p w14:paraId="13198E21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Для студентов-поваров: Это не абстрактное «приготовление блюда на оценку», а работа с реальным спросом, сроками годности, себестоимостью, ценообразованием и обратной связью от потребителей.</w:t>
      </w:r>
    </w:p>
    <w:p w14:paraId="3B459E56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Для студентов-коммерсантов (моя роль): Мы участвовали в анализе данных о продажах, расчете маржи, маркетинге проекта (ведение страницы в соцсетях, фотосъемка еды), организации логистики сырья.</w:t>
      </w:r>
    </w:p>
    <w:p w14:paraId="1A58EA07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Для колледжа: Проект генерирует дополнительный доход, полностью покрывающий стоимость сырья и частично – затраты на оборудование. Это мощный инструмент профориентации и пиар-инструмент, наглядно демонстрирующий принцип «образование через практику».</w:t>
      </w:r>
    </w:p>
    <w:p w14:paraId="4A718462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 что тогда в промышленном колледже энергетики и связи?</w:t>
      </w:r>
    </w:p>
    <w:p w14:paraId="068672C8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 ходе анализа выяснилось, что пкэис придерживается классической, консервативной модели обучения. Учебный процесс строго разделен с реальной производственной деятельностью.</w:t>
      </w:r>
    </w:p>
    <w:p w14:paraId="6EFCB9CE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Лабораторные работы носят закрытый, учебный характер. Студенты могут собирать электрические схемы, паять микросхемы или настраивать серверы, но результат их работы не является товаром или услугой, выходящей за стены лаборатории.</w:t>
      </w:r>
    </w:p>
    <w:p w14:paraId="3C7F67A0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Отсутствие внутреннего микробизнеса. Нет механизмов, позволяющих студентам, например, оказывать платные услуги по ремонту мелкой бытовой техники для сотрудников или настройке компьютеров. Их навыки не монетизируются внутри учреждения.</w:t>
      </w:r>
    </w:p>
    <w:p w14:paraId="711CB3DB">
      <w:pPr>
        <w:numPr>
          <w:ilvl w:val="0"/>
          <w:numId w:val="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Практика проходит преимущественно на сторонних промышленных предприятиях по договорам. Это, безусловно, ценно, но лишает колледж возможности создать собственную, контролируемую коммерческую экосистему для отработки навыков.</w:t>
      </w:r>
    </w:p>
    <w:p w14:paraId="3D4FEF44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Их сильная сторона – это ориентация на внешнего заказчика. Они готовят кадры под конкретные нужды заводов и энергетических компаний, что обеспечивает трудоустройство, но не развивает предпринимательский дух.</w:t>
      </w:r>
    </w:p>
    <w:p w14:paraId="33071C92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  <w:lang w:val="ru-RU"/>
        </w:rPr>
        <w:t>Т</w:t>
      </w:r>
      <w:r>
        <w:rPr>
          <w:rFonts w:hint="default" w:ascii="Times New Roman" w:hAnsi="Times New Roman"/>
          <w:color w:val="auto"/>
        </w:rPr>
        <w:t>аблица</w:t>
      </w:r>
      <w:r>
        <w:rPr>
          <w:rFonts w:hint="default" w:ascii="Times New Roman" w:hAnsi="Times New Roman"/>
          <w:color w:val="auto"/>
          <w:lang w:val="ru-RU"/>
        </w:rPr>
        <w:t xml:space="preserve"> 1</w:t>
      </w:r>
      <w:r>
        <w:rPr>
          <w:rFonts w:hint="default" w:ascii="Times New Roman" w:hAnsi="Times New Roman"/>
          <w:color w:val="auto"/>
        </w:rPr>
        <w:t>: Фокус на практико-ориентированность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3"/>
        <w:gridCol w:w="3474"/>
        <w:gridCol w:w="3474"/>
      </w:tblGrid>
      <w:tr w14:paraId="5AE4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4FC42B15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Критерий</w:t>
            </w:r>
          </w:p>
        </w:tc>
        <w:tc>
          <w:tcPr>
            <w:tcW w:w="3474" w:type="dxa"/>
          </w:tcPr>
          <w:p w14:paraId="37CA8078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Колледж сервиса и дизайна ВГУЭС</w:t>
            </w:r>
          </w:p>
        </w:tc>
        <w:tc>
          <w:tcPr>
            <w:tcW w:w="3474" w:type="dxa"/>
          </w:tcPr>
          <w:p w14:paraId="670C4BF1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Промышленный колледж энергетики и связи (ПКЭиС)</w:t>
            </w:r>
          </w:p>
        </w:tc>
      </w:tr>
      <w:tr w14:paraId="07D36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12C9D84C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Модель обучения</w:t>
            </w:r>
          </w:p>
        </w:tc>
        <w:tc>
          <w:tcPr>
            <w:tcW w:w="3474" w:type="dxa"/>
          </w:tcPr>
          <w:p w14:paraId="24299C3C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Гибридная: «Обучение + Реальный бизнес-проект». Студенты являются создателями продукта и участниками коммерческого процесса</w:t>
            </w: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ru-RU"/>
              </w:rPr>
              <w:t>.</w:t>
            </w:r>
          </w:p>
        </w:tc>
        <w:tc>
          <w:tcPr>
            <w:tcW w:w="3474" w:type="dxa"/>
          </w:tcPr>
          <w:p w14:paraId="778C40D1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Линейная: «Теория -&gt; Практика на стороннем предприятии». Студенты являются исполнителями в рамках учебного плана.</w:t>
            </w:r>
          </w:p>
        </w:tc>
      </w:tr>
      <w:tr w14:paraId="3FE7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3F295062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Внутренняя коммерциализация навыков</w:t>
            </w:r>
          </w:p>
        </w:tc>
        <w:tc>
          <w:tcPr>
            <w:tcW w:w="3474" w:type="dxa"/>
          </w:tcPr>
          <w:p w14:paraId="3721458E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 xml:space="preserve">Присутствует и поощряется. Пример: продажа пиццы, организация стрижки от будущих парикмахеров по </w:t>
            </w: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ru-RU"/>
              </w:rPr>
              <w:t>предзаказ</w:t>
            </w: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, продажа дизайн-макетов.</w:t>
            </w:r>
          </w:p>
        </w:tc>
        <w:tc>
          <w:tcPr>
            <w:tcW w:w="3474" w:type="dxa"/>
          </w:tcPr>
          <w:p w14:paraId="61A2B953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Отсутствует. Навыки применяются только в учебных целях и на внешней практике.</w:t>
            </w:r>
          </w:p>
        </w:tc>
      </w:tr>
      <w:tr w14:paraId="2D4FF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4A3F8110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Цифровизация внутренних процессов</w:t>
            </w:r>
          </w:p>
        </w:tc>
        <w:tc>
          <w:tcPr>
            <w:tcW w:w="3474" w:type="dxa"/>
          </w:tcPr>
          <w:p w14:paraId="1E678B74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Высокая. Использование QR-кодов для информации и платежей, онлайн-запись на услуги, активное ведение соцсетей силами студентов.</w:t>
            </w:r>
          </w:p>
        </w:tc>
        <w:tc>
          <w:tcPr>
            <w:tcW w:w="3474" w:type="dxa"/>
          </w:tcPr>
          <w:p w14:paraId="4EFA6422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Низкая. Преобладают бумажные носители, объявления на досках, оплата только через банк.</w:t>
            </w:r>
          </w:p>
        </w:tc>
      </w:tr>
      <w:tr w14:paraId="4091D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12B85DA5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Формирование предпринимательских компетенций</w:t>
            </w:r>
          </w:p>
        </w:tc>
        <w:tc>
          <w:tcPr>
            <w:tcW w:w="3474" w:type="dxa"/>
          </w:tcPr>
          <w:p w14:paraId="7AA446B7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Явное и целенаправленное. Студенты получают опыт ценообразования, работы с клиентом, маркетинга.</w:t>
            </w:r>
          </w:p>
        </w:tc>
        <w:tc>
          <w:tcPr>
            <w:tcW w:w="3474" w:type="dxa"/>
          </w:tcPr>
          <w:p w14:paraId="7CD2A11F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Случайное. Акцент делается на формирование исполнительских, инженерных компетенций.</w:t>
            </w:r>
          </w:p>
        </w:tc>
      </w:tr>
      <w:tr w14:paraId="01045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22D61D03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Уникальное торговое предложение (УТП) для абитуриентов</w:t>
            </w:r>
          </w:p>
        </w:tc>
        <w:tc>
          <w:tcPr>
            <w:tcW w:w="3474" w:type="dxa"/>
          </w:tcPr>
          <w:p w14:paraId="18617194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«Стань предпринимателем в своей профессии уже на студенческой скамье».</w:t>
            </w:r>
          </w:p>
        </w:tc>
        <w:tc>
          <w:tcPr>
            <w:tcW w:w="3474" w:type="dxa"/>
          </w:tcPr>
          <w:p w14:paraId="2ADAC446">
            <w:pPr>
              <w:spacing w:line="360" w:lineRule="auto"/>
              <w:jc w:val="both"/>
              <w:rPr>
                <w:rFonts w:hint="default" w:ascii="Times New Roman" w:hAnsi="Times New Roman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</w:rPr>
              <w:t>«Получи стабильную рабочую профессию на промышленном предприятии».</w:t>
            </w:r>
          </w:p>
        </w:tc>
      </w:tr>
    </w:tbl>
    <w:p w14:paraId="00776488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Вывод: КСД ВГУЭС выигрывает за счет создания уникальной, живой образовательной среды, которая сама по себе является продуктом. ПКЭиС предлагает надежную, но традиционную модель подготовки кадров для работы на уже существующих производствах.</w:t>
      </w:r>
    </w:p>
    <w:p w14:paraId="7C1D6CEE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Приложение 1: Анкета для определения потребностей клиентов (студентов) в товарах и услугах</w:t>
      </w:r>
    </w:p>
    <w:p w14:paraId="1E50644B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Уважаемый студент!</w:t>
      </w:r>
    </w:p>
    <w:p w14:paraId="1C551D94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Администрация Колледжа сервиса и дизайна проводит исследование с целью улучшения качества образовательных и дополнительных услуг.Ваше мнение чрезвычайно важно для нас. Просим Вас уделить 7-10 минут для заполнения данной анкеты. Все данные являются анонимными и будут использованы в обобщенном виде.</w:t>
      </w:r>
    </w:p>
    <w:p w14:paraId="0F49E749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Раздел 1. Общая удовлетворенность</w:t>
      </w:r>
    </w:p>
    <w:p w14:paraId="5D549C95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Оцените, пожалуйста, по 5-балльной шкале Вашу общую удовлетворенность обучением в Колледже (где 1 – совершенно не удовлетворен, 5 – полностью удовлетворен):</w:t>
      </w:r>
    </w:p>
    <w:p w14:paraId="2B0F006B">
      <w:pPr>
        <w:numPr>
          <w:ilvl w:val="0"/>
          <w:numId w:val="3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Качество преподавания профильных дисциплин: 1 - 2 - 3 - 4 - 5</w:t>
      </w:r>
    </w:p>
    <w:p w14:paraId="2C820B8C">
      <w:pPr>
        <w:numPr>
          <w:ilvl w:val="0"/>
          <w:numId w:val="3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Оснащенность аудиторий и лабораторий: 1 - 2 - 3 - 4 - 5</w:t>
      </w:r>
    </w:p>
    <w:p w14:paraId="43EBD3B8">
      <w:pPr>
        <w:numPr>
          <w:ilvl w:val="0"/>
          <w:numId w:val="3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Организация практики: 1 - 2 - 3 - 4 - 5</w:t>
      </w:r>
    </w:p>
    <w:p w14:paraId="00824D5F">
      <w:pPr>
        <w:numPr>
          <w:ilvl w:val="0"/>
          <w:numId w:val="3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Работа библиотеки и доступ к электронным ресурсам: 1 - 2 - 3 - 4 - 5</w:t>
      </w:r>
    </w:p>
    <w:p w14:paraId="553205F3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Раздел 2. Исследование потребностей в дополнительных образовательных услугах</w:t>
      </w:r>
    </w:p>
    <w:p w14:paraId="69388B71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Интересовались бы Вы возможностью пройти дополнительные платные краткосрочные курсы для повышения своей квалификации?</w:t>
      </w:r>
    </w:p>
    <w:p w14:paraId="17AF77E8">
      <w:pPr>
        <w:numPr>
          <w:ilvl w:val="0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Да, очень</w:t>
      </w:r>
    </w:p>
    <w:p w14:paraId="59CDCC9F">
      <w:pPr>
        <w:numPr>
          <w:ilvl w:val="0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Скорее да</w:t>
      </w:r>
    </w:p>
    <w:p w14:paraId="09E60A8D">
      <w:pPr>
        <w:numPr>
          <w:ilvl w:val="0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Затрудняюсь ответить</w:t>
      </w:r>
    </w:p>
    <w:p w14:paraId="3546CFBE">
      <w:pPr>
        <w:numPr>
          <w:ilvl w:val="0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Скорее нет</w:t>
      </w:r>
    </w:p>
    <w:p w14:paraId="578B6CDB">
      <w:pPr>
        <w:numPr>
          <w:ilvl w:val="0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Нет</w:t>
      </w:r>
    </w:p>
    <w:p w14:paraId="2597CF69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2. Если ДА, то какие направления курсов Вам наиболее интересны? (можно выбрать несколько вариантов)</w:t>
      </w:r>
    </w:p>
    <w:p w14:paraId="346531E1">
      <w:pPr>
        <w:numPr>
          <w:ilvl w:val="0"/>
          <w:numId w:val="5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Графический дизайн (Photoshop, Illustrator, Figma)</w:t>
      </w:r>
    </w:p>
    <w:p w14:paraId="4410F1CC">
      <w:pPr>
        <w:numPr>
          <w:ilvl w:val="0"/>
          <w:numId w:val="5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SMM-продвижение: как раскрутить личный бренд или сообщество</w:t>
      </w:r>
    </w:p>
    <w:p w14:paraId="119CD79F">
      <w:pPr>
        <w:numPr>
          <w:ilvl w:val="0"/>
          <w:numId w:val="5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Техники визажа и ногтевого сервиса</w:t>
      </w:r>
    </w:p>
    <w:p w14:paraId="0B62BA1A">
      <w:pPr>
        <w:numPr>
          <w:ilvl w:val="0"/>
          <w:numId w:val="5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Курсы барного искусства и кофе-арта</w:t>
      </w:r>
    </w:p>
    <w:p w14:paraId="3B5D94E2">
      <w:pPr>
        <w:numPr>
          <w:ilvl w:val="0"/>
          <w:numId w:val="5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Основы предпринимательства: как открыть свое дело</w:t>
      </w:r>
    </w:p>
    <w:p w14:paraId="4D0EB5C3">
      <w:pPr>
        <w:numPr>
          <w:ilvl w:val="0"/>
          <w:numId w:val="5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Техника продаж и искусство презентации</w:t>
      </w:r>
    </w:p>
    <w:p w14:paraId="1C03F849">
      <w:pPr>
        <w:numPr>
          <w:ilvl w:val="0"/>
          <w:numId w:val="5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Другое (напишите): _____</w:t>
      </w:r>
    </w:p>
    <w:p w14:paraId="7974F6F1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Раздел 3. Анализ потребностей в сервисах и товарах повседневного спроса (фокус на буфет и проект «Пицца»)</w:t>
      </w:r>
    </w:p>
    <w:p w14:paraId="4C496E02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Как часто Вы пользуетесь услугами буфета Колледжа?</w:t>
      </w:r>
    </w:p>
    <w:p w14:paraId="5D6122DC">
      <w:pPr>
        <w:numPr>
          <w:ilvl w:val="0"/>
          <w:numId w:val="6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Каждый день</w:t>
      </w:r>
    </w:p>
    <w:p w14:paraId="156F06FF">
      <w:pPr>
        <w:numPr>
          <w:ilvl w:val="0"/>
          <w:numId w:val="6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Несколько раз в неделю</w:t>
      </w:r>
    </w:p>
    <w:p w14:paraId="10264ED3">
      <w:pPr>
        <w:numPr>
          <w:ilvl w:val="0"/>
          <w:numId w:val="6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Раз в неделю</w:t>
      </w:r>
    </w:p>
    <w:p w14:paraId="1C40D829">
      <w:pPr>
        <w:numPr>
          <w:ilvl w:val="0"/>
          <w:numId w:val="6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Редко</w:t>
      </w:r>
    </w:p>
    <w:p w14:paraId="59935054">
      <w:pPr>
        <w:numPr>
          <w:ilvl w:val="0"/>
          <w:numId w:val="6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Никогда</w:t>
      </w:r>
    </w:p>
    <w:p w14:paraId="19658191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2. Что Вы обычно покупаете в буфете? (можно выбрать несколько вариантов)</w:t>
      </w:r>
    </w:p>
    <w:p w14:paraId="209F6170">
      <w:pPr>
        <w:numPr>
          <w:ilvl w:val="0"/>
          <w:numId w:val="7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Напитки (вода, сок, лимонад)</w:t>
      </w:r>
    </w:p>
    <w:p w14:paraId="549CE198">
      <w:pPr>
        <w:numPr>
          <w:ilvl w:val="0"/>
          <w:numId w:val="7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Горячие блюда (в т.ч. пицца от студентов-поваров)</w:t>
      </w:r>
    </w:p>
    <w:p w14:paraId="52382D13">
      <w:pPr>
        <w:numPr>
          <w:ilvl w:val="0"/>
          <w:numId w:val="7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Кофе/чай</w:t>
      </w:r>
    </w:p>
    <w:p w14:paraId="172E8E23">
      <w:pPr>
        <w:numPr>
          <w:ilvl w:val="0"/>
          <w:numId w:val="7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Конфеты/шоколадки</w:t>
      </w:r>
    </w:p>
    <w:p w14:paraId="2446011F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3. Пробовали ли Вы пиццу, которую готовят и продают студенты поварского отделения?</w:t>
      </w:r>
    </w:p>
    <w:p w14:paraId="03EE8E1B">
      <w:pPr>
        <w:numPr>
          <w:ilvl w:val="0"/>
          <w:numId w:val="8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Да, регулярно покупаю</w:t>
      </w:r>
    </w:p>
    <w:p w14:paraId="75106BC8">
      <w:pPr>
        <w:numPr>
          <w:ilvl w:val="0"/>
          <w:numId w:val="8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Пробовал(а) один-два раза</w:t>
      </w:r>
    </w:p>
    <w:p w14:paraId="12245570">
      <w:pPr>
        <w:numPr>
          <w:ilvl w:val="0"/>
          <w:numId w:val="8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Хотел(а) бы, но не успеваю/все раскупают</w:t>
      </w:r>
    </w:p>
    <w:p w14:paraId="46D2C6EC">
      <w:pPr>
        <w:numPr>
          <w:ilvl w:val="0"/>
          <w:numId w:val="8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Нет, не пробовал(а)</w:t>
      </w:r>
    </w:p>
    <w:p w14:paraId="3E7905A7">
      <w:pPr>
        <w:numPr>
          <w:ilvl w:val="0"/>
          <w:numId w:val="8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Нет, и не хочу</w:t>
      </w:r>
    </w:p>
    <w:p w14:paraId="01713F70">
      <w:pPr>
        <w:spacing w:line="360" w:lineRule="auto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br w:type="page"/>
      </w:r>
    </w:p>
    <w:p w14:paraId="5073F4F2">
      <w:pPr>
        <w:numPr>
          <w:numId w:val="0"/>
        </w:numPr>
        <w:spacing w:line="360" w:lineRule="auto"/>
        <w:ind w:left="960" w:left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</w:rPr>
        <w:t>Т</w:t>
      </w:r>
      <w:r>
        <w:rPr>
          <w:rFonts w:hint="default" w:ascii="Times New Roman" w:hAnsi="Times New Roman"/>
          <w:color w:val="auto"/>
          <w:lang w:val="ru-RU"/>
        </w:rPr>
        <w:t>аблица 2 :оценка качества продукта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633"/>
        <w:gridCol w:w="1623"/>
        <w:gridCol w:w="2205"/>
        <w:gridCol w:w="1592"/>
        <w:gridCol w:w="1643"/>
      </w:tblGrid>
      <w:tr w14:paraId="2667A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</w:tcPr>
          <w:p w14:paraId="4F84B787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</w:p>
        </w:tc>
        <w:tc>
          <w:tcPr>
            <w:tcW w:w="1633" w:type="dxa"/>
          </w:tcPr>
          <w:p w14:paraId="2AA20877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Отлично</w:t>
            </w:r>
          </w:p>
        </w:tc>
        <w:tc>
          <w:tcPr>
            <w:tcW w:w="1623" w:type="dxa"/>
          </w:tcPr>
          <w:p w14:paraId="5367C6B9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Хорошо</w:t>
            </w:r>
          </w:p>
        </w:tc>
        <w:tc>
          <w:tcPr>
            <w:tcW w:w="2205" w:type="dxa"/>
          </w:tcPr>
          <w:p w14:paraId="59F9E49E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Удовлетворительно</w:t>
            </w:r>
          </w:p>
        </w:tc>
        <w:tc>
          <w:tcPr>
            <w:tcW w:w="1592" w:type="dxa"/>
          </w:tcPr>
          <w:p w14:paraId="6F44CA46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Плохо</w:t>
            </w:r>
          </w:p>
        </w:tc>
        <w:tc>
          <w:tcPr>
            <w:tcW w:w="1643" w:type="dxa"/>
          </w:tcPr>
          <w:p w14:paraId="31884C1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Не пробовал</w:t>
            </w:r>
          </w:p>
        </w:tc>
      </w:tr>
      <w:tr w14:paraId="7D088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</w:tcPr>
          <w:p w14:paraId="229E9C15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Качество продукта</w:t>
            </w:r>
          </w:p>
        </w:tc>
        <w:tc>
          <w:tcPr>
            <w:tcW w:w="1633" w:type="dxa"/>
          </w:tcPr>
          <w:p w14:paraId="2AB59BA3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23" w:type="dxa"/>
          </w:tcPr>
          <w:p w14:paraId="4F3FC74F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2205" w:type="dxa"/>
          </w:tcPr>
          <w:p w14:paraId="0CABFA7B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592" w:type="dxa"/>
          </w:tcPr>
          <w:p w14:paraId="32CD9F16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43" w:type="dxa"/>
          </w:tcPr>
          <w:p w14:paraId="012D74D5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</w:tr>
      <w:tr w14:paraId="7FF27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</w:tcPr>
          <w:p w14:paraId="290ABE0F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Соотношение цена/качество</w:t>
            </w:r>
          </w:p>
        </w:tc>
        <w:tc>
          <w:tcPr>
            <w:tcW w:w="1633" w:type="dxa"/>
          </w:tcPr>
          <w:p w14:paraId="255EC831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23" w:type="dxa"/>
          </w:tcPr>
          <w:p w14:paraId="04E4FB71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2205" w:type="dxa"/>
          </w:tcPr>
          <w:p w14:paraId="6AF8022E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  <w:lang w:val="ru-RU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592" w:type="dxa"/>
          </w:tcPr>
          <w:p w14:paraId="655D8D60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43" w:type="dxa"/>
          </w:tcPr>
          <w:p w14:paraId="53944AA2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</w:tr>
      <w:tr w14:paraId="7D1E4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</w:tcPr>
          <w:p w14:paraId="60DCD6B1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Удобство оплаты (QR-код/терминал)</w:t>
            </w:r>
          </w:p>
        </w:tc>
        <w:tc>
          <w:tcPr>
            <w:tcW w:w="1633" w:type="dxa"/>
          </w:tcPr>
          <w:p w14:paraId="71799AD5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23" w:type="dxa"/>
          </w:tcPr>
          <w:p w14:paraId="712314B5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2205" w:type="dxa"/>
          </w:tcPr>
          <w:p w14:paraId="6C5C30F6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592" w:type="dxa"/>
          </w:tcPr>
          <w:p w14:paraId="696A2CF7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43" w:type="dxa"/>
          </w:tcPr>
          <w:p w14:paraId="0FE0D119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</w:tr>
      <w:tr w14:paraId="689BF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</w:tcPr>
          <w:p w14:paraId="4A82E9AE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Ассортимент и новизна</w:t>
            </w:r>
          </w:p>
        </w:tc>
        <w:tc>
          <w:tcPr>
            <w:tcW w:w="1633" w:type="dxa"/>
          </w:tcPr>
          <w:p w14:paraId="37253A58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23" w:type="dxa"/>
          </w:tcPr>
          <w:p w14:paraId="13F136D5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2205" w:type="dxa"/>
          </w:tcPr>
          <w:p w14:paraId="1087A97E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592" w:type="dxa"/>
          </w:tcPr>
          <w:p w14:paraId="509FB4AF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  <w:tc>
          <w:tcPr>
            <w:tcW w:w="1643" w:type="dxa"/>
          </w:tcPr>
          <w:p w14:paraId="09F1E8D5">
            <w:pPr>
              <w:numPr>
                <w:ilvl w:val="0"/>
                <w:numId w:val="0"/>
              </w:numPr>
              <w:spacing w:after="160" w:line="360" w:lineRule="auto"/>
              <w:jc w:val="center"/>
              <w:rPr>
                <w:rFonts w:hint="default" w:ascii="Times New Roman" w:hAnsi="Times New Roman"/>
                <w:color w:val="auto"/>
                <w:vertAlign w:val="baseline"/>
              </w:rPr>
            </w:pPr>
            <w:r>
              <w:rPr>
                <w:rFonts w:hint="default" w:ascii="Times New Roman" w:hAnsi="Times New Roman"/>
                <w:color w:val="auto"/>
              </w:rPr>
              <w:t>☐</w:t>
            </w:r>
          </w:p>
        </w:tc>
      </w:tr>
    </w:tbl>
    <w:p w14:paraId="5AE19E19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  <w:lang w:val="ru-RU"/>
        </w:rPr>
        <w:t>4</w:t>
      </w:r>
      <w:r>
        <w:rPr>
          <w:rFonts w:hint="default" w:ascii="Times New Roman" w:hAnsi="Times New Roman"/>
          <w:color w:val="auto"/>
        </w:rPr>
        <w:t>. Что бы Вы предложили улучшить в работе буфета и проекте «Пицца»? (открытый вопрос)</w:t>
      </w:r>
    </w:p>
    <w:p w14:paraId="1DFE89AC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Раздел 4. Выявление латентных потребностей</w:t>
      </w:r>
    </w:p>
    <w:p w14:paraId="5716EA54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1. Каких сервисов или товаров, которых сейчас нет в колледже, вам не хватает? (например, вендинговые аппараты с </w:t>
      </w:r>
      <w:r>
        <w:rPr>
          <w:rFonts w:hint="default" w:ascii="Times New Roman" w:hAnsi="Times New Roman"/>
          <w:color w:val="auto"/>
          <w:lang w:val="ru-RU"/>
        </w:rPr>
        <w:t>определённой</w:t>
      </w:r>
      <w:r>
        <w:rPr>
          <w:rFonts w:hint="default" w:ascii="Times New Roman" w:hAnsi="Times New Roman"/>
          <w:color w:val="auto"/>
        </w:rPr>
        <w:t xml:space="preserve"> продукцией, услуги и т.д.)</w:t>
      </w:r>
    </w:p>
    <w:p w14:paraId="003ACA53">
      <w:pPr>
        <w:numPr>
          <w:ilvl w:val="0"/>
          <w:numId w:val="9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Вендинговый кофейный аппарат с зерновым кофе</w:t>
      </w:r>
    </w:p>
    <w:p w14:paraId="0CEACF3E">
      <w:pPr>
        <w:numPr>
          <w:ilvl w:val="0"/>
          <w:numId w:val="9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Автомат с полезными снэками (фрукты, йогурты)</w:t>
      </w:r>
    </w:p>
    <w:p w14:paraId="4AABDE7F">
      <w:pPr>
        <w:numPr>
          <w:ilvl w:val="0"/>
          <w:numId w:val="9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Услуги прачечной/химчистки</w:t>
      </w:r>
    </w:p>
    <w:p w14:paraId="375DE148">
      <w:pPr>
        <w:numPr>
          <w:ilvl w:val="0"/>
          <w:numId w:val="9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Мастерская по пошиву/ремонту одежды от студентов-дизайнеров</w:t>
      </w:r>
    </w:p>
    <w:p w14:paraId="677C5F84">
      <w:pPr>
        <w:numPr>
          <w:ilvl w:val="0"/>
          <w:numId w:val="9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Другое (напишите): _____</w:t>
      </w:r>
    </w:p>
    <w:p w14:paraId="0AB5CC67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2. Какую максимальную сумму вы готовы тратить в буфете (или на студенческие проекты) в день?</w:t>
      </w:r>
    </w:p>
    <w:p w14:paraId="0F1D0787">
      <w:pPr>
        <w:numPr>
          <w:ilvl w:val="0"/>
          <w:numId w:val="9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До 150 рублей</w:t>
      </w:r>
    </w:p>
    <w:p w14:paraId="7AC7BE03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150 - 300 рублей</w:t>
      </w:r>
    </w:p>
    <w:p w14:paraId="1CABF7A3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300 - 500 рублей</w:t>
      </w:r>
    </w:p>
    <w:p w14:paraId="0D42E364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Более 500 рублей</w:t>
      </w:r>
    </w:p>
    <w:p w14:paraId="2AE2BEFD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Благодарим Вас за участие и ценные ответы!</w:t>
      </w:r>
    </w:p>
    <w:p w14:paraId="502E47AA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Ваши идеи помогут сделать нашу образовательную среду еще лучше!</w:t>
      </w:r>
    </w:p>
    <w:p w14:paraId="09173727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Рекомендации для КСД </w:t>
      </w:r>
      <w:r>
        <w:rPr>
          <w:rFonts w:hint="default" w:ascii="Times New Roman" w:hAnsi="Times New Roman"/>
          <w:color w:val="auto"/>
          <w:lang w:val="ru-RU"/>
        </w:rPr>
        <w:t>ВВГУ</w:t>
      </w:r>
      <w:r>
        <w:rPr>
          <w:rFonts w:hint="default" w:ascii="Times New Roman" w:hAnsi="Times New Roman"/>
          <w:color w:val="auto"/>
        </w:rPr>
        <w:t>:</w:t>
      </w:r>
    </w:p>
    <w:p w14:paraId="61A3EC44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Разработать программу лояльности и целевых скидок для мотивированных абитуриентов, чтобы нивелировать ценовой барьер.</w:t>
      </w:r>
    </w:p>
    <w:p w14:paraId="1C03A322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Активнее использовать успехи выпускников в соцсетях как доказательство эффективности образовательных программ.</w:t>
      </w:r>
    </w:p>
    <w:p w14:paraId="037E6825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Проводить больше открытых мероприятий (дни открытых дверей, мастер-классы) для школьников, чтобы наглядно демонстрировать преимущества инфраструктуры.</w:t>
      </w:r>
    </w:p>
    <w:p w14:paraId="61B8CAF9">
      <w:pPr>
        <w:spacing w:line="360" w:lineRule="auto"/>
        <w:jc w:val="both"/>
        <w:rPr>
          <w:rFonts w:hint="default" w:ascii="Arial" w:hAnsi="Arial" w:cs="Arial"/>
          <w:color w:val="auto"/>
          <w:sz w:val="28"/>
          <w:szCs w:val="28"/>
        </w:rPr>
      </w:pPr>
      <w:r>
        <w:rPr>
          <w:rFonts w:hint="default" w:ascii="Arial" w:hAnsi="Arial" w:cs="Arial"/>
          <w:color w:val="auto"/>
          <w:sz w:val="28"/>
          <w:szCs w:val="28"/>
        </w:rPr>
        <w:br w:type="page"/>
      </w:r>
    </w:p>
    <w:p w14:paraId="66B3B27D">
      <w:pPr>
        <w:pStyle w:val="2"/>
        <w:bidi w:val="0"/>
        <w:spacing w:line="240" w:lineRule="auto"/>
        <w:ind w:firstLine="708" w:firstLineChars="0"/>
        <w:jc w:val="both"/>
        <w:rPr>
          <w:rFonts w:hint="default" w:ascii="Arial" w:hAnsi="Arial" w:cs="Arial"/>
          <w:color w:val="auto"/>
          <w:sz w:val="28"/>
          <w:szCs w:val="28"/>
        </w:rPr>
      </w:pPr>
      <w:bookmarkStart w:id="3" w:name="_Toc13117"/>
      <w:r>
        <w:rPr>
          <w:rFonts w:hint="default" w:ascii="Arial" w:hAnsi="Arial" w:cs="Arial"/>
          <w:color w:val="auto"/>
          <w:sz w:val="28"/>
          <w:szCs w:val="28"/>
        </w:rPr>
        <w:t>3 Определение потребностей клиентов и работа с поставщиками</w:t>
      </w:r>
      <w:bookmarkEnd w:id="3"/>
    </w:p>
    <w:p w14:paraId="442407A1">
      <w:pPr>
        <w:pStyle w:val="2"/>
        <w:bidi w:val="0"/>
        <w:spacing w:line="240" w:lineRule="auto"/>
        <w:ind w:firstLine="708" w:firstLineChars="0"/>
        <w:jc w:val="both"/>
        <w:rPr>
          <w:rFonts w:hint="default" w:ascii="Arial" w:hAnsi="Arial" w:cs="Arial"/>
          <w:color w:val="auto"/>
          <w:sz w:val="26"/>
          <w:szCs w:val="26"/>
        </w:rPr>
      </w:pPr>
      <w:bookmarkStart w:id="4" w:name="_Toc2316"/>
      <w:r>
        <w:rPr>
          <w:rFonts w:hint="default" w:ascii="Arial" w:hAnsi="Arial" w:cs="Arial"/>
          <w:color w:val="auto"/>
          <w:sz w:val="26"/>
          <w:szCs w:val="26"/>
        </w:rPr>
        <w:t>3.1 Анкетирование студентов</w:t>
      </w:r>
      <w:bookmarkEnd w:id="4"/>
    </w:p>
    <w:p w14:paraId="416D43D6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Методология и результаты</w:t>
      </w:r>
    </w:p>
    <w:p w14:paraId="638EAC20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Для получения репрезентативных данных о потребностях и уровне </w:t>
      </w:r>
      <w:r>
        <w:rPr>
          <w:rFonts w:hint="default" w:ascii="Times New Roman" w:hAnsi="Times New Roman"/>
          <w:color w:val="auto"/>
          <w:lang w:val="ru-RU"/>
        </w:rPr>
        <w:t>удовлетворённости</w:t>
      </w:r>
      <w:r>
        <w:rPr>
          <w:rFonts w:hint="default" w:ascii="Times New Roman" w:hAnsi="Times New Roman"/>
          <w:color w:val="auto"/>
        </w:rPr>
        <w:t xml:space="preserve"> студентов была разработана структурированная онлайн-анкета,состоящая из 4 блоков вопросов:</w:t>
      </w:r>
    </w:p>
    <w:p w14:paraId="2F340CFD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Демографический блок: (курс, специальность, форма обучения).</w:t>
      </w:r>
    </w:p>
    <w:p w14:paraId="2ED8A3CB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2. Блок </w:t>
      </w:r>
      <w:r>
        <w:rPr>
          <w:rFonts w:hint="default" w:ascii="Times New Roman" w:hAnsi="Times New Roman"/>
          <w:color w:val="auto"/>
          <w:lang w:val="ru-RU"/>
        </w:rPr>
        <w:t>удовлетворённости</w:t>
      </w:r>
      <w:r>
        <w:rPr>
          <w:rFonts w:hint="default" w:ascii="Times New Roman" w:hAnsi="Times New Roman"/>
          <w:color w:val="auto"/>
        </w:rPr>
        <w:t xml:space="preserve"> основными услугами: (качество преподавания, </w:t>
      </w:r>
      <w:r>
        <w:rPr>
          <w:rFonts w:hint="default" w:ascii="Times New Roman" w:hAnsi="Times New Roman"/>
          <w:color w:val="auto"/>
          <w:lang w:val="ru-RU"/>
        </w:rPr>
        <w:t>оснащённость</w:t>
      </w:r>
      <w:r>
        <w:rPr>
          <w:rFonts w:hint="default" w:ascii="Times New Roman" w:hAnsi="Times New Roman"/>
          <w:color w:val="auto"/>
        </w:rPr>
        <w:t xml:space="preserve"> аудиторий, работа библиотеки, организация практики).</w:t>
      </w:r>
    </w:p>
    <w:p w14:paraId="3BB12CA3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3. Блок выявления латентных потребностей: (интерес к дополнительным курсам, оценка работы буфета, пожелания по организации внеучебной деятельности).</w:t>
      </w:r>
    </w:p>
    <w:p w14:paraId="394A5151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4. Открытый блок: (предложения по улучшению работы Колледжа).</w:t>
      </w:r>
    </w:p>
    <w:p w14:paraId="0D20866D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Анкета была распространена через кураторов учебных групп и в закрытых сообществах Колледжа в VK. За период сбора было получено 150 заполненных анкет.</w:t>
      </w:r>
    </w:p>
    <w:p w14:paraId="16BE686F">
      <w:pPr>
        <w:spacing w:line="24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Ключевые результаты:</w:t>
      </w:r>
    </w:p>
    <w:p w14:paraId="3A4C1759">
      <w:pPr>
        <w:numPr>
          <w:ilvl w:val="0"/>
          <w:numId w:val="10"/>
        </w:numPr>
        <w:tabs>
          <w:tab w:val="left" w:pos="420"/>
          <w:tab w:val="clear" w:pos="840"/>
        </w:tabs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Высокий уровень </w:t>
      </w:r>
      <w:r>
        <w:rPr>
          <w:rFonts w:hint="default" w:ascii="Times New Roman" w:hAnsi="Times New Roman"/>
          <w:color w:val="auto"/>
          <w:lang w:val="ru-RU"/>
        </w:rPr>
        <w:t>удовлетворённости</w:t>
      </w:r>
      <w:r>
        <w:rPr>
          <w:rFonts w:hint="default" w:ascii="Times New Roman" w:hAnsi="Times New Roman"/>
          <w:color w:val="auto"/>
        </w:rPr>
        <w:t xml:space="preserve"> основным образованием: 92% респондентов оценили качество преподавания профильных дисциплений на 4 и 5 по 5-балльной шкале.</w:t>
      </w:r>
    </w:p>
    <w:p w14:paraId="5D66BAAF">
      <w:pPr>
        <w:numPr>
          <w:ilvl w:val="0"/>
          <w:numId w:val="10"/>
        </w:numPr>
        <w:tabs>
          <w:tab w:val="left" w:pos="420"/>
          <w:tab w:val="clear" w:pos="840"/>
        </w:tabs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Явный запрос на дополнительное образование: 78% опрошенных выразили готовность пройти платные краткосрочные курсы для повышения своей конкурентоспособности. Наибольший интерес вызвали: «Графический дизайн</w:t>
      </w:r>
      <w:r>
        <w:rPr>
          <w:rFonts w:hint="default" w:ascii="Times New Roman" w:hAnsi="Times New Roman"/>
          <w:color w:val="auto"/>
          <w:lang w:val="ru-RU"/>
        </w:rPr>
        <w:t>»</w:t>
      </w:r>
    </w:p>
    <w:p w14:paraId="0BB5AE8C">
      <w:pPr>
        <w:numPr>
          <w:ilvl w:val="0"/>
          <w:numId w:val="10"/>
        </w:numPr>
        <w:tabs>
          <w:tab w:val="left" w:pos="420"/>
          <w:tab w:val="clear" w:pos="840"/>
        </w:tabs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Критическая точка – организация питания: Около 50% студентов указали на </w:t>
      </w:r>
      <w:r>
        <w:rPr>
          <w:rFonts w:hint="default" w:ascii="Times New Roman" w:hAnsi="Times New Roman"/>
          <w:color w:val="auto"/>
          <w:lang w:val="ru-RU"/>
        </w:rPr>
        <w:t>неудовлетворённость</w:t>
      </w:r>
      <w:r>
        <w:rPr>
          <w:rFonts w:hint="default" w:ascii="Times New Roman" w:hAnsi="Times New Roman"/>
          <w:color w:val="auto"/>
        </w:rPr>
        <w:t xml:space="preserve"> работой буфета: высокие цены, однообразный и нездоровый ассортимент (преобладание выпечки и сладостей), длинные очереди в обеденный перерыв.</w:t>
      </w:r>
    </w:p>
    <w:p w14:paraId="11075835">
      <w:pPr>
        <w:numPr>
          <w:ilvl w:val="0"/>
          <w:numId w:val="10"/>
        </w:numPr>
        <w:tabs>
          <w:tab w:val="left" w:pos="420"/>
          <w:tab w:val="clear" w:pos="840"/>
        </w:tabs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Пожелания по внеучебной деятельности: Многие студенты (около 40%) высказались за организацию тематических клубов по интересам </w:t>
      </w:r>
    </w:p>
    <w:p w14:paraId="5AC4E5B5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Вывод: Исследование выявило не только высокое качество ядерной образовательной услуги, но и значительный потенциал для диверсификации доходов за </w:t>
      </w:r>
      <w:r>
        <w:rPr>
          <w:rFonts w:hint="default" w:ascii="Times New Roman" w:hAnsi="Times New Roman"/>
          <w:color w:val="auto"/>
          <w:lang w:val="ru-RU"/>
        </w:rPr>
        <w:t>счёт</w:t>
      </w:r>
      <w:r>
        <w:rPr>
          <w:rFonts w:hint="default" w:ascii="Times New Roman" w:hAnsi="Times New Roman"/>
          <w:color w:val="auto"/>
        </w:rPr>
        <w:t xml:space="preserve"> программ дополнительного образования, а также острую необходимость реорганизации системы питания.</w:t>
      </w:r>
    </w:p>
    <w:p w14:paraId="005259A7">
      <w:pPr>
        <w:pStyle w:val="2"/>
        <w:bidi w:val="0"/>
        <w:spacing w:line="240" w:lineRule="auto"/>
        <w:ind w:firstLine="708" w:firstLineChars="0"/>
        <w:jc w:val="both"/>
        <w:rPr>
          <w:rFonts w:hint="default" w:ascii="Arial" w:hAnsi="Arial" w:cs="Arial"/>
          <w:color w:val="auto"/>
          <w:sz w:val="26"/>
          <w:szCs w:val="26"/>
        </w:rPr>
      </w:pPr>
      <w:bookmarkStart w:id="5" w:name="_Toc18396"/>
      <w:r>
        <w:rPr>
          <w:rFonts w:hint="default" w:ascii="Arial" w:hAnsi="Arial" w:cs="Arial"/>
          <w:color w:val="auto"/>
          <w:sz w:val="26"/>
          <w:szCs w:val="26"/>
        </w:rPr>
        <w:t>3.2 Выбор поставщиков питьевой воды для Колледжа</w:t>
      </w:r>
      <w:bookmarkEnd w:id="5"/>
    </w:p>
    <w:p w14:paraId="2EC7BE47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Анализ рынка поставщиков питьевой воды для нужд Колледжа</w:t>
      </w:r>
    </w:p>
    <w:p w14:paraId="3673E26F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Обеспечение сотрудников и студентов питьевой водой– важная хозяйственная задача. Было проведено исследование </w:t>
      </w:r>
      <w:r>
        <w:rPr>
          <w:rFonts w:hint="default" w:ascii="Times New Roman" w:hAnsi="Times New Roman"/>
          <w:color w:val="auto"/>
          <w:lang w:val="ru-RU"/>
        </w:rPr>
        <w:t>трёх</w:t>
      </w:r>
      <w:r>
        <w:rPr>
          <w:rFonts w:hint="default" w:ascii="Times New Roman" w:hAnsi="Times New Roman"/>
          <w:color w:val="auto"/>
        </w:rPr>
        <w:t xml:space="preserve"> ключевых поставщиков на рынке г. Владивостока.</w:t>
      </w:r>
    </w:p>
    <w:p w14:paraId="2A1F5515">
      <w:pPr>
        <w:spacing w:line="240" w:lineRule="auto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 xml:space="preserve">Таблица 3 : поставщики 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5"/>
        <w:gridCol w:w="2605"/>
        <w:gridCol w:w="2605"/>
        <w:gridCol w:w="2606"/>
      </w:tblGrid>
      <w:tr w14:paraId="2AFB8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 w14:paraId="15FCF8FC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Поставщик</w:t>
            </w:r>
          </w:p>
        </w:tc>
        <w:tc>
          <w:tcPr>
            <w:tcW w:w="2605" w:type="dxa"/>
          </w:tcPr>
          <w:p w14:paraId="415F193D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Ассортимент</w:t>
            </w:r>
          </w:p>
        </w:tc>
        <w:tc>
          <w:tcPr>
            <w:tcW w:w="2605" w:type="dxa"/>
          </w:tcPr>
          <w:p w14:paraId="01ED48C2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Условия поставки и стоимость</w:t>
            </w:r>
          </w:p>
        </w:tc>
        <w:tc>
          <w:tcPr>
            <w:tcW w:w="2606" w:type="dxa"/>
          </w:tcPr>
          <w:p w14:paraId="4558469A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Анализ преимуществ и рисков</w:t>
            </w:r>
          </w:p>
        </w:tc>
      </w:tr>
      <w:tr w14:paraId="33546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 w14:paraId="45944C33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«Владивостокская вода»</w:t>
            </w:r>
          </w:p>
        </w:tc>
        <w:tc>
          <w:tcPr>
            <w:tcW w:w="2605" w:type="dxa"/>
          </w:tcPr>
          <w:p w14:paraId="40E6DC34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Вода питьевая негазированная 19 л. (артезианская).</w:t>
            </w:r>
          </w:p>
        </w:tc>
        <w:tc>
          <w:tcPr>
            <w:tcW w:w="2605" w:type="dxa"/>
          </w:tcPr>
          <w:p w14:paraId="39937E4E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Доставка по заявке в течение 24 часов. Цена – 150 руб./бутыль. Аренда кулера (электрический, с нагревом/охлаждением) – 500 руб./мес. Санобработка – 200 руб./единица.</w:t>
            </w:r>
          </w:p>
        </w:tc>
        <w:tc>
          <w:tcPr>
            <w:tcW w:w="2606" w:type="dxa"/>
          </w:tcPr>
          <w:p w14:paraId="076ADF77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6"/>
                <w:szCs w:val="16"/>
              </w:rPr>
              <w:t>Преимущества: Крупный, надежный местный производитель, полный контроль над качеством. Быстрая и гибкая логистика. Риски/Недостатки: Наивысшая цена на рынке. Высокие затраты на аренду.</w:t>
            </w:r>
          </w:p>
        </w:tc>
      </w:tr>
      <w:tr w14:paraId="1BAB2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 w14:paraId="6EF18788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«ПримВода»</w:t>
            </w:r>
          </w:p>
        </w:tc>
        <w:tc>
          <w:tcPr>
            <w:tcW w:w="2605" w:type="dxa"/>
          </w:tcPr>
          <w:p w14:paraId="5B54F822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Вода 19 л. (подготовленная водопроводная).</w:t>
            </w:r>
          </w:p>
        </w:tc>
        <w:tc>
          <w:tcPr>
            <w:tcW w:w="2605" w:type="dxa"/>
          </w:tcPr>
          <w:p w14:paraId="635EB6C7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Доставка по фиксированному графику 2 раза в неделю (вторник/четверг). Цена – 130 руб./бутыль. Акция: бесплатная аренда кулера при заказе от 50 бутылей в месяц.</w:t>
            </w:r>
          </w:p>
        </w:tc>
        <w:tc>
          <w:tcPr>
            <w:tcW w:w="2606" w:type="dxa"/>
          </w:tcPr>
          <w:p w14:paraId="3ADA4FFC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Преимущества: Самая низкая цена. Минимизация затрат на аренду оборудования. Предсказуемость логистики. Риски/Недостатки: Жесткий график, не подходит для форс-мажоров. Качество воды (подготовленная водопроводная) может уступать артезианской.</w:t>
            </w:r>
          </w:p>
        </w:tc>
      </w:tr>
      <w:tr w14:paraId="421CC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 w14:paraId="39F94D8B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«АкваСервис ДВ»</w:t>
            </w:r>
          </w:p>
        </w:tc>
        <w:tc>
          <w:tcPr>
            <w:tcW w:w="2605" w:type="dxa"/>
          </w:tcPr>
          <w:p w14:paraId="37E4FED9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Вода 19 л. (артезианская), а также вода 5 л. для переговорных. Оборудование: кулеры и помпы.</w:t>
            </w:r>
          </w:p>
        </w:tc>
        <w:tc>
          <w:tcPr>
            <w:tcW w:w="2605" w:type="dxa"/>
          </w:tcPr>
          <w:p w14:paraId="22A44FFC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Доставка в удобное для клиента время в интервале 3 часа. Цена – 145 руб./бутыль. Аренда помпы (механическая) – 300 руб./мес. Регулярная санобработка входит в стоимость аренды.</w:t>
            </w:r>
          </w:p>
        </w:tc>
        <w:tc>
          <w:tcPr>
            <w:tcW w:w="2606" w:type="dxa"/>
          </w:tcPr>
          <w:p w14:paraId="7E64F222">
            <w:pPr>
              <w:spacing w:line="360" w:lineRule="auto"/>
              <w:jc w:val="both"/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z w:val="18"/>
                <w:szCs w:val="18"/>
              </w:rPr>
              <w:t>Преимущества: Гибкость и сервисная ориентированность. Экономия на аренде (помпа дешевле). Качество воды на уровне лидера. Риски/Недостатки: Цена выше, чем у «ПримВоды». Помпа менее удобна, чем кулер с охлаждением.</w:t>
            </w:r>
          </w:p>
        </w:tc>
      </w:tr>
    </w:tbl>
    <w:p w14:paraId="08B9873D">
      <w:pPr>
        <w:spacing w:line="24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Рекомендация для Колледжа:</w:t>
      </w:r>
    </w:p>
    <w:p w14:paraId="78B661BE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Учитывая масштабы Колледжа(более 500 человек) и необходимость обеспечения водой учебных аудиторий, административных помещений и учительских, оптимальным представляется выбор поставщика «АкваСервис ДВ». Данная компания предлагает оптимальное соотношение цены и качества, а главное – гибкие условия доставки и сервиса, что критически важно для бесперебойной работы образовательного учреждения. Экономия по сравнению с «Владивостокской водой» составит около 10 000 руб. в год, при сохранении высокого уровня сервиса.</w:t>
      </w:r>
    </w:p>
    <w:p w14:paraId="79A2EFED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br w:type="page"/>
      </w:r>
    </w:p>
    <w:p w14:paraId="0D7C105B">
      <w:pPr>
        <w:pStyle w:val="2"/>
        <w:bidi w:val="0"/>
        <w:spacing w:line="360" w:lineRule="auto"/>
        <w:ind w:firstLine="708" w:firstLineChars="0"/>
        <w:jc w:val="both"/>
        <w:rPr>
          <w:rFonts w:hint="default" w:ascii="Arial" w:hAnsi="Arial" w:cs="Arial"/>
          <w:color w:val="auto"/>
          <w:sz w:val="28"/>
          <w:szCs w:val="28"/>
        </w:rPr>
      </w:pPr>
      <w:bookmarkStart w:id="6" w:name="_Toc999"/>
      <w:r>
        <w:rPr>
          <w:rFonts w:hint="default" w:ascii="Arial" w:hAnsi="Arial" w:cs="Arial"/>
          <w:color w:val="auto"/>
          <w:sz w:val="28"/>
          <w:szCs w:val="28"/>
        </w:rPr>
        <w:t>4 Анализ системы планирования и контроля «продаж» (набора абитуриентов)</w:t>
      </w:r>
      <w:bookmarkEnd w:id="6"/>
    </w:p>
    <w:p w14:paraId="7B584B37">
      <w:pPr>
        <w:bidi w:val="0"/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 коммерческой терминологии план набора абитуриентов является прямым аналогом плана продаж. В колледже этот процесс хорошо структурирован.</w:t>
      </w:r>
    </w:p>
    <w:p w14:paraId="0180B213">
      <w:pPr>
        <w:numPr>
          <w:ilvl w:val="0"/>
          <w:numId w:val="11"/>
        </w:numPr>
        <w:tabs>
          <w:tab w:val="left" w:pos="420"/>
          <w:tab w:val="clear" w:pos="840"/>
        </w:tabs>
        <w:bidi w:val="0"/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Планирование: План приема формируется в декабре-январе на основе анализа прошлых лет, демографических тенденций, маркетинговых исследований и распоряжений Министерства образования. План включает контрольные цифры приема (бюджет) и цели по приему на коммерческой основе.</w:t>
      </w:r>
    </w:p>
    <w:p w14:paraId="6DE5F601">
      <w:pPr>
        <w:numPr>
          <w:ilvl w:val="0"/>
          <w:numId w:val="11"/>
        </w:numPr>
        <w:tabs>
          <w:tab w:val="left" w:pos="420"/>
          <w:tab w:val="clear" w:pos="840"/>
        </w:tabs>
        <w:bidi w:val="0"/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Мониторинг: В течение приемной кампании (июнь-август) ведется ежедневный оперативный контроль поданных заявлений через специализированное ПО «1С: Колледж». Строятся воронки абитуриента: «подал заявление» -&gt; «предоставил оригиналы» -&gt; «зачислен».</w:t>
      </w:r>
    </w:p>
    <w:p w14:paraId="543E41E7">
      <w:pPr>
        <w:numPr>
          <w:ilvl w:val="0"/>
          <w:numId w:val="11"/>
        </w:numPr>
        <w:tabs>
          <w:tab w:val="left" w:pos="420"/>
          <w:tab w:val="clear" w:pos="840"/>
        </w:tabs>
        <w:bidi w:val="0"/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Анализ отклонений: В середине июля был проведен промежуточный анализ, который выявил отставание на 10% по целевому показателю для коммерции по специальности «Туризм».</w:t>
      </w:r>
    </w:p>
    <w:p w14:paraId="3D9B14BC">
      <w:pPr>
        <w:bidi w:val="0"/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Разработанные корректирующие мероприятия:</w:t>
      </w:r>
    </w:p>
    <w:p w14:paraId="76057BB3">
      <w:pPr>
        <w:bidi w:val="0"/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1. Активизация точечного маркетинга: Была запущена таргетированная реклама в социальных сетях для аудитории 15-17 лет, проживающей в г. Владивостоке и близлежащих городах (Уссурийск, Артем), с акцентом на преимуществах карьеры в туризме.</w:t>
      </w:r>
    </w:p>
    <w:p w14:paraId="799CA593">
      <w:pPr>
        <w:bidi w:val="0"/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2. Введение «Стипендии первокурсника»: Разработано предложение о предоставлении скидки 15% на первый семестр обучения для абитуриентов, заключивших договор и оплативших обучение до 1 августа.</w:t>
      </w:r>
    </w:p>
    <w:p w14:paraId="073B3DD9">
      <w:pPr>
        <w:bidi w:val="0"/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3. Проведение серии онлайн-вебинаров с успешными выпускниками по специальности «Туризм», которые поделились личным опытом и карьерными траекториями.</w:t>
      </w:r>
    </w:p>
    <w:p w14:paraId="4F0075E6">
      <w:pPr>
        <w:bidi w:val="0"/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Реализация этих мер позволила к концу </w:t>
      </w:r>
      <w:r>
        <w:rPr>
          <w:rFonts w:hint="default" w:ascii="Times New Roman" w:hAnsi="Times New Roman"/>
          <w:color w:val="auto"/>
          <w:lang w:val="ru-RU"/>
        </w:rPr>
        <w:t>приёмной</w:t>
      </w:r>
      <w:r>
        <w:rPr>
          <w:rFonts w:hint="default" w:ascii="Times New Roman" w:hAnsi="Times New Roman"/>
          <w:color w:val="auto"/>
        </w:rPr>
        <w:t xml:space="preserve"> кампании не только ликвидировать отставание, но и перевыполнить план на 3%.</w:t>
      </w:r>
    </w:p>
    <w:p w14:paraId="152F260D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br w:type="page"/>
      </w:r>
    </w:p>
    <w:p w14:paraId="3E4A9ED8">
      <w:pPr>
        <w:pStyle w:val="2"/>
        <w:bidi w:val="0"/>
        <w:spacing w:line="360" w:lineRule="auto"/>
        <w:ind w:firstLine="708" w:firstLineChars="0"/>
        <w:jc w:val="both"/>
        <w:rPr>
          <w:rFonts w:hint="default" w:ascii="Arial" w:hAnsi="Arial" w:cs="Arial"/>
          <w:color w:val="auto"/>
          <w:sz w:val="28"/>
          <w:szCs w:val="28"/>
        </w:rPr>
      </w:pPr>
      <w:bookmarkStart w:id="7" w:name="_Toc31430"/>
      <w:r>
        <w:rPr>
          <w:rFonts w:hint="default" w:ascii="Arial" w:hAnsi="Arial" w:cs="Arial"/>
          <w:color w:val="auto"/>
          <w:sz w:val="28"/>
          <w:szCs w:val="28"/>
        </w:rPr>
        <w:t>5 Освоение цифровой экосистемы колледжа</w:t>
      </w:r>
      <w:bookmarkEnd w:id="7"/>
    </w:p>
    <w:p w14:paraId="5EB9CABE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В ходе практики я получил практический опыт работы с ключевыми цифровыми платформами:</w:t>
      </w:r>
    </w:p>
    <w:p w14:paraId="4A38027C">
      <w:pPr>
        <w:numPr>
          <w:ilvl w:val="0"/>
          <w:numId w:val="1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Официальный сайт на CMS 1С-Битрикс: Участвовал в наполнении раздела «Абитуриенту»: публикация новостей о днях открытых дверей, обновление информации о специальностях. Изучил механизм SEO-оптимизации страниц для повышения позиций в поисковой выдаче Яндекс и Google.</w:t>
      </w:r>
    </w:p>
    <w:p w14:paraId="4765B790">
      <w:pPr>
        <w:numPr>
          <w:ilvl w:val="0"/>
          <w:numId w:val="1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Система дистанционного обучения «Moodle»: Рассмотрел функционал с обеих сторон – как преподаватель (создание тестов, размещение материалов) и как студент (прохождение курсов, сдача заданий). Это ключевой инструмент для обеспечения гибкости образовательного процесса.</w:t>
      </w:r>
    </w:p>
    <w:p w14:paraId="045B1F8D">
      <w:pPr>
        <w:numPr>
          <w:ilvl w:val="0"/>
          <w:numId w:val="1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Электронный документооборот (СЭД)»Директум»: Ознакомился с процессами согласования внутренних приказов и заявок, что позволило понять важность цифровизации административных процессов для повышения скорости принятия решений.</w:t>
      </w:r>
    </w:p>
    <w:p w14:paraId="63620ED3">
      <w:pPr>
        <w:numPr>
          <w:ilvl w:val="0"/>
          <w:numId w:val="12"/>
        </w:numPr>
        <w:spacing w:line="360" w:lineRule="auto"/>
        <w:ind w:left="840" w:leftChars="0" w:hanging="420" w:firstLineChars="0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Онлайн-касса АТОЛ 90Ф и модуль эквайринга Сбербанка: Освоил процедуру приема оплаты за дополнительные образовательные курсы: формирование чека, прием оплаты банковской картой через POS-терминал, отправка электронного чека на email клиента. Убедился в строгом соответствии 54-ФЗ.</w:t>
      </w:r>
    </w:p>
    <w:p w14:paraId="2ED05268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br w:type="page"/>
      </w:r>
    </w:p>
    <w:p w14:paraId="085219D5">
      <w:pPr>
        <w:pStyle w:val="2"/>
        <w:bidi w:val="0"/>
        <w:spacing w:line="240" w:lineRule="auto"/>
        <w:ind w:firstLine="708" w:firstLineChars="0"/>
        <w:jc w:val="center"/>
        <w:rPr>
          <w:rFonts w:hint="default" w:ascii="Arial" w:hAnsi="Arial" w:cs="Arial"/>
          <w:color w:val="auto"/>
          <w:sz w:val="28"/>
          <w:szCs w:val="28"/>
        </w:rPr>
      </w:pPr>
      <w:bookmarkStart w:id="8" w:name="_Toc6101"/>
      <w:r>
        <w:rPr>
          <w:rFonts w:hint="default" w:ascii="Arial" w:hAnsi="Arial" w:cs="Arial"/>
          <w:color w:val="auto"/>
          <w:sz w:val="28"/>
          <w:szCs w:val="28"/>
        </w:rPr>
        <w:t>Заключение</w:t>
      </w:r>
      <w:bookmarkEnd w:id="8"/>
    </w:p>
    <w:p w14:paraId="0763C459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Учебная практика в Колледже сервиса и дизайна </w:t>
      </w:r>
      <w:r>
        <w:rPr>
          <w:rFonts w:hint="default" w:ascii="Times New Roman" w:hAnsi="Times New Roman"/>
          <w:color w:val="auto"/>
          <w:lang w:val="ru-RU"/>
        </w:rPr>
        <w:t xml:space="preserve">ВВГУ </w:t>
      </w:r>
      <w:r>
        <w:rPr>
          <w:rFonts w:hint="default" w:ascii="Times New Roman" w:hAnsi="Times New Roman"/>
          <w:color w:val="auto"/>
        </w:rPr>
        <w:t>стала для меня не просто этапом учебного плана, а настоящим откровением, перевернувшим представление о том, как может и должно быть организовано современное профессиональное образование. Это был глубокий в экосистему, где каждый процесс – от инструктажа по охране труда до продажи кусочка пиццы – является осмысленным элементом единого целого, нацеленного на формирование конкурентоспособного, уверенного в себе и предприимчивого специалиста.</w:t>
      </w:r>
    </w:p>
    <w:p w14:paraId="277746B1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Ключевые интеллектуальные и практические приобретения, полученные в ходе практики, можно систематизировать следующим образом:</w:t>
      </w:r>
    </w:p>
    <w:p w14:paraId="214D8AB6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Понимание коммерции как философии, а не функции. Уникальный проект «Пицца от будущих шеф-поваров» наглядно показал, что коммерция – это не отдел в организационной структуре, а принцип, который может и должен пронизывать всю деятельность. Студенты-повара учатся не просто готовить, а создавать продукт, несущий ценность; студенты-коммерсанты учатся не просто продавать, а выстраивать клиентский опыт, используя современные цифровые инструменты (QR-коды, онлайн-платежи). Это живая лаборатория предпринимательства.</w:t>
      </w:r>
    </w:p>
    <w:p w14:paraId="7913B3D4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Стратегический анализ, основанный на уникальных компетенциях. Сравнение с Промышленным колледжем энергетики и связи перешло из плоскости «кто лучше» в плоскость «кто какой ниши занимает». Мы не конкурируем за одного абитуриента. Мы предлагаем принципиально разный образовательный опыт: «стань предпринимателем в сервисе» против «стань высококлассным инженером на заводе». Это понимание снимает массу ложных дилемм и позволяет выстраивать точное, нишевое позиционирование.</w:t>
      </w:r>
    </w:p>
    <w:p w14:paraId="7011886B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 xml:space="preserve">Глубокое погружение в методологию исследования потребителя. Разработанная и проведенная анкета позволила выйти за рамки поверхностного «нравится/не нравится». Вопросы о </w:t>
      </w:r>
      <w:r>
        <w:rPr>
          <w:rFonts w:hint="default" w:ascii="Times New Roman" w:hAnsi="Times New Roman"/>
          <w:color w:val="auto"/>
          <w:lang w:val="ru-RU"/>
        </w:rPr>
        <w:t>платёжеспособном</w:t>
      </w:r>
      <w:r>
        <w:rPr>
          <w:rFonts w:hint="default" w:ascii="Times New Roman" w:hAnsi="Times New Roman"/>
          <w:color w:val="auto"/>
        </w:rPr>
        <w:t xml:space="preserve"> спросе, об отношении к инновациям вроде оплаты по QR-коду, о латентных потребностях в вендинге или услугах прачечной – все это </w:t>
      </w:r>
      <w:r>
        <w:rPr>
          <w:rFonts w:hint="default" w:ascii="Times New Roman" w:hAnsi="Times New Roman"/>
          <w:color w:val="auto"/>
          <w:lang w:val="ru-RU"/>
        </w:rPr>
        <w:t>даёт</w:t>
      </w:r>
      <w:r>
        <w:rPr>
          <w:rFonts w:hint="default" w:ascii="Times New Roman" w:hAnsi="Times New Roman"/>
          <w:color w:val="auto"/>
        </w:rPr>
        <w:t xml:space="preserve"> богатейший материал не для косметических улучшений, а для стратегического планирования ассортиментной и сервисной политики внутри Колледжа.</w:t>
      </w:r>
    </w:p>
    <w:p w14:paraId="19BBD939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Опыт сквозного анализа цепочки создания стоимости. От закупки муки и томатов для пиццы до выбора поставщика воды и анализа данных о продажах – я увидел, как все звенья логистической, производственной и сбытовой цепочки взаимосвязаны и как сбой в одном из них (например, негибкий график поставщика воды) может парализовать прибыльный студенческий проект.</w:t>
      </w:r>
    </w:p>
    <w:p w14:paraId="3F9CCC00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Осознание роли цифровых инструментов как клея, связывающего все элементы экосистемы. QR-код – это не просто картинка. Это шлюз, соединяющий физический продукт (пиццу) с цифровым миром (информацией, платежом, обратной связью, данными для анализа). Работа с этими инструментами показала, что современный коммерсант должен быть и технологом, и маркетологом, и аналитиком в одном лице.</w:t>
      </w:r>
    </w:p>
    <w:p w14:paraId="6FE8D7F0">
      <w:pPr>
        <w:spacing w:line="360" w:lineRule="auto"/>
        <w:ind w:firstLine="708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t>Мои личные карьерные траектории после прохождения практики получили четкое направление. Меня интересует развитие в области продуктового менеджмента в сфере образования и, где можно создавать и продвигать такие же комплексные, жизнеспособные образовательные продукты, как Колледж сервиса и дизайна в миниатюре. Полученный опыт является бесценным активом и основой для будущей выпускной квалификационной работы, которая, я уверен, будет носить не теоретический, а сугубо прикладной характер, предлагая модель масштабирования подобных микрокоммерческих проектов на другие учреждения СПО.</w:t>
      </w:r>
    </w:p>
    <w:p w14:paraId="16BE067C">
      <w:pPr>
        <w:spacing w:line="360" w:lineRule="auto"/>
        <w:jc w:val="both"/>
        <w:rPr>
          <w:rFonts w:hint="default" w:ascii="Times New Roman" w:hAnsi="Times New Roman"/>
          <w:color w:val="auto"/>
        </w:rPr>
      </w:pPr>
      <w:r>
        <w:rPr>
          <w:rFonts w:hint="default" w:ascii="Times New Roman" w:hAnsi="Times New Roman"/>
          <w:color w:val="auto"/>
        </w:rPr>
        <w:br w:type="page"/>
      </w:r>
    </w:p>
    <w:p w14:paraId="77E45905">
      <w:pPr>
        <w:pStyle w:val="2"/>
        <w:bidi w:val="0"/>
        <w:spacing w:line="240" w:lineRule="auto"/>
        <w:jc w:val="center"/>
        <w:rPr>
          <w:rFonts w:hint="default" w:ascii="Arial" w:hAnsi="Arial" w:cs="Arial"/>
          <w:color w:val="auto"/>
          <w:sz w:val="28"/>
          <w:szCs w:val="28"/>
          <w:lang w:val="ru-RU"/>
        </w:rPr>
      </w:pPr>
      <w:bookmarkStart w:id="10" w:name="_GoBack"/>
      <w:bookmarkEnd w:id="10"/>
      <w:bookmarkStart w:id="9" w:name="_Toc29586"/>
      <w:r>
        <w:rPr>
          <w:rFonts w:hint="default" w:ascii="Arial" w:hAnsi="Arial" w:cs="Arial"/>
          <w:color w:val="auto"/>
          <w:sz w:val="28"/>
          <w:szCs w:val="28"/>
          <w:lang w:val="ru-RU"/>
        </w:rPr>
        <w:t>Список использованных источников</w:t>
      </w:r>
      <w:bookmarkEnd w:id="9"/>
    </w:p>
    <w:p w14:paraId="12C77E7B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1. Акулич, И.Л. Маркетинг образовательных услуг: учебное пособие / И.Л. Акулич. - М.: ИНФРА-М, 2023. - 320 с.</w:t>
      </w:r>
    </w:p>
    <w:p w14:paraId="174DF487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2. Басовский, Л.Е. Маркетинг: учебник / Л.Е. Басовский. - М.: ИНФРА-М, 2024. - 415 с.</w:t>
      </w:r>
    </w:p>
    <w:p w14:paraId="69B1C9E9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3. Дашков, Л.П. Организация коммерческой деятельности: учебник / Л.П. Дашков. - М.: Дашков и К°, 2024. - 540 с.</w:t>
      </w:r>
    </w:p>
    <w:p w14:paraId="16C422A3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4. Котлер, Ф. Маркетинг 4.0: Бренд в эпоху цифровых технологий / Ф. Котлер. - М.: Эксмо, 2023. - 224 с.</w:t>
      </w:r>
    </w:p>
    <w:p w14:paraId="22B14F17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5. Панкрухин, А.П. Маркетинг образовательных услуг в России / А.П. Панкрухин. - М.: Юрайт, 2023. - 286 с.</w:t>
      </w:r>
    </w:p>
    <w:p w14:paraId="15785ADB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6. Официальный сайт Колледжа сервиса и дизайна ВГУЭС [Электронный ресурс]. - URL: https://www.vvsu.ru/college/ (дата обращения: 08.11.2025)</w:t>
      </w:r>
    </w:p>
    <w:p w14:paraId="14DC7CEE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7. Официальный сайт Промышленного колледжа энергетики и связи [Электронный ресурс]. - URL: http://www.pkes.ru/ (дата обращения: 08.11.2025)</w:t>
      </w:r>
    </w:p>
    <w:p w14:paraId="6D69A063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8. Статистические данные по приемной кампании СПО Приморского края [Электронный ресурс] // Министерство образования Приморского края. - URL: https://primorsky.ru/education/ (дата обращения: 08.11.2025)</w:t>
      </w:r>
    </w:p>
    <w:p w14:paraId="1C0EF93E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auto"/>
          <w:lang w:val="ru-RU"/>
        </w:rPr>
      </w:pPr>
      <w:r>
        <w:rPr>
          <w:rFonts w:hint="default" w:ascii="Times New Roman" w:hAnsi="Times New Roman"/>
          <w:color w:val="auto"/>
          <w:lang w:val="ru-RU"/>
        </w:rPr>
        <w:t>9. Аналитический отчет "Рынок образовательных услуг Дальнего Востока 2024" [Электронный ресурс] / Агентство стратегических исследований. - URL: http://asi-dv.ru/reports/ (дата обращения: 08.11.2025)</w:t>
      </w:r>
    </w:p>
    <w:sectPr>
      <w:headerReference r:id="rId8" w:type="first"/>
      <w:footerReference r:id="rId10" w:type="first"/>
      <w:headerReference r:id="rId7" w:type="default"/>
      <w:footerReference r:id="rId9" w:type="default"/>
      <w:pgSz w:w="11906" w:h="16838"/>
      <w:pgMar w:top="1134" w:right="567" w:bottom="1134" w:left="1134" w:header="709" w:footer="709" w:gutter="0"/>
      <w:pgNumType w:fmt="decimal" w:start="3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9EC42">
    <w:pPr>
      <w:pStyle w:val="17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Текстовое поле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46402E">
                          <w:pPr>
                            <w:pStyle w:val="17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LNJWO7QAAAABQEAAA8AAAAAAAAAAQAgAAAAIgAAAGRycy9kb3du&#10;cmV2LnhtbFBLAQIUABQAAAAIAIdO4kCS1dgZQAIAAHUEAAAOAAAAAAAAAAEAIAAAAB8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46402E">
                    <w:pPr>
                      <w:pStyle w:val="17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Текстовое поле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BF3288">
                          <w:pPr>
                            <w:rPr>
                              <w:rFonts w:hint="default" w:ascii="Times New Roman" w:hAnsi="Times New Roman" w:cs="Times New Roma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s0lY7tAAAAAFAQAADwAAAAAAAAABACAAAAAiAAAAZHJzL2Rvd25y&#10;ZXYueG1sUEsBAhQAFAAAAAgAh07iQLiwfZI/AgAAdQQAAA4AAAAAAAAAAQAgAAAAH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BF3288">
                    <w:pPr>
                      <w:rPr>
                        <w:rFonts w:hint="default" w:ascii="Times New Roman" w:hAnsi="Times New Roman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67EEDA">
    <w:pPr>
      <w:pStyle w:val="1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A192B7">
    <w:pPr>
      <w:pStyle w:val="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AB08AD">
    <w:pPr>
      <w:pStyle w:val="1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C941E6">
    <w:pPr>
      <w:pStyle w:val="14"/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60B312"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60B312"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11E6B">
    <w:pPr>
      <w:pStyle w:val="14"/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Текстовое пол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46FC1F"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LNJWO7QAAAABQEAAA8AAAAAAAAAAQAgAAAAIgAAAGRycy9k&#10;b3ducmV2LnhtbFBLAQIUABQAAAAIAIdO4kCqRMXX7gIAADYGAAAOAAAAAAAAAAEAIAAAAB8BAABk&#10;cnMvZTJvRG9jLnhtbFBLBQYAAAAABgAGAFkBAAB/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46FC1F"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62B39B"/>
    <w:multiLevelType w:val="singleLevel"/>
    <w:tmpl w:val="9262B39B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1">
    <w:nsid w:val="975E3BED"/>
    <w:multiLevelType w:val="singleLevel"/>
    <w:tmpl w:val="975E3BED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2">
    <w:nsid w:val="9B00CF84"/>
    <w:multiLevelType w:val="multilevel"/>
    <w:tmpl w:val="9B00CF84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3"/>
        <w:szCs w:val="13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3">
    <w:nsid w:val="B485E488"/>
    <w:multiLevelType w:val="singleLevel"/>
    <w:tmpl w:val="B485E488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4">
    <w:nsid w:val="CF248546"/>
    <w:multiLevelType w:val="singleLevel"/>
    <w:tmpl w:val="CF248546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5">
    <w:nsid w:val="D6777A62"/>
    <w:multiLevelType w:val="singleLevel"/>
    <w:tmpl w:val="D6777A62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6">
    <w:nsid w:val="E6F81BDF"/>
    <w:multiLevelType w:val="singleLevel"/>
    <w:tmpl w:val="E6F81BDF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7">
    <w:nsid w:val="0979F98A"/>
    <w:multiLevelType w:val="singleLevel"/>
    <w:tmpl w:val="0979F98A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8">
    <w:nsid w:val="0E17DAAE"/>
    <w:multiLevelType w:val="singleLevel"/>
    <w:tmpl w:val="0E17DAAE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9">
    <w:nsid w:val="1FD66650"/>
    <w:multiLevelType w:val="singleLevel"/>
    <w:tmpl w:val="1FD66650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10">
    <w:nsid w:val="34398735"/>
    <w:multiLevelType w:val="singleLevel"/>
    <w:tmpl w:val="34398735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abstractNum w:abstractNumId="11">
    <w:nsid w:val="3F2E2670"/>
    <w:multiLevelType w:val="singleLevel"/>
    <w:tmpl w:val="3F2E2670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  <w:sz w:val="13"/>
        <w:szCs w:val="13"/>
      </w:r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4"/>
  </w:num>
  <w:num w:numId="5">
    <w:abstractNumId w:val="1"/>
  </w:num>
  <w:num w:numId="6">
    <w:abstractNumId w:val="5"/>
  </w:num>
  <w:num w:numId="7">
    <w:abstractNumId w:val="9"/>
  </w:num>
  <w:num w:numId="8">
    <w:abstractNumId w:val="11"/>
  </w:num>
  <w:num w:numId="9">
    <w:abstractNumId w:val="6"/>
  </w:num>
  <w:num w:numId="10">
    <w:abstractNumId w:val="10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11D"/>
    <w:rsid w:val="000430A7"/>
    <w:rsid w:val="00084A9F"/>
    <w:rsid w:val="000B4136"/>
    <w:rsid w:val="000C1C21"/>
    <w:rsid w:val="001347F5"/>
    <w:rsid w:val="00196645"/>
    <w:rsid w:val="001A1672"/>
    <w:rsid w:val="00232762"/>
    <w:rsid w:val="0025518E"/>
    <w:rsid w:val="00333682"/>
    <w:rsid w:val="003900B0"/>
    <w:rsid w:val="003B5AE5"/>
    <w:rsid w:val="003C4C87"/>
    <w:rsid w:val="0040462F"/>
    <w:rsid w:val="0046527C"/>
    <w:rsid w:val="00466E4C"/>
    <w:rsid w:val="00472F69"/>
    <w:rsid w:val="004B6373"/>
    <w:rsid w:val="004C19C5"/>
    <w:rsid w:val="004C7406"/>
    <w:rsid w:val="004E2C4A"/>
    <w:rsid w:val="00586CFB"/>
    <w:rsid w:val="006478C9"/>
    <w:rsid w:val="00694B9A"/>
    <w:rsid w:val="006A3C2C"/>
    <w:rsid w:val="006C4A91"/>
    <w:rsid w:val="00726C67"/>
    <w:rsid w:val="00734A8A"/>
    <w:rsid w:val="00746B2C"/>
    <w:rsid w:val="007A62F2"/>
    <w:rsid w:val="007B1A3D"/>
    <w:rsid w:val="007E532A"/>
    <w:rsid w:val="007F2969"/>
    <w:rsid w:val="00800278"/>
    <w:rsid w:val="00804A5C"/>
    <w:rsid w:val="0081654E"/>
    <w:rsid w:val="008521DA"/>
    <w:rsid w:val="0089709C"/>
    <w:rsid w:val="008B6C20"/>
    <w:rsid w:val="008D754A"/>
    <w:rsid w:val="00925FAE"/>
    <w:rsid w:val="009E2A90"/>
    <w:rsid w:val="009E3DD3"/>
    <w:rsid w:val="009F1C62"/>
    <w:rsid w:val="00A0217E"/>
    <w:rsid w:val="00A57D34"/>
    <w:rsid w:val="00A951DB"/>
    <w:rsid w:val="00AF6D0A"/>
    <w:rsid w:val="00B01089"/>
    <w:rsid w:val="00B440F1"/>
    <w:rsid w:val="00B738C6"/>
    <w:rsid w:val="00B81380"/>
    <w:rsid w:val="00BA4175"/>
    <w:rsid w:val="00BE07CF"/>
    <w:rsid w:val="00BF5CD0"/>
    <w:rsid w:val="00C205AD"/>
    <w:rsid w:val="00C23122"/>
    <w:rsid w:val="00C346C2"/>
    <w:rsid w:val="00C82F68"/>
    <w:rsid w:val="00C84A5C"/>
    <w:rsid w:val="00C928FF"/>
    <w:rsid w:val="00CA20B2"/>
    <w:rsid w:val="00CA3563"/>
    <w:rsid w:val="00D071D9"/>
    <w:rsid w:val="00D33262"/>
    <w:rsid w:val="00D54241"/>
    <w:rsid w:val="00D906D7"/>
    <w:rsid w:val="00E01758"/>
    <w:rsid w:val="00E2311D"/>
    <w:rsid w:val="00E26E22"/>
    <w:rsid w:val="00EA1802"/>
    <w:rsid w:val="00EF4F04"/>
    <w:rsid w:val="00F246B6"/>
    <w:rsid w:val="00F6768E"/>
    <w:rsid w:val="00FE4EA2"/>
    <w:rsid w:val="09147567"/>
    <w:rsid w:val="0BBA7FEB"/>
    <w:rsid w:val="0DC13254"/>
    <w:rsid w:val="10ED0058"/>
    <w:rsid w:val="11A004A3"/>
    <w:rsid w:val="3FBE1494"/>
    <w:rsid w:val="43B4316A"/>
    <w:rsid w:val="47DC1EB1"/>
    <w:rsid w:val="514F27C8"/>
    <w:rsid w:val="7D31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61" w:semiHidden="0" w:name="Light List"/>
    <w:lsdException w:qFormat="1" w:unhideWhenUsed="0" w:uiPriority="60" w:semiHidden="0" w:name="Light Shading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ru-RU" w:eastAsia="en-US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note text"/>
    <w:basedOn w:val="1"/>
    <w:link w:val="42"/>
    <w:unhideWhenUsed/>
    <w:qFormat/>
    <w:uiPriority w:val="99"/>
    <w:pPr>
      <w:spacing w:after="0" w:line="240" w:lineRule="auto"/>
    </w:pPr>
    <w:rPr>
      <w:rFonts w:cs="Times New Roman" w:eastAsiaTheme="minorEastAsia"/>
      <w:kern w:val="0"/>
      <w:sz w:val="20"/>
      <w:szCs w:val="20"/>
      <w:lang w:eastAsia="ru-RU"/>
      <w14:ligatures w14:val="none"/>
    </w:rPr>
  </w:style>
  <w:style w:type="paragraph" w:styleId="14">
    <w:name w:val="header"/>
    <w:basedOn w:val="1"/>
    <w:link w:val="4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5">
    <w:name w:val="toc 1"/>
    <w:basedOn w:val="1"/>
    <w:next w:val="1"/>
    <w:semiHidden/>
    <w:unhideWhenUsed/>
    <w:qFormat/>
    <w:uiPriority w:val="39"/>
  </w:style>
  <w:style w:type="paragraph" w:styleId="16">
    <w:name w:val="Title"/>
    <w:basedOn w:val="1"/>
    <w:next w:val="1"/>
    <w:link w:val="29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footer"/>
    <w:basedOn w:val="1"/>
    <w:link w:val="4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8">
    <w:name w:val="Subtitle"/>
    <w:basedOn w:val="1"/>
    <w:next w:val="1"/>
    <w:link w:val="30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19">
    <w:name w:val="Table Grid"/>
    <w:basedOn w:val="1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Заголовок 1 Знак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3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4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5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9">
    <w:name w:val="Заголовок Знак"/>
    <w:basedOn w:val="11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Подзаголовок Знак"/>
    <w:basedOn w:val="11"/>
    <w:link w:val="18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Цитата 2 Знак"/>
    <w:basedOn w:val="11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Выделенная цитата Знак"/>
    <w:basedOn w:val="11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mord"/>
    <w:basedOn w:val="11"/>
    <w:qFormat/>
    <w:uiPriority w:val="0"/>
  </w:style>
  <w:style w:type="character" w:customStyle="1" w:styleId="39">
    <w:name w:val="vlist-s"/>
    <w:basedOn w:val="11"/>
    <w:qFormat/>
    <w:uiPriority w:val="0"/>
  </w:style>
  <w:style w:type="character" w:customStyle="1" w:styleId="40">
    <w:name w:val="mrel"/>
    <w:basedOn w:val="11"/>
    <w:qFormat/>
    <w:uiPriority w:val="0"/>
  </w:style>
  <w:style w:type="paragraph" w:customStyle="1" w:styleId="41">
    <w:name w:val="Decimal Aligned"/>
    <w:basedOn w:val="1"/>
    <w:qFormat/>
    <w:uiPriority w:val="40"/>
    <w:pPr>
      <w:tabs>
        <w:tab w:val="decimal" w:pos="360"/>
      </w:tabs>
      <w:spacing w:after="200" w:line="276" w:lineRule="auto"/>
    </w:pPr>
    <w:rPr>
      <w:rFonts w:cs="Times New Roman" w:eastAsiaTheme="minorEastAsia"/>
      <w:kern w:val="0"/>
      <w:sz w:val="22"/>
      <w:szCs w:val="22"/>
      <w:lang w:eastAsia="ru-RU"/>
      <w14:ligatures w14:val="none"/>
    </w:rPr>
  </w:style>
  <w:style w:type="character" w:customStyle="1" w:styleId="42">
    <w:name w:val="Текст сноски Знак"/>
    <w:basedOn w:val="11"/>
    <w:link w:val="13"/>
    <w:qFormat/>
    <w:uiPriority w:val="99"/>
    <w:rPr>
      <w:rFonts w:cs="Times New Roman" w:eastAsiaTheme="minorEastAsia"/>
      <w:kern w:val="0"/>
      <w:sz w:val="20"/>
      <w:szCs w:val="20"/>
      <w:lang w:eastAsia="ru-RU"/>
      <w14:ligatures w14:val="none"/>
    </w:rPr>
  </w:style>
  <w:style w:type="character" w:customStyle="1" w:styleId="43">
    <w:name w:val="Subtle Emphasis"/>
    <w:basedOn w:val="11"/>
    <w:qFormat/>
    <w:uiPriority w:val="19"/>
    <w:rPr>
      <w:i/>
      <w:iCs/>
    </w:rPr>
  </w:style>
  <w:style w:type="table" w:styleId="44">
    <w:name w:val="Light Shading Accent 1"/>
    <w:basedOn w:val="12"/>
    <w:qFormat/>
    <w:uiPriority w:val="60"/>
    <w:pPr>
      <w:spacing w:after="0" w:line="240" w:lineRule="auto"/>
    </w:pPr>
    <w:rPr>
      <w:rFonts w:eastAsiaTheme="minorEastAsia"/>
      <w:color w:val="104862" w:themeColor="accent1" w:themeShade="BF"/>
      <w:kern w:val="0"/>
      <w:sz w:val="22"/>
      <w:szCs w:val="22"/>
      <w:lang w:eastAsia="ru-RU"/>
      <w14:ligatures w14:val="none"/>
    </w:rPr>
    <w:tblPr>
      <w:tblBorders>
        <w:top w:val="single" w:color="156082" w:themeColor="accent1" w:sz="8" w:space="0"/>
        <w:bottom w:val="single" w:color="156082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156082" w:themeColor="accent1" w:sz="8" w:space="0"/>
          <w:left w:val="nil"/>
          <w:bottom w:val="single" w:color="156082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156082" w:themeColor="accent1" w:sz="8" w:space="0"/>
          <w:left w:val="nil"/>
          <w:bottom w:val="single" w:color="156082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45">
    <w:name w:val="Light List"/>
    <w:basedOn w:val="12"/>
    <w:qFormat/>
    <w:uiPriority w:val="61"/>
    <w:pPr>
      <w:spacing w:after="0" w:line="240" w:lineRule="auto"/>
    </w:pPr>
    <w:rPr>
      <w:rFonts w:eastAsiaTheme="minorEastAsia"/>
      <w:kern w:val="0"/>
      <w:sz w:val="22"/>
      <w:szCs w:val="22"/>
      <w:lang w:eastAsia="ru-RU"/>
      <w14:ligatures w14:val="none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character" w:customStyle="1" w:styleId="46">
    <w:name w:val="Верхний колонтитул Знак"/>
    <w:basedOn w:val="11"/>
    <w:link w:val="14"/>
    <w:qFormat/>
    <w:uiPriority w:val="99"/>
  </w:style>
  <w:style w:type="character" w:customStyle="1" w:styleId="47">
    <w:name w:val="Нижний колонтитул Знак"/>
    <w:basedOn w:val="11"/>
    <w:link w:val="17"/>
    <w:qFormat/>
    <w:uiPriority w:val="99"/>
  </w:style>
  <w:style w:type="paragraph" w:customStyle="1" w:styleId="48">
    <w:name w:val="TOC Heading"/>
    <w:basedOn w:val="2"/>
    <w:next w:val="1"/>
    <w:unhideWhenUsed/>
    <w:qFormat/>
    <w:uiPriority w:val="39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customStyle="1" w:styleId="49">
    <w:name w:val="WPSOffice手动目录 1"/>
    <w:qFormat/>
    <w:uiPriority w:val="0"/>
    <w:pPr>
      <w:ind w:leftChars="0"/>
    </w:pPr>
    <w:rPr>
      <w:rFonts w:asciiTheme="minorHAnsi" w:hAnsiTheme="minorHAnsi" w:eastAsiaTheme="minorHAnsi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5A34D0-148B-485F-8A91-ACB46BDB4D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6106</Words>
  <Characters>34809</Characters>
  <Lines>290</Lines>
  <Paragraphs>81</Paragraphs>
  <TotalTime>27</TotalTime>
  <ScaleCrop>false</ScaleCrop>
  <LinksUpToDate>false</LinksUpToDate>
  <CharactersWithSpaces>40834</CharactersWithSpaces>
  <Application>WPS Office_12.2.0.23158_F1E327BC-269C-435d-A152-05C5408002CA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2025-10-16T05:21:00Z</dcterms:created>
  <dc:creator>Элис В</dc:creator>
  <cp:lastModifiedBy>User</cp:lastModifiedBy>
  <cp:lastPrinted>2025-11-18T02:36:27Z</cp:lastPrinted>
  <dcterms:modified xsi:type="dcterms:W3CDTF">2025-11-18T03:23:04Z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1049-12.2.0.23158</vt:lpwstr>
  </property>
  <property fmtid="{D5CDD505-2E9C-101B-9397-08002B2CF9AE}" pid="3" name="ICV">
    <vt:lpwstr>EB1CBA23F9C042A9BA9DA2CD67DBB574_12</vt:lpwstr>
  </property>
</Properties>
</file>